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app.xml" ContentType="application/vnd.openxmlformats-officedocument.extended-properties+xml"/>
  <Override PartName="/word/styles.xml" ContentType="application/vnd.openxmlformats-officedocument.wordprocessingml.styles+xml"/>
  <Override PartName="/word/numbering.xml" ContentType="application/vnd.openxmlformats-officedocument.wordprocessingml.numbering+xml"/>
  <Override PartName="/word/people.xml" ContentType="application/vnd.openxmlformats-officedocument.wordprocessingml.people+xml"/>
  <Override PartName="/word/fontTable.xml" ContentType="application/vnd.openxmlformats-officedocument.wordprocessingml.fontTable+xml"/>
  <Override PartName="/docProps/core.xml" ContentType="application/vnd.openxmlformats-package.core-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widowControl w:val="0"/>
        <w:pBdr>
          <w:top w:val="single" w:sz="4" w:space="1" w:color="auto"/>
          <w:left w:val="single" w:sz="4" w:space="4" w:color="auto"/>
          <w:bottom w:val="single" w:sz="4" w:space="1" w:color="auto"/>
          <w:right w:val="single" w:sz="4" w:space="4" w:color="auto"/>
        </w:pBdr>
        <w:suppressAutoHyphens/>
        <w:spacing w:after="0" w:line="240" w:lineRule="auto"/>
        <w:rPr>
          <w:rFonts w:ascii="Times New Roman" w:hAnsi="Times New Roman"/>
          <w:szCs w:val="24"/>
          <w:lang w:val="it-IT"/>
        </w:rPr>
      </w:pPr>
      <w:bookmarkStart w:id="0" w:name="_GoBack"/>
      <w:bookmarkEnd w:id="0"/>
      <w:r>
        <w:rPr>
          <w:rFonts w:ascii="Times New Roman" w:hAnsi="Times New Roman"/>
          <w:szCs w:val="24"/>
          <w:lang w:val="it-IT"/>
        </w:rPr>
        <w:t>Il presente documento riporta le informazioni sul prodotto approvate relative a Clopidogrel Krka con evidenziate le modifiche che vi sono state apportate rispetto alla procedura precedente EMEA/H/C/001056/IB/0040/G).</w:t>
      </w:r>
    </w:p>
    <w:p>
      <w:pPr>
        <w:widowControl w:val="0"/>
        <w:pBdr>
          <w:top w:val="single" w:sz="4" w:space="1" w:color="auto"/>
          <w:left w:val="single" w:sz="4" w:space="4" w:color="auto"/>
          <w:bottom w:val="single" w:sz="4" w:space="1" w:color="auto"/>
          <w:right w:val="single" w:sz="4" w:space="4" w:color="auto"/>
        </w:pBdr>
        <w:suppressAutoHyphens/>
        <w:spacing w:after="0" w:line="240" w:lineRule="auto"/>
        <w:rPr>
          <w:rFonts w:ascii="Times New Roman" w:hAnsi="Times New Roman"/>
          <w:szCs w:val="24"/>
          <w:lang w:val="it-IT"/>
        </w:rPr>
      </w:pPr>
    </w:p>
    <w:p>
      <w:pPr>
        <w:pStyle w:val="TitleB"/>
        <w:pBdr>
          <w:top w:val="single" w:sz="4" w:space="1" w:color="auto"/>
          <w:left w:val="single" w:sz="4" w:space="4" w:color="auto"/>
          <w:bottom w:val="single" w:sz="4" w:space="1" w:color="auto"/>
          <w:right w:val="single" w:sz="4" w:space="4" w:color="auto"/>
        </w:pBdr>
        <w:ind w:left="0" w:firstLine="0"/>
      </w:pPr>
      <w:r>
        <w:rPr>
          <w:b w:val="0"/>
          <w:bCs/>
          <w:szCs w:val="24"/>
        </w:rPr>
        <w:t xml:space="preserve">Per maggiori informazioni, consultare il sito web dell’Agenzia europea per i medicinali: </w:t>
      </w:r>
      <w:hyperlink r:id="rId7" w:history="1">
        <w:r>
          <w:rPr>
            <w:rStyle w:val="Hyperlink"/>
          </w:rPr>
          <w:t>https://www.ema.europa.eu/en/medicines/human/EPAR/clopidogrel-krka</w:t>
        </w:r>
      </w:hyperlink>
      <w:r>
        <w:t xml:space="preserve"> </w:t>
      </w:r>
    </w:p>
    <w:p>
      <w:pPr>
        <w:widowControl w:val="0"/>
        <w:shd w:val="clear" w:color="auto" w:fill="FFFFFF"/>
        <w:suppressAutoHyphens/>
        <w:autoSpaceDE w:val="0"/>
        <w:spacing w:after="0" w:line="240" w:lineRule="auto"/>
        <w:rPr>
          <w:rFonts w:ascii="Times New Roman" w:eastAsia="Times New Roman" w:hAnsi="Times New Roman"/>
          <w:b/>
          <w:bCs/>
          <w:color w:val="000000"/>
          <w:spacing w:val="-1"/>
          <w:lang w:val="it-IT" w:eastAsia="ar-SA"/>
        </w:rPr>
      </w:pPr>
    </w:p>
    <w:p>
      <w:pPr>
        <w:widowControl w:val="0"/>
        <w:shd w:val="clear" w:color="auto" w:fill="FFFFFF"/>
        <w:suppressAutoHyphens/>
        <w:autoSpaceDE w:val="0"/>
        <w:spacing w:after="0" w:line="240" w:lineRule="auto"/>
        <w:rPr>
          <w:rFonts w:ascii="Times New Roman" w:eastAsia="Times New Roman" w:hAnsi="Times New Roman"/>
          <w:b/>
          <w:bCs/>
          <w:color w:val="000000"/>
          <w:spacing w:val="-1"/>
          <w:lang w:val="it-IT" w:eastAsia="ar-SA"/>
        </w:rPr>
      </w:pPr>
    </w:p>
    <w:p>
      <w:pPr>
        <w:widowControl w:val="0"/>
        <w:shd w:val="clear" w:color="auto" w:fill="FFFFFF"/>
        <w:suppressAutoHyphens/>
        <w:autoSpaceDE w:val="0"/>
        <w:spacing w:after="0" w:line="240" w:lineRule="auto"/>
        <w:rPr>
          <w:rFonts w:ascii="Times New Roman" w:eastAsia="Times New Roman" w:hAnsi="Times New Roman"/>
          <w:b/>
          <w:bCs/>
          <w:color w:val="000000"/>
          <w:spacing w:val="-1"/>
          <w:lang w:val="it-IT" w:eastAsia="ar-SA"/>
        </w:rPr>
      </w:pPr>
    </w:p>
    <w:p>
      <w:pPr>
        <w:widowControl w:val="0"/>
        <w:shd w:val="clear" w:color="auto" w:fill="FFFFFF"/>
        <w:suppressAutoHyphens/>
        <w:autoSpaceDE w:val="0"/>
        <w:spacing w:after="0" w:line="240" w:lineRule="auto"/>
        <w:rPr>
          <w:rFonts w:ascii="Times New Roman" w:eastAsia="Times New Roman" w:hAnsi="Times New Roman"/>
          <w:b/>
          <w:bCs/>
          <w:color w:val="000000"/>
          <w:spacing w:val="-1"/>
          <w:lang w:val="it-IT" w:eastAsia="ar-SA"/>
        </w:rPr>
      </w:pPr>
    </w:p>
    <w:p>
      <w:pPr>
        <w:widowControl w:val="0"/>
        <w:shd w:val="clear" w:color="auto" w:fill="FFFFFF"/>
        <w:suppressAutoHyphens/>
        <w:autoSpaceDE w:val="0"/>
        <w:spacing w:after="0" w:line="240" w:lineRule="auto"/>
        <w:rPr>
          <w:rFonts w:ascii="Times New Roman" w:eastAsia="Times New Roman" w:hAnsi="Times New Roman"/>
          <w:b/>
          <w:bCs/>
          <w:color w:val="000000"/>
          <w:spacing w:val="-1"/>
          <w:lang w:val="it-IT" w:eastAsia="ar-SA"/>
        </w:rPr>
      </w:pPr>
    </w:p>
    <w:p>
      <w:pPr>
        <w:widowControl w:val="0"/>
        <w:shd w:val="clear" w:color="auto" w:fill="FFFFFF"/>
        <w:suppressAutoHyphens/>
        <w:autoSpaceDE w:val="0"/>
        <w:spacing w:after="0" w:line="240" w:lineRule="auto"/>
        <w:rPr>
          <w:rFonts w:ascii="Times New Roman" w:eastAsia="Times New Roman" w:hAnsi="Times New Roman"/>
          <w:b/>
          <w:bCs/>
          <w:color w:val="000000"/>
          <w:spacing w:val="-1"/>
          <w:lang w:val="it-IT" w:eastAsia="ar-SA"/>
        </w:rPr>
      </w:pPr>
    </w:p>
    <w:p>
      <w:pPr>
        <w:widowControl w:val="0"/>
        <w:shd w:val="clear" w:color="auto" w:fill="FFFFFF"/>
        <w:suppressAutoHyphens/>
        <w:autoSpaceDE w:val="0"/>
        <w:spacing w:after="0" w:line="240" w:lineRule="auto"/>
        <w:rPr>
          <w:rFonts w:ascii="Times New Roman" w:eastAsia="Times New Roman" w:hAnsi="Times New Roman"/>
          <w:b/>
          <w:bCs/>
          <w:color w:val="000000"/>
          <w:spacing w:val="-1"/>
          <w:lang w:val="it-IT" w:eastAsia="ar-SA"/>
        </w:rPr>
      </w:pPr>
    </w:p>
    <w:p>
      <w:pPr>
        <w:widowControl w:val="0"/>
        <w:shd w:val="clear" w:color="auto" w:fill="FFFFFF"/>
        <w:suppressAutoHyphens/>
        <w:autoSpaceDE w:val="0"/>
        <w:spacing w:after="0" w:line="240" w:lineRule="auto"/>
        <w:rPr>
          <w:rFonts w:ascii="Times New Roman" w:eastAsia="Times New Roman" w:hAnsi="Times New Roman"/>
          <w:b/>
          <w:bCs/>
          <w:color w:val="000000"/>
          <w:spacing w:val="-1"/>
          <w:lang w:val="it-IT" w:eastAsia="ar-SA"/>
        </w:rPr>
      </w:pPr>
    </w:p>
    <w:p>
      <w:pPr>
        <w:widowControl w:val="0"/>
        <w:shd w:val="clear" w:color="auto" w:fill="FFFFFF"/>
        <w:suppressAutoHyphens/>
        <w:autoSpaceDE w:val="0"/>
        <w:spacing w:after="0" w:line="240" w:lineRule="auto"/>
        <w:rPr>
          <w:rFonts w:ascii="Times New Roman" w:eastAsia="Times New Roman" w:hAnsi="Times New Roman"/>
          <w:b/>
          <w:bCs/>
          <w:color w:val="000000"/>
          <w:spacing w:val="-1"/>
          <w:lang w:val="it-IT" w:eastAsia="ar-SA"/>
        </w:rPr>
      </w:pPr>
    </w:p>
    <w:p>
      <w:pPr>
        <w:widowControl w:val="0"/>
        <w:shd w:val="clear" w:color="auto" w:fill="FFFFFF"/>
        <w:suppressAutoHyphens/>
        <w:autoSpaceDE w:val="0"/>
        <w:spacing w:after="0" w:line="240" w:lineRule="auto"/>
        <w:rPr>
          <w:rFonts w:ascii="Times New Roman" w:eastAsia="Times New Roman" w:hAnsi="Times New Roman"/>
          <w:b/>
          <w:bCs/>
          <w:color w:val="000000"/>
          <w:spacing w:val="-1"/>
          <w:lang w:val="it-IT" w:eastAsia="ar-SA"/>
        </w:rPr>
      </w:pPr>
    </w:p>
    <w:p>
      <w:pPr>
        <w:widowControl w:val="0"/>
        <w:shd w:val="clear" w:color="auto" w:fill="FFFFFF"/>
        <w:suppressAutoHyphens/>
        <w:autoSpaceDE w:val="0"/>
        <w:spacing w:after="0" w:line="240" w:lineRule="auto"/>
        <w:rPr>
          <w:rFonts w:ascii="Times New Roman" w:eastAsia="Times New Roman" w:hAnsi="Times New Roman"/>
          <w:b/>
          <w:bCs/>
          <w:color w:val="000000"/>
          <w:spacing w:val="-1"/>
          <w:lang w:val="it-IT" w:eastAsia="ar-SA"/>
        </w:rPr>
      </w:pPr>
    </w:p>
    <w:p>
      <w:pPr>
        <w:widowControl w:val="0"/>
        <w:shd w:val="clear" w:color="auto" w:fill="FFFFFF"/>
        <w:suppressAutoHyphens/>
        <w:autoSpaceDE w:val="0"/>
        <w:spacing w:after="0" w:line="240" w:lineRule="auto"/>
        <w:rPr>
          <w:rFonts w:ascii="Times New Roman" w:eastAsia="Times New Roman" w:hAnsi="Times New Roman"/>
          <w:b/>
          <w:bCs/>
          <w:color w:val="000000"/>
          <w:spacing w:val="-1"/>
          <w:lang w:val="it-IT" w:eastAsia="ar-SA"/>
        </w:rPr>
      </w:pPr>
    </w:p>
    <w:p>
      <w:pPr>
        <w:widowControl w:val="0"/>
        <w:shd w:val="clear" w:color="auto" w:fill="FFFFFF"/>
        <w:suppressAutoHyphens/>
        <w:autoSpaceDE w:val="0"/>
        <w:spacing w:after="0" w:line="240" w:lineRule="auto"/>
        <w:rPr>
          <w:rFonts w:ascii="Times New Roman" w:eastAsia="Times New Roman" w:hAnsi="Times New Roman"/>
          <w:b/>
          <w:bCs/>
          <w:color w:val="000000"/>
          <w:spacing w:val="-1"/>
          <w:lang w:val="it-IT" w:eastAsia="ar-SA"/>
        </w:rPr>
      </w:pPr>
    </w:p>
    <w:p>
      <w:pPr>
        <w:widowControl w:val="0"/>
        <w:shd w:val="clear" w:color="auto" w:fill="FFFFFF"/>
        <w:suppressAutoHyphens/>
        <w:autoSpaceDE w:val="0"/>
        <w:spacing w:after="0" w:line="240" w:lineRule="auto"/>
        <w:rPr>
          <w:rFonts w:ascii="Times New Roman" w:eastAsia="Times New Roman" w:hAnsi="Times New Roman"/>
          <w:b/>
          <w:bCs/>
          <w:color w:val="000000"/>
          <w:spacing w:val="-1"/>
          <w:lang w:val="it-IT" w:eastAsia="ar-SA"/>
        </w:rPr>
      </w:pPr>
    </w:p>
    <w:p>
      <w:pPr>
        <w:widowControl w:val="0"/>
        <w:shd w:val="clear" w:color="auto" w:fill="FFFFFF"/>
        <w:suppressAutoHyphens/>
        <w:autoSpaceDE w:val="0"/>
        <w:spacing w:after="0" w:line="240" w:lineRule="auto"/>
        <w:rPr>
          <w:rFonts w:ascii="Times New Roman" w:eastAsia="Times New Roman" w:hAnsi="Times New Roman"/>
          <w:b/>
          <w:bCs/>
          <w:color w:val="000000"/>
          <w:spacing w:val="-1"/>
          <w:lang w:val="it-IT" w:eastAsia="ar-SA"/>
        </w:rPr>
      </w:pPr>
    </w:p>
    <w:p>
      <w:pPr>
        <w:widowControl w:val="0"/>
        <w:shd w:val="clear" w:color="auto" w:fill="FFFFFF"/>
        <w:suppressAutoHyphens/>
        <w:autoSpaceDE w:val="0"/>
        <w:spacing w:after="0" w:line="240" w:lineRule="auto"/>
        <w:rPr>
          <w:rFonts w:ascii="Times New Roman" w:eastAsia="Times New Roman" w:hAnsi="Times New Roman"/>
          <w:b/>
          <w:bCs/>
          <w:color w:val="000000"/>
          <w:spacing w:val="-1"/>
          <w:lang w:val="it-IT" w:eastAsia="ar-SA"/>
        </w:rPr>
      </w:pPr>
    </w:p>
    <w:p>
      <w:pPr>
        <w:widowControl w:val="0"/>
        <w:shd w:val="clear" w:color="auto" w:fill="FFFFFF"/>
        <w:suppressAutoHyphens/>
        <w:autoSpaceDE w:val="0"/>
        <w:spacing w:after="0" w:line="240" w:lineRule="auto"/>
        <w:rPr>
          <w:rFonts w:ascii="Times New Roman" w:eastAsia="Times New Roman" w:hAnsi="Times New Roman"/>
          <w:b/>
          <w:bCs/>
          <w:color w:val="000000"/>
          <w:spacing w:val="-1"/>
          <w:lang w:val="it-IT" w:eastAsia="ar-SA"/>
        </w:rPr>
      </w:pPr>
    </w:p>
    <w:p>
      <w:pPr>
        <w:widowControl w:val="0"/>
        <w:shd w:val="clear" w:color="auto" w:fill="FFFFFF"/>
        <w:suppressAutoHyphens/>
        <w:autoSpaceDE w:val="0"/>
        <w:spacing w:after="0" w:line="240" w:lineRule="auto"/>
        <w:rPr>
          <w:rFonts w:ascii="Times New Roman" w:eastAsia="Times New Roman" w:hAnsi="Times New Roman"/>
          <w:b/>
          <w:bCs/>
          <w:color w:val="000000"/>
          <w:spacing w:val="-1"/>
          <w:lang w:val="it-IT" w:eastAsia="ar-SA"/>
        </w:rPr>
      </w:pPr>
    </w:p>
    <w:p>
      <w:pPr>
        <w:widowControl w:val="0"/>
        <w:shd w:val="clear" w:color="auto" w:fill="FFFFFF"/>
        <w:suppressAutoHyphens/>
        <w:autoSpaceDE w:val="0"/>
        <w:spacing w:after="0" w:line="240" w:lineRule="auto"/>
        <w:rPr>
          <w:rFonts w:ascii="Times New Roman" w:eastAsia="Times New Roman" w:hAnsi="Times New Roman"/>
          <w:b/>
          <w:bCs/>
          <w:color w:val="000000"/>
          <w:spacing w:val="-1"/>
          <w:lang w:val="it-IT" w:eastAsia="ar-SA"/>
        </w:rPr>
      </w:pPr>
    </w:p>
    <w:p>
      <w:pPr>
        <w:widowControl w:val="0"/>
        <w:shd w:val="clear" w:color="auto" w:fill="FFFFFF"/>
        <w:suppressAutoHyphens/>
        <w:autoSpaceDE w:val="0"/>
        <w:spacing w:after="0" w:line="240" w:lineRule="auto"/>
        <w:rPr>
          <w:rFonts w:ascii="Times New Roman" w:eastAsia="Times New Roman" w:hAnsi="Times New Roman"/>
          <w:b/>
          <w:bCs/>
          <w:color w:val="000000"/>
          <w:spacing w:val="-1"/>
          <w:lang w:val="it-IT" w:eastAsia="ar-SA"/>
        </w:rPr>
      </w:pPr>
    </w:p>
    <w:p>
      <w:pPr>
        <w:widowControl w:val="0"/>
        <w:shd w:val="clear" w:color="auto" w:fill="FFFFFF"/>
        <w:suppressAutoHyphens/>
        <w:autoSpaceDE w:val="0"/>
        <w:spacing w:after="0" w:line="240" w:lineRule="auto"/>
        <w:rPr>
          <w:rFonts w:ascii="Times New Roman" w:eastAsia="Times New Roman" w:hAnsi="Times New Roman"/>
          <w:b/>
          <w:bCs/>
          <w:color w:val="000000"/>
          <w:spacing w:val="-1"/>
          <w:lang w:val="it-IT" w:eastAsia="ar-SA"/>
        </w:rPr>
      </w:pPr>
    </w:p>
    <w:p>
      <w:pPr>
        <w:widowControl w:val="0"/>
        <w:shd w:val="clear" w:color="auto" w:fill="FFFFFF"/>
        <w:suppressAutoHyphens/>
        <w:autoSpaceDE w:val="0"/>
        <w:spacing w:after="0" w:line="240" w:lineRule="auto"/>
        <w:rPr>
          <w:rFonts w:ascii="Times New Roman" w:eastAsia="Times New Roman" w:hAnsi="Times New Roman"/>
          <w:b/>
          <w:bCs/>
          <w:color w:val="000000"/>
          <w:spacing w:val="-1"/>
          <w:lang w:val="it-IT" w:eastAsia="ar-SA"/>
        </w:rPr>
      </w:pPr>
    </w:p>
    <w:p>
      <w:pPr>
        <w:widowControl w:val="0"/>
        <w:shd w:val="clear" w:color="auto" w:fill="FFFFFF"/>
        <w:suppressAutoHyphens/>
        <w:autoSpaceDE w:val="0"/>
        <w:spacing w:after="0" w:line="240" w:lineRule="auto"/>
        <w:jc w:val="center"/>
        <w:rPr>
          <w:rFonts w:ascii="Times New Roman" w:eastAsia="Times New Roman" w:hAnsi="Times New Roman"/>
          <w:b/>
          <w:bCs/>
          <w:color w:val="000000"/>
          <w:spacing w:val="-1"/>
          <w:lang w:val="it-IT" w:eastAsia="ar-SA"/>
        </w:rPr>
      </w:pPr>
    </w:p>
    <w:p>
      <w:pPr>
        <w:widowControl w:val="0"/>
        <w:shd w:val="clear" w:color="auto" w:fill="FFFFFF"/>
        <w:suppressAutoHyphens/>
        <w:autoSpaceDE w:val="0"/>
        <w:spacing w:after="0" w:line="240" w:lineRule="auto"/>
        <w:jc w:val="center"/>
        <w:rPr>
          <w:rFonts w:ascii="Times New Roman" w:eastAsia="Times New Roman" w:hAnsi="Times New Roman"/>
          <w:b/>
          <w:bCs/>
          <w:color w:val="000000"/>
          <w:spacing w:val="-1"/>
          <w:lang w:val="it-IT" w:eastAsia="ar-SA"/>
        </w:rPr>
      </w:pPr>
      <w:r>
        <w:rPr>
          <w:rFonts w:ascii="Times New Roman" w:eastAsia="Times New Roman" w:hAnsi="Times New Roman"/>
          <w:b/>
          <w:bCs/>
          <w:color w:val="000000"/>
          <w:spacing w:val="-1"/>
          <w:lang w:val="it-IT" w:eastAsia="ar-SA"/>
        </w:rPr>
        <w:t>ALLEGATO I</w:t>
      </w:r>
    </w:p>
    <w:p>
      <w:pPr>
        <w:widowControl w:val="0"/>
        <w:shd w:val="clear" w:color="auto" w:fill="FFFFFF"/>
        <w:suppressAutoHyphens/>
        <w:autoSpaceDE w:val="0"/>
        <w:spacing w:after="0" w:line="240" w:lineRule="auto"/>
        <w:jc w:val="center"/>
        <w:rPr>
          <w:rFonts w:ascii="Times New Roman" w:eastAsia="Times New Roman" w:hAnsi="Times New Roman"/>
          <w:b/>
          <w:bCs/>
          <w:color w:val="000000"/>
          <w:spacing w:val="-1"/>
          <w:lang w:val="it-IT" w:eastAsia="ar-SA"/>
        </w:rPr>
      </w:pPr>
    </w:p>
    <w:p>
      <w:pPr>
        <w:pStyle w:val="TitleA"/>
      </w:pPr>
      <w:r>
        <w:t>RIASSUNTO DELLE CARATTERISTICHE DEL PRODOTTO</w:t>
      </w:r>
    </w:p>
    <w:p>
      <w:pPr>
        <w:widowControl w:val="0"/>
        <w:shd w:val="clear" w:color="auto" w:fill="FFFFFF"/>
        <w:suppressAutoHyphens/>
        <w:autoSpaceDE w:val="0"/>
        <w:spacing w:after="0" w:line="240" w:lineRule="auto"/>
        <w:rPr>
          <w:rFonts w:ascii="Times New Roman" w:eastAsia="Times New Roman" w:hAnsi="Times New Roman"/>
          <w:b/>
          <w:bCs/>
          <w:color w:val="000000"/>
          <w:spacing w:val="-2"/>
          <w:lang w:val="it-IT" w:eastAsia="ar-SA"/>
        </w:rPr>
      </w:pPr>
      <w:r>
        <w:rPr>
          <w:rFonts w:ascii="Times New Roman" w:eastAsia="Times New Roman" w:hAnsi="Times New Roman"/>
          <w:b/>
          <w:bCs/>
          <w:color w:val="000000"/>
          <w:spacing w:val="-2"/>
          <w:lang w:val="it-IT" w:eastAsia="ar-SA"/>
        </w:rPr>
        <w:br w:type="page"/>
      </w:r>
      <w:r>
        <w:rPr>
          <w:rFonts w:ascii="Times New Roman" w:eastAsia="Times New Roman" w:hAnsi="Times New Roman"/>
          <w:b/>
          <w:bCs/>
          <w:color w:val="000000"/>
          <w:spacing w:val="-2"/>
          <w:lang w:val="it-IT" w:eastAsia="ar-SA"/>
        </w:rPr>
        <w:lastRenderedPageBreak/>
        <w:t>1.</w:t>
      </w:r>
      <w:r>
        <w:rPr>
          <w:rFonts w:ascii="Times New Roman" w:eastAsia="Times New Roman" w:hAnsi="Times New Roman"/>
          <w:b/>
          <w:bCs/>
          <w:color w:val="000000"/>
          <w:spacing w:val="-2"/>
          <w:lang w:val="it-IT" w:eastAsia="ar-SA"/>
        </w:rPr>
        <w:tab/>
        <w:t>DENOMINAZIONE DEL MEDICINALE</w:t>
      </w:r>
    </w:p>
    <w:p>
      <w:pPr>
        <w:widowControl w:val="0"/>
        <w:shd w:val="clear" w:color="auto" w:fill="FFFFFF"/>
        <w:suppressAutoHyphens/>
        <w:autoSpaceDE w:val="0"/>
        <w:spacing w:after="0" w:line="240" w:lineRule="auto"/>
        <w:rPr>
          <w:rFonts w:ascii="Times New Roman" w:eastAsia="Times New Roman" w:hAnsi="Times New Roman"/>
          <w:color w:val="000000"/>
          <w:lang w:val="it-IT" w:eastAsia="ar-SA"/>
        </w:rPr>
      </w:pPr>
    </w:p>
    <w:p>
      <w:pPr>
        <w:widowControl w:val="0"/>
        <w:shd w:val="clear" w:color="auto" w:fill="FFFFFF"/>
        <w:suppressAutoHyphens/>
        <w:autoSpaceDE w:val="0"/>
        <w:spacing w:after="0" w:line="240" w:lineRule="auto"/>
        <w:rPr>
          <w:rFonts w:ascii="Times New Roman" w:eastAsia="Times New Roman" w:hAnsi="Times New Roman"/>
          <w:color w:val="000000"/>
          <w:lang w:val="it-IT" w:eastAsia="ar-SA"/>
        </w:rPr>
      </w:pPr>
      <w:r>
        <w:rPr>
          <w:rFonts w:ascii="Times New Roman" w:eastAsia="Times New Roman" w:hAnsi="Times New Roman"/>
          <w:color w:val="000000"/>
          <w:lang w:val="it-IT" w:eastAsia="ar-SA"/>
        </w:rPr>
        <w:t>Clopidogrel Krka 75 mg compresse rivestite con film</w:t>
      </w:r>
    </w:p>
    <w:p>
      <w:pPr>
        <w:widowControl w:val="0"/>
        <w:shd w:val="clear" w:color="auto" w:fill="FFFFFF"/>
        <w:tabs>
          <w:tab w:val="left" w:pos="557"/>
        </w:tabs>
        <w:suppressAutoHyphens/>
        <w:autoSpaceDE w:val="0"/>
        <w:spacing w:after="0" w:line="240" w:lineRule="auto"/>
        <w:rPr>
          <w:rFonts w:ascii="Times New Roman" w:eastAsia="Times New Roman" w:hAnsi="Times New Roman"/>
          <w:b/>
          <w:bCs/>
          <w:color w:val="000000"/>
          <w:spacing w:val="-7"/>
          <w:lang w:val="it-IT" w:eastAsia="ar-SA"/>
        </w:rPr>
      </w:pPr>
    </w:p>
    <w:p>
      <w:pPr>
        <w:widowControl w:val="0"/>
        <w:shd w:val="clear" w:color="auto" w:fill="FFFFFF"/>
        <w:tabs>
          <w:tab w:val="left" w:pos="557"/>
        </w:tabs>
        <w:suppressAutoHyphens/>
        <w:autoSpaceDE w:val="0"/>
        <w:spacing w:after="0" w:line="240" w:lineRule="auto"/>
        <w:rPr>
          <w:rFonts w:ascii="Times New Roman" w:eastAsia="Times New Roman" w:hAnsi="Times New Roman"/>
          <w:b/>
          <w:bCs/>
          <w:color w:val="000000"/>
          <w:spacing w:val="-7"/>
          <w:lang w:val="it-IT" w:eastAsia="ar-SA"/>
        </w:rPr>
      </w:pPr>
    </w:p>
    <w:p>
      <w:pPr>
        <w:widowControl w:val="0"/>
        <w:shd w:val="clear" w:color="auto" w:fill="FFFFFF"/>
        <w:tabs>
          <w:tab w:val="left" w:pos="557"/>
        </w:tabs>
        <w:suppressAutoHyphens/>
        <w:autoSpaceDE w:val="0"/>
        <w:spacing w:after="0" w:line="240" w:lineRule="auto"/>
        <w:rPr>
          <w:rFonts w:ascii="Times New Roman" w:eastAsia="Times New Roman" w:hAnsi="Times New Roman"/>
          <w:b/>
          <w:bCs/>
          <w:color w:val="000000"/>
          <w:lang w:val="it-IT" w:eastAsia="ar-SA"/>
        </w:rPr>
      </w:pPr>
      <w:r>
        <w:rPr>
          <w:rFonts w:ascii="Times New Roman" w:eastAsia="Times New Roman" w:hAnsi="Times New Roman"/>
          <w:b/>
          <w:bCs/>
          <w:color w:val="000000"/>
          <w:spacing w:val="-7"/>
          <w:lang w:val="it-IT" w:eastAsia="ar-SA"/>
        </w:rPr>
        <w:t>2.</w:t>
      </w:r>
      <w:r>
        <w:rPr>
          <w:rFonts w:ascii="Times New Roman" w:eastAsia="Times New Roman" w:hAnsi="Times New Roman"/>
          <w:b/>
          <w:bCs/>
          <w:color w:val="000000"/>
          <w:lang w:val="it-IT" w:eastAsia="ar-SA"/>
        </w:rPr>
        <w:tab/>
        <w:t>COMPOSIZIONE QUALITATIVA E QUANTITATIVA</w:t>
      </w:r>
    </w:p>
    <w:p>
      <w:pPr>
        <w:widowControl w:val="0"/>
        <w:shd w:val="clear" w:color="auto" w:fill="FFFFFF"/>
        <w:suppressAutoHyphens/>
        <w:autoSpaceDE w:val="0"/>
        <w:spacing w:after="0" w:line="240" w:lineRule="auto"/>
        <w:rPr>
          <w:rFonts w:ascii="Times New Roman" w:eastAsia="Times New Roman" w:hAnsi="Times New Roman"/>
          <w:color w:val="000000"/>
          <w:spacing w:val="1"/>
          <w:lang w:val="it-IT" w:eastAsia="ar-SA"/>
        </w:rPr>
      </w:pPr>
    </w:p>
    <w:p>
      <w:pPr>
        <w:widowControl w:val="0"/>
        <w:shd w:val="clear" w:color="auto" w:fill="FFFFFF"/>
        <w:suppressAutoHyphens/>
        <w:autoSpaceDE w:val="0"/>
        <w:spacing w:after="0" w:line="240" w:lineRule="auto"/>
        <w:rPr>
          <w:rFonts w:ascii="Times New Roman" w:eastAsia="Times New Roman" w:hAnsi="Times New Roman"/>
          <w:color w:val="000000"/>
          <w:spacing w:val="1"/>
          <w:lang w:val="it-IT" w:eastAsia="ar-SA"/>
        </w:rPr>
      </w:pPr>
      <w:r>
        <w:rPr>
          <w:rFonts w:ascii="Times New Roman" w:eastAsia="Times New Roman" w:hAnsi="Times New Roman"/>
          <w:color w:val="000000"/>
          <w:spacing w:val="1"/>
          <w:lang w:val="it-IT" w:eastAsia="ar-SA"/>
        </w:rPr>
        <w:t>Ogni compressa rivestita con film contiene 75 mg di clopidogrel (come cloridrato).</w:t>
      </w:r>
    </w:p>
    <w:p>
      <w:pPr>
        <w:widowControl w:val="0"/>
        <w:shd w:val="clear" w:color="auto" w:fill="FFFFFF"/>
        <w:suppressAutoHyphens/>
        <w:autoSpaceDE w:val="0"/>
        <w:spacing w:after="0" w:line="240" w:lineRule="auto"/>
        <w:rPr>
          <w:rFonts w:ascii="Times New Roman" w:eastAsia="Times New Roman" w:hAnsi="Times New Roman"/>
          <w:color w:val="000000"/>
          <w:spacing w:val="1"/>
          <w:lang w:val="it-IT" w:eastAsia="ar-SA"/>
        </w:rPr>
      </w:pPr>
    </w:p>
    <w:p>
      <w:pPr>
        <w:widowControl w:val="0"/>
        <w:shd w:val="clear" w:color="auto" w:fill="FFFFFF"/>
        <w:suppressAutoHyphens/>
        <w:autoSpaceDE w:val="0"/>
        <w:spacing w:after="0" w:line="240" w:lineRule="auto"/>
        <w:rPr>
          <w:rFonts w:ascii="Times New Roman" w:eastAsia="Times New Roman" w:hAnsi="Times New Roman"/>
          <w:color w:val="000000"/>
          <w:spacing w:val="1"/>
          <w:lang w:val="it-IT" w:eastAsia="ar-SA"/>
        </w:rPr>
      </w:pPr>
    </w:p>
    <w:p>
      <w:pPr>
        <w:widowControl w:val="0"/>
        <w:shd w:val="clear" w:color="auto" w:fill="FFFFFF"/>
        <w:suppressAutoHyphens/>
        <w:autoSpaceDE w:val="0"/>
        <w:spacing w:after="0" w:line="240" w:lineRule="auto"/>
        <w:rPr>
          <w:rFonts w:ascii="Times New Roman" w:eastAsia="Times New Roman" w:hAnsi="Times New Roman"/>
          <w:color w:val="000000"/>
          <w:spacing w:val="1"/>
          <w:lang w:val="it-IT" w:eastAsia="ar-SA"/>
        </w:rPr>
      </w:pPr>
      <w:r>
        <w:rPr>
          <w:rFonts w:ascii="Times New Roman" w:eastAsia="Times New Roman" w:hAnsi="Times New Roman"/>
          <w:color w:val="000000"/>
          <w:spacing w:val="1"/>
          <w:lang w:val="it-IT" w:eastAsia="ar-SA"/>
        </w:rPr>
        <w:t>Per l'elenco completo degli eccipienti, vedere paragrafo 6.1.</w:t>
      </w:r>
    </w:p>
    <w:p>
      <w:pPr>
        <w:widowControl w:val="0"/>
        <w:shd w:val="clear" w:color="auto" w:fill="FFFFFF"/>
        <w:suppressAutoHyphens/>
        <w:autoSpaceDE w:val="0"/>
        <w:spacing w:after="0" w:line="240" w:lineRule="auto"/>
        <w:rPr>
          <w:rFonts w:ascii="Times New Roman" w:eastAsia="Times New Roman" w:hAnsi="Times New Roman"/>
          <w:color w:val="000000"/>
          <w:spacing w:val="1"/>
          <w:lang w:val="it-IT" w:eastAsia="ar-SA"/>
        </w:rPr>
      </w:pPr>
    </w:p>
    <w:p>
      <w:pPr>
        <w:widowControl w:val="0"/>
        <w:shd w:val="clear" w:color="auto" w:fill="FFFFFF"/>
        <w:suppressAutoHyphens/>
        <w:autoSpaceDE w:val="0"/>
        <w:spacing w:after="0" w:line="240" w:lineRule="auto"/>
        <w:rPr>
          <w:rFonts w:ascii="Times New Roman" w:eastAsia="Times New Roman" w:hAnsi="Times New Roman"/>
          <w:color w:val="000000"/>
          <w:spacing w:val="1"/>
          <w:lang w:val="it-IT" w:eastAsia="ar-SA"/>
        </w:rPr>
      </w:pPr>
    </w:p>
    <w:p>
      <w:pPr>
        <w:widowControl w:val="0"/>
        <w:shd w:val="clear" w:color="auto" w:fill="FFFFFF"/>
        <w:tabs>
          <w:tab w:val="left" w:pos="557"/>
        </w:tabs>
        <w:suppressAutoHyphens/>
        <w:autoSpaceDE w:val="0"/>
        <w:spacing w:after="0" w:line="240" w:lineRule="auto"/>
        <w:rPr>
          <w:rFonts w:ascii="Times New Roman" w:eastAsia="Times New Roman" w:hAnsi="Times New Roman"/>
          <w:b/>
          <w:bCs/>
          <w:color w:val="000000"/>
          <w:lang w:val="it-IT" w:eastAsia="ar-SA"/>
        </w:rPr>
      </w:pPr>
      <w:r>
        <w:rPr>
          <w:rFonts w:ascii="Times New Roman" w:eastAsia="Times New Roman" w:hAnsi="Times New Roman"/>
          <w:b/>
          <w:bCs/>
          <w:color w:val="000000"/>
          <w:spacing w:val="-7"/>
          <w:lang w:val="it-IT" w:eastAsia="ar-SA"/>
        </w:rPr>
        <w:t>3.</w:t>
      </w:r>
      <w:r>
        <w:rPr>
          <w:rFonts w:ascii="Times New Roman" w:eastAsia="Times New Roman" w:hAnsi="Times New Roman"/>
          <w:b/>
          <w:bCs/>
          <w:color w:val="000000"/>
          <w:lang w:val="it-IT" w:eastAsia="ar-SA"/>
        </w:rPr>
        <w:tab/>
        <w:t>FORMA FARMACEUTICA</w:t>
      </w:r>
    </w:p>
    <w:p>
      <w:pPr>
        <w:widowControl w:val="0"/>
        <w:shd w:val="clear" w:color="auto" w:fill="FFFFFF"/>
        <w:suppressAutoHyphens/>
        <w:autoSpaceDE w:val="0"/>
        <w:spacing w:after="0" w:line="240" w:lineRule="auto"/>
        <w:rPr>
          <w:rFonts w:ascii="Times New Roman" w:eastAsia="Times New Roman" w:hAnsi="Times New Roman"/>
          <w:color w:val="000000"/>
          <w:lang w:val="it-IT" w:eastAsia="ar-SA"/>
        </w:rPr>
      </w:pPr>
    </w:p>
    <w:p>
      <w:pPr>
        <w:widowControl w:val="0"/>
        <w:shd w:val="clear" w:color="auto" w:fill="FFFFFF"/>
        <w:suppressAutoHyphens/>
        <w:autoSpaceDE w:val="0"/>
        <w:spacing w:after="0" w:line="240" w:lineRule="auto"/>
        <w:rPr>
          <w:rFonts w:ascii="Times New Roman" w:eastAsia="Times New Roman" w:hAnsi="Times New Roman"/>
          <w:color w:val="000000"/>
          <w:lang w:val="it-IT" w:eastAsia="ar-SA"/>
        </w:rPr>
      </w:pPr>
      <w:r>
        <w:rPr>
          <w:rFonts w:ascii="Times New Roman" w:eastAsia="Times New Roman" w:hAnsi="Times New Roman"/>
          <w:color w:val="000000"/>
          <w:lang w:val="it-IT" w:eastAsia="ar-SA"/>
        </w:rPr>
        <w:t>Compressa rivestita con film.</w:t>
      </w:r>
    </w:p>
    <w:p>
      <w:pPr>
        <w:widowControl w:val="0"/>
        <w:shd w:val="clear" w:color="auto" w:fill="FFFFFF"/>
        <w:suppressAutoHyphens/>
        <w:autoSpaceDE w:val="0"/>
        <w:spacing w:after="0" w:line="240" w:lineRule="auto"/>
        <w:rPr>
          <w:rFonts w:ascii="Times New Roman" w:eastAsia="Times New Roman" w:hAnsi="Times New Roman"/>
          <w:color w:val="000000"/>
          <w:spacing w:val="1"/>
          <w:lang w:val="it-IT" w:eastAsia="ar-SA"/>
        </w:rPr>
      </w:pPr>
      <w:r>
        <w:rPr>
          <w:rFonts w:ascii="Times New Roman" w:eastAsia="Times New Roman" w:hAnsi="Times New Roman"/>
          <w:color w:val="000000"/>
          <w:spacing w:val="1"/>
          <w:lang w:val="it-IT" w:eastAsia="ar-SA"/>
        </w:rPr>
        <w:t>Compresse rivestite con film rosa, rotonde e leggermente convesse.</w:t>
      </w:r>
    </w:p>
    <w:p>
      <w:pPr>
        <w:widowControl w:val="0"/>
        <w:shd w:val="clear" w:color="auto" w:fill="FFFFFF"/>
        <w:suppressAutoHyphens/>
        <w:autoSpaceDE w:val="0"/>
        <w:spacing w:after="0" w:line="240" w:lineRule="auto"/>
        <w:rPr>
          <w:rFonts w:ascii="Times New Roman" w:eastAsia="Times New Roman" w:hAnsi="Times New Roman"/>
          <w:color w:val="000000"/>
          <w:spacing w:val="1"/>
          <w:lang w:val="it-IT" w:eastAsia="ar-SA"/>
        </w:rPr>
      </w:pPr>
    </w:p>
    <w:p>
      <w:pPr>
        <w:widowControl w:val="0"/>
        <w:shd w:val="clear" w:color="auto" w:fill="FFFFFF"/>
        <w:suppressAutoHyphens/>
        <w:autoSpaceDE w:val="0"/>
        <w:spacing w:after="0" w:line="240" w:lineRule="auto"/>
        <w:rPr>
          <w:rFonts w:ascii="Times New Roman" w:eastAsia="Times New Roman" w:hAnsi="Times New Roman"/>
          <w:color w:val="000000"/>
          <w:spacing w:val="1"/>
          <w:lang w:val="it-IT" w:eastAsia="ar-SA"/>
        </w:rPr>
      </w:pPr>
    </w:p>
    <w:p>
      <w:pPr>
        <w:widowControl w:val="0"/>
        <w:shd w:val="clear" w:color="auto" w:fill="FFFFFF"/>
        <w:tabs>
          <w:tab w:val="left" w:pos="557"/>
        </w:tabs>
        <w:suppressAutoHyphens/>
        <w:autoSpaceDE w:val="0"/>
        <w:spacing w:after="0" w:line="240" w:lineRule="auto"/>
        <w:rPr>
          <w:rFonts w:ascii="Times New Roman" w:eastAsia="Times New Roman" w:hAnsi="Times New Roman"/>
          <w:b/>
          <w:bCs/>
          <w:color w:val="000000"/>
          <w:spacing w:val="-1"/>
          <w:lang w:val="it-IT" w:eastAsia="ar-SA"/>
        </w:rPr>
      </w:pPr>
      <w:r>
        <w:rPr>
          <w:rFonts w:ascii="Times New Roman" w:eastAsia="Times New Roman" w:hAnsi="Times New Roman"/>
          <w:b/>
          <w:bCs/>
          <w:color w:val="000000"/>
          <w:spacing w:val="-8"/>
          <w:lang w:val="it-IT" w:eastAsia="ar-SA"/>
        </w:rPr>
        <w:t>4.</w:t>
      </w:r>
      <w:r>
        <w:rPr>
          <w:rFonts w:ascii="Times New Roman" w:eastAsia="Times New Roman" w:hAnsi="Times New Roman"/>
          <w:b/>
          <w:bCs/>
          <w:color w:val="000000"/>
          <w:lang w:val="it-IT" w:eastAsia="ar-SA"/>
        </w:rPr>
        <w:tab/>
      </w:r>
      <w:r>
        <w:rPr>
          <w:rFonts w:ascii="Times New Roman" w:eastAsia="Times New Roman" w:hAnsi="Times New Roman"/>
          <w:b/>
          <w:bCs/>
          <w:color w:val="000000"/>
          <w:spacing w:val="-1"/>
          <w:lang w:val="it-IT" w:eastAsia="ar-SA"/>
        </w:rPr>
        <w:t>INFORMAZIONI CLINICHE</w:t>
      </w:r>
    </w:p>
    <w:p>
      <w:pPr>
        <w:widowControl w:val="0"/>
        <w:shd w:val="clear" w:color="auto" w:fill="FFFFFF"/>
        <w:tabs>
          <w:tab w:val="left" w:pos="557"/>
        </w:tabs>
        <w:suppressAutoHyphens/>
        <w:autoSpaceDE w:val="0"/>
        <w:spacing w:after="0" w:line="240" w:lineRule="auto"/>
        <w:rPr>
          <w:rFonts w:ascii="Times New Roman" w:eastAsia="Times New Roman" w:hAnsi="Times New Roman"/>
          <w:b/>
          <w:bCs/>
          <w:color w:val="000000"/>
          <w:spacing w:val="-1"/>
          <w:lang w:val="it-IT" w:eastAsia="ar-SA"/>
        </w:rPr>
      </w:pPr>
    </w:p>
    <w:p>
      <w:pPr>
        <w:widowControl w:val="0"/>
        <w:shd w:val="clear" w:color="auto" w:fill="FFFFFF"/>
        <w:tabs>
          <w:tab w:val="left" w:pos="557"/>
        </w:tabs>
        <w:suppressAutoHyphens/>
        <w:autoSpaceDE w:val="0"/>
        <w:spacing w:after="0" w:line="240" w:lineRule="auto"/>
        <w:rPr>
          <w:rFonts w:ascii="Times New Roman" w:eastAsia="Times New Roman" w:hAnsi="Times New Roman"/>
          <w:b/>
          <w:bCs/>
          <w:color w:val="000000"/>
          <w:lang w:val="it-IT" w:eastAsia="ar-SA"/>
        </w:rPr>
      </w:pPr>
      <w:r>
        <w:rPr>
          <w:rFonts w:ascii="Times New Roman" w:eastAsia="Times New Roman" w:hAnsi="Times New Roman"/>
          <w:b/>
          <w:bCs/>
          <w:color w:val="000000"/>
          <w:spacing w:val="-8"/>
          <w:lang w:val="it-IT" w:eastAsia="ar-SA"/>
        </w:rPr>
        <w:t>4.1</w:t>
      </w:r>
      <w:r>
        <w:rPr>
          <w:rFonts w:ascii="Times New Roman" w:eastAsia="Times New Roman" w:hAnsi="Times New Roman"/>
          <w:b/>
          <w:bCs/>
          <w:color w:val="000000"/>
          <w:lang w:val="it-IT" w:eastAsia="ar-SA"/>
        </w:rPr>
        <w:tab/>
        <w:t>Indicazioni terapeutiche</w:t>
      </w:r>
    </w:p>
    <w:p>
      <w:pPr>
        <w:widowControl w:val="0"/>
        <w:shd w:val="clear" w:color="auto" w:fill="FFFFFF"/>
        <w:suppressAutoHyphens/>
        <w:autoSpaceDE w:val="0"/>
        <w:spacing w:after="0" w:line="240" w:lineRule="auto"/>
        <w:rPr>
          <w:rFonts w:ascii="Times New Roman" w:eastAsia="Times New Roman" w:hAnsi="Times New Roman"/>
          <w:color w:val="000000"/>
          <w:lang w:val="it-IT" w:eastAsia="ar-SA"/>
        </w:rPr>
      </w:pPr>
    </w:p>
    <w:p>
      <w:pPr>
        <w:spacing w:after="0" w:line="240" w:lineRule="auto"/>
        <w:rPr>
          <w:rFonts w:ascii="Times New Roman" w:eastAsia="Times New Roman" w:hAnsi="Times New Roman"/>
          <w:i/>
          <w:lang w:val="it-IT"/>
        </w:rPr>
      </w:pPr>
      <w:r>
        <w:rPr>
          <w:rFonts w:ascii="Times New Roman" w:eastAsia="Times New Roman" w:hAnsi="Times New Roman"/>
          <w:i/>
          <w:lang w:val="it-IT"/>
        </w:rPr>
        <w:t>Prevenzione secondaria di eventi di origine aterotrombotica</w:t>
      </w:r>
    </w:p>
    <w:p>
      <w:pPr>
        <w:spacing w:after="0" w:line="240" w:lineRule="auto"/>
        <w:rPr>
          <w:rFonts w:ascii="Times New Roman" w:eastAsia="Times New Roman" w:hAnsi="Times New Roman"/>
          <w:lang w:val="it-IT"/>
        </w:rPr>
      </w:pPr>
      <w:r>
        <w:rPr>
          <w:rFonts w:ascii="Times New Roman" w:eastAsia="Times New Roman" w:hAnsi="Times New Roman"/>
          <w:lang w:val="it-IT"/>
        </w:rPr>
        <w:t>Clopidogrel è indicato nei:</w:t>
      </w:r>
    </w:p>
    <w:p>
      <w:pPr>
        <w:spacing w:after="0" w:line="240" w:lineRule="auto"/>
        <w:rPr>
          <w:rFonts w:ascii="Times New Roman" w:eastAsia="Times New Roman" w:hAnsi="Times New Roman"/>
          <w:lang w:val="it-IT"/>
        </w:rPr>
      </w:pPr>
    </w:p>
    <w:p>
      <w:pPr>
        <w:tabs>
          <w:tab w:val="left" w:pos="540"/>
        </w:tabs>
        <w:spacing w:after="0" w:line="240" w:lineRule="auto"/>
        <w:ind w:left="540" w:hanging="540"/>
        <w:rPr>
          <w:rFonts w:ascii="Times New Roman" w:eastAsia="Times New Roman" w:hAnsi="Times New Roman"/>
          <w:lang w:val="it-IT"/>
        </w:rPr>
      </w:pPr>
      <w:r>
        <w:rPr>
          <w:rFonts w:ascii="Times New Roman" w:eastAsia="Times New Roman" w:hAnsi="Times New Roman"/>
          <w:lang w:val="it-IT"/>
        </w:rPr>
        <w:sym w:font="Symbol" w:char="F0B7"/>
      </w:r>
      <w:r>
        <w:rPr>
          <w:rFonts w:ascii="Times New Roman" w:eastAsia="Times New Roman" w:hAnsi="Times New Roman"/>
          <w:lang w:val="it-IT"/>
        </w:rPr>
        <w:tab/>
        <w:t>Pazienti adulti affetti da infarto miocardico (da pochi giorni fino a meno di 35), ictus ischemico (da 7 giorni fino a meno di 6 mesi) o arteriopatia obliterante periferica comprovata.</w:t>
      </w:r>
    </w:p>
    <w:p>
      <w:pPr>
        <w:tabs>
          <w:tab w:val="left" w:pos="540"/>
        </w:tabs>
        <w:spacing w:after="0" w:line="240" w:lineRule="auto"/>
        <w:ind w:left="540" w:hanging="540"/>
        <w:rPr>
          <w:rFonts w:ascii="Times New Roman" w:eastAsia="Times New Roman" w:hAnsi="Times New Roman"/>
          <w:lang w:val="it-IT"/>
        </w:rPr>
      </w:pPr>
    </w:p>
    <w:p>
      <w:pPr>
        <w:pStyle w:val="BodyText"/>
        <w:tabs>
          <w:tab w:val="left" w:pos="540"/>
        </w:tabs>
        <w:spacing w:after="0"/>
        <w:ind w:left="540" w:hanging="540"/>
        <w:rPr>
          <w:color w:val="000000"/>
          <w:spacing w:val="-1"/>
          <w:sz w:val="22"/>
          <w:szCs w:val="22"/>
        </w:rPr>
      </w:pPr>
      <w:r>
        <w:sym w:font="Symbol" w:char="F0B7"/>
      </w:r>
      <w:r>
        <w:rPr>
          <w:color w:val="000000"/>
          <w:spacing w:val="-1"/>
          <w:sz w:val="22"/>
          <w:szCs w:val="22"/>
        </w:rPr>
        <w:tab/>
        <w:t>Pazienti adulti affetti da infarto miocardico (da pochi giorni fino a meno di 35), ictus ischemico (da 7 giorni fino a meno di 6 mesi) o arteriopatia obliterante periferica comprovata</w:t>
      </w:r>
    </w:p>
    <w:p>
      <w:pPr>
        <w:pStyle w:val="BodyText"/>
        <w:tabs>
          <w:tab w:val="left" w:pos="540"/>
        </w:tabs>
        <w:spacing w:after="0"/>
        <w:ind w:left="540" w:hanging="540"/>
        <w:rPr>
          <w:color w:val="000000"/>
          <w:spacing w:val="-1"/>
          <w:sz w:val="22"/>
          <w:szCs w:val="22"/>
        </w:rPr>
      </w:pPr>
    </w:p>
    <w:p>
      <w:pPr>
        <w:pStyle w:val="BodyText"/>
        <w:tabs>
          <w:tab w:val="left" w:pos="540"/>
        </w:tabs>
        <w:spacing w:after="0"/>
        <w:ind w:left="540" w:hanging="540"/>
        <w:rPr>
          <w:color w:val="000000"/>
          <w:spacing w:val="-1"/>
          <w:sz w:val="22"/>
          <w:szCs w:val="22"/>
        </w:rPr>
      </w:pPr>
      <w:r>
        <w:rPr>
          <w:color w:val="000000"/>
          <w:spacing w:val="-1"/>
          <w:sz w:val="22"/>
          <w:szCs w:val="22"/>
        </w:rPr>
        <w:sym w:font="Symbol" w:char="F0B7"/>
      </w:r>
      <w:r>
        <w:rPr>
          <w:color w:val="000000"/>
          <w:spacing w:val="-1"/>
          <w:sz w:val="22"/>
          <w:szCs w:val="22"/>
        </w:rPr>
        <w:tab/>
        <w:t>Pazienti adulti affetti da sindrome coronarica acuta:</w:t>
      </w:r>
    </w:p>
    <w:p>
      <w:pPr>
        <w:pStyle w:val="BodyText"/>
        <w:widowControl/>
        <w:numPr>
          <w:ilvl w:val="0"/>
          <w:numId w:val="29"/>
        </w:numPr>
        <w:tabs>
          <w:tab w:val="clear" w:pos="720"/>
          <w:tab w:val="num" w:pos="900"/>
        </w:tabs>
        <w:suppressAutoHyphens w:val="0"/>
        <w:autoSpaceDE/>
        <w:spacing w:after="0"/>
        <w:ind w:left="900"/>
        <w:rPr>
          <w:color w:val="000000"/>
          <w:spacing w:val="-1"/>
          <w:sz w:val="22"/>
          <w:szCs w:val="22"/>
        </w:rPr>
      </w:pPr>
      <w:r>
        <w:rPr>
          <w:color w:val="000000"/>
          <w:spacing w:val="-1"/>
          <w:sz w:val="22"/>
          <w:szCs w:val="22"/>
        </w:rPr>
        <w:t>sindrome coronarica acuta senza innalzamento del tratto ST (angina instabile o infarto miocardico senza onde Q), inclusi pazienti sottoposti a posizionamento di stent in seguito a intervento coronarico percutaneo, in associazione con acido acetilsalicilico (ASA).</w:t>
      </w:r>
    </w:p>
    <w:p>
      <w:pPr>
        <w:pStyle w:val="BodyText"/>
        <w:widowControl/>
        <w:numPr>
          <w:ilvl w:val="0"/>
          <w:numId w:val="29"/>
        </w:numPr>
        <w:tabs>
          <w:tab w:val="clear" w:pos="720"/>
          <w:tab w:val="num" w:pos="900"/>
        </w:tabs>
        <w:suppressAutoHyphens w:val="0"/>
        <w:autoSpaceDE/>
        <w:spacing w:after="0"/>
        <w:ind w:left="900"/>
        <w:rPr>
          <w:color w:val="000000"/>
          <w:spacing w:val="-1"/>
          <w:sz w:val="22"/>
          <w:szCs w:val="22"/>
        </w:rPr>
      </w:pPr>
      <w:r>
        <w:rPr>
          <w:color w:val="000000"/>
          <w:spacing w:val="-1"/>
          <w:sz w:val="22"/>
          <w:szCs w:val="22"/>
        </w:rPr>
        <w:t xml:space="preserve">sindrome coronarica acuta con innalzamento del tratto ST in associazione con ASA </w:t>
      </w:r>
      <w:r>
        <w:rPr>
          <w:sz w:val="22"/>
          <w:szCs w:val="22"/>
        </w:rPr>
        <w:t>in pazienti sottoposti a intervento coronarico percutaneo (compresi i pazienti sottoposti a posizionamento di stent) o</w:t>
      </w:r>
      <w:r>
        <w:rPr>
          <w:color w:val="000000"/>
          <w:spacing w:val="-1"/>
          <w:sz w:val="22"/>
          <w:szCs w:val="22"/>
        </w:rPr>
        <w:t xml:space="preserve"> nei pazienti in terapia farmacologica candidati alla terapia trombolitica</w:t>
      </w:r>
      <w:r>
        <w:rPr>
          <w:sz w:val="22"/>
          <w:szCs w:val="22"/>
        </w:rPr>
        <w:t>/fibrinolitica</w:t>
      </w:r>
      <w:r>
        <w:rPr>
          <w:color w:val="000000"/>
          <w:spacing w:val="-1"/>
          <w:sz w:val="22"/>
          <w:szCs w:val="22"/>
        </w:rPr>
        <w:t>.</w:t>
      </w:r>
    </w:p>
    <w:p>
      <w:pPr>
        <w:pStyle w:val="BodyText"/>
        <w:tabs>
          <w:tab w:val="left" w:pos="540"/>
        </w:tabs>
        <w:spacing w:after="0"/>
        <w:rPr>
          <w:color w:val="000000"/>
          <w:spacing w:val="-1"/>
          <w:sz w:val="22"/>
          <w:szCs w:val="22"/>
        </w:rPr>
      </w:pPr>
    </w:p>
    <w:p>
      <w:pPr>
        <w:pStyle w:val="BodyText"/>
        <w:tabs>
          <w:tab w:val="left" w:pos="0"/>
        </w:tabs>
        <w:spacing w:after="0"/>
        <w:rPr>
          <w:i/>
          <w:sz w:val="22"/>
          <w:szCs w:val="22"/>
        </w:rPr>
      </w:pPr>
      <w:r>
        <w:rPr>
          <w:i/>
          <w:sz w:val="22"/>
          <w:szCs w:val="22"/>
        </w:rPr>
        <w:t>In pazienti con attacco ischemico transitorio (TIA) a rischio da moderato ad alto o ictus ischemico minore (IS)</w:t>
      </w:r>
    </w:p>
    <w:p>
      <w:pPr>
        <w:pStyle w:val="BodyText"/>
        <w:tabs>
          <w:tab w:val="left" w:pos="540"/>
        </w:tabs>
        <w:spacing w:after="0"/>
        <w:ind w:left="540" w:hanging="540"/>
        <w:rPr>
          <w:i/>
          <w:sz w:val="22"/>
          <w:szCs w:val="22"/>
        </w:rPr>
      </w:pPr>
      <w:r>
        <w:rPr>
          <w:i/>
          <w:sz w:val="22"/>
          <w:szCs w:val="22"/>
        </w:rPr>
        <w:t>Clopidogrel in associazione con ASA è indicato in:</w:t>
      </w:r>
    </w:p>
    <w:p>
      <w:pPr>
        <w:pStyle w:val="BodyText"/>
        <w:tabs>
          <w:tab w:val="left" w:pos="540"/>
        </w:tabs>
        <w:spacing w:after="0"/>
        <w:ind w:left="540" w:hanging="540"/>
        <w:rPr>
          <w:sz w:val="22"/>
          <w:szCs w:val="22"/>
        </w:rPr>
      </w:pPr>
      <w:r>
        <w:rPr>
          <w:sz w:val="22"/>
          <w:szCs w:val="22"/>
        </w:rPr>
        <w:t xml:space="preserve">- </w:t>
      </w:r>
      <w:r>
        <w:rPr>
          <w:sz w:val="22"/>
          <w:szCs w:val="22"/>
        </w:rPr>
        <w:tab/>
        <w:t>Pazienti adulti con TIA a rischio da moderato ad alto (punteggio ABCD2</w:t>
      </w:r>
      <w:r>
        <w:rPr>
          <w:rStyle w:val="FootnoteReference"/>
          <w:sz w:val="22"/>
          <w:szCs w:val="22"/>
        </w:rPr>
        <w:footnoteReference w:id="2"/>
      </w:r>
      <w:r>
        <w:rPr>
          <w:sz w:val="22"/>
          <w:szCs w:val="22"/>
        </w:rPr>
        <w:t xml:space="preserve"> ≥4) o IS minore (NIHSS</w:t>
      </w:r>
      <w:r>
        <w:rPr>
          <w:rStyle w:val="FootnoteReference"/>
          <w:sz w:val="22"/>
          <w:szCs w:val="22"/>
        </w:rPr>
        <w:footnoteReference w:id="3"/>
      </w:r>
      <w:r>
        <w:rPr>
          <w:sz w:val="22"/>
          <w:szCs w:val="22"/>
        </w:rPr>
        <w:t xml:space="preserve"> ≤3) entro 24 ore dall'evento TIA o IS.</w:t>
      </w:r>
    </w:p>
    <w:p>
      <w:pPr>
        <w:pStyle w:val="BodyText"/>
        <w:tabs>
          <w:tab w:val="left" w:pos="540"/>
        </w:tabs>
        <w:spacing w:after="0"/>
        <w:rPr>
          <w:color w:val="000000"/>
          <w:spacing w:val="-1"/>
          <w:sz w:val="22"/>
          <w:szCs w:val="22"/>
        </w:rPr>
      </w:pPr>
    </w:p>
    <w:p>
      <w:pPr>
        <w:spacing w:after="0" w:line="240" w:lineRule="auto"/>
        <w:rPr>
          <w:rFonts w:ascii="Times New Roman" w:eastAsia="Times New Roman" w:hAnsi="Times New Roman"/>
          <w:i/>
          <w:color w:val="000000"/>
          <w:spacing w:val="-1"/>
          <w:lang w:val="it-IT" w:eastAsia="ar-SA"/>
        </w:rPr>
      </w:pPr>
      <w:r>
        <w:rPr>
          <w:rFonts w:ascii="Times New Roman" w:eastAsia="Times New Roman" w:hAnsi="Times New Roman"/>
          <w:i/>
          <w:color w:val="000000"/>
          <w:spacing w:val="-1"/>
          <w:lang w:val="it-IT" w:eastAsia="ar-SA"/>
        </w:rPr>
        <w:t>Prevenzione di eventi di origine aterotrombotica e tromboembolica nella fibrillazione atriale</w:t>
      </w:r>
    </w:p>
    <w:p>
      <w:pPr>
        <w:spacing w:after="0" w:line="240" w:lineRule="auto"/>
        <w:rPr>
          <w:rFonts w:ascii="Times New Roman" w:eastAsia="Times New Roman" w:hAnsi="Times New Roman"/>
          <w:color w:val="000000"/>
          <w:spacing w:val="-1"/>
          <w:lang w:val="it-IT" w:eastAsia="ar-SA"/>
        </w:rPr>
      </w:pPr>
      <w:r>
        <w:rPr>
          <w:rFonts w:ascii="Times New Roman" w:eastAsia="Times New Roman" w:hAnsi="Times New Roman"/>
          <w:color w:val="000000"/>
          <w:spacing w:val="-1"/>
          <w:lang w:val="it-IT" w:eastAsia="ar-SA"/>
        </w:rPr>
        <w:t>Clopidogrel in associazione con ASA è indicato nella prevenzione di eventi di origine aterotrombotica e tromboembolica, incluso l’ictus nei pazienti adulti con fibrillazione atriale che possiedono almeno un fattore di rischio per eventi vascolari, non idonei ad un trattamento a base di antagonisti della vitamina K (AVK) e che possiedono un basso rischio di sanguinamento.</w:t>
      </w:r>
    </w:p>
    <w:p>
      <w:pPr>
        <w:widowControl w:val="0"/>
        <w:shd w:val="clear" w:color="auto" w:fill="FFFFFF"/>
        <w:tabs>
          <w:tab w:val="left" w:pos="569"/>
        </w:tabs>
        <w:suppressAutoHyphens/>
        <w:autoSpaceDE w:val="0"/>
        <w:spacing w:after="0" w:line="240" w:lineRule="auto"/>
        <w:rPr>
          <w:rFonts w:ascii="Times New Roman" w:eastAsia="Times New Roman" w:hAnsi="Times New Roman"/>
          <w:color w:val="000000"/>
          <w:lang w:val="it-IT" w:eastAsia="ar-SA"/>
        </w:rPr>
      </w:pPr>
    </w:p>
    <w:p>
      <w:pPr>
        <w:widowControl w:val="0"/>
        <w:shd w:val="clear" w:color="auto" w:fill="FFFFFF"/>
        <w:tabs>
          <w:tab w:val="left" w:pos="578"/>
        </w:tabs>
        <w:suppressAutoHyphens/>
        <w:autoSpaceDE w:val="0"/>
        <w:spacing w:after="0" w:line="240" w:lineRule="auto"/>
        <w:rPr>
          <w:rFonts w:ascii="Times New Roman" w:eastAsia="Times New Roman" w:hAnsi="Times New Roman"/>
          <w:color w:val="000000"/>
          <w:lang w:val="it-IT" w:eastAsia="ar-SA"/>
        </w:rPr>
      </w:pPr>
      <w:r>
        <w:rPr>
          <w:rFonts w:ascii="Times New Roman" w:eastAsia="Times New Roman" w:hAnsi="Times New Roman"/>
          <w:color w:val="000000"/>
          <w:lang w:val="it-IT" w:eastAsia="ar-SA"/>
        </w:rPr>
        <w:t>Per ulteriori informazioni vedere il paragrafo 5.1.</w:t>
      </w:r>
    </w:p>
    <w:p>
      <w:pPr>
        <w:widowControl w:val="0"/>
        <w:shd w:val="clear" w:color="auto" w:fill="FFFFFF"/>
        <w:tabs>
          <w:tab w:val="left" w:pos="557"/>
        </w:tabs>
        <w:suppressAutoHyphens/>
        <w:autoSpaceDE w:val="0"/>
        <w:spacing w:after="0" w:line="240" w:lineRule="auto"/>
        <w:rPr>
          <w:rFonts w:ascii="Times New Roman" w:eastAsia="Times New Roman" w:hAnsi="Times New Roman"/>
          <w:b/>
          <w:bCs/>
          <w:color w:val="000000"/>
          <w:spacing w:val="-5"/>
          <w:lang w:val="it-IT" w:eastAsia="ar-SA"/>
        </w:rPr>
      </w:pPr>
    </w:p>
    <w:p>
      <w:pPr>
        <w:widowControl w:val="0"/>
        <w:shd w:val="clear" w:color="auto" w:fill="FFFFFF"/>
        <w:tabs>
          <w:tab w:val="left" w:pos="557"/>
        </w:tabs>
        <w:suppressAutoHyphens/>
        <w:autoSpaceDE w:val="0"/>
        <w:spacing w:after="0" w:line="240" w:lineRule="auto"/>
        <w:rPr>
          <w:rFonts w:ascii="Times New Roman" w:eastAsia="Times New Roman" w:hAnsi="Times New Roman"/>
          <w:b/>
          <w:bCs/>
          <w:color w:val="000000"/>
          <w:lang w:val="it-IT" w:eastAsia="ar-SA"/>
        </w:rPr>
      </w:pPr>
      <w:r>
        <w:rPr>
          <w:rFonts w:ascii="Times New Roman" w:eastAsia="Times New Roman" w:hAnsi="Times New Roman"/>
          <w:b/>
          <w:bCs/>
          <w:color w:val="000000"/>
          <w:spacing w:val="-5"/>
          <w:lang w:val="it-IT" w:eastAsia="ar-SA"/>
        </w:rPr>
        <w:t>4.2</w:t>
      </w:r>
      <w:r>
        <w:rPr>
          <w:rFonts w:ascii="Times New Roman" w:eastAsia="Times New Roman" w:hAnsi="Times New Roman"/>
          <w:b/>
          <w:bCs/>
          <w:color w:val="000000"/>
          <w:lang w:val="it-IT" w:eastAsia="ar-SA"/>
        </w:rPr>
        <w:tab/>
        <w:t>Posologia e modo di somministrazione</w:t>
      </w:r>
    </w:p>
    <w:p>
      <w:pPr>
        <w:widowControl w:val="0"/>
        <w:suppressAutoHyphens/>
        <w:autoSpaceDE w:val="0"/>
        <w:spacing w:after="0" w:line="240" w:lineRule="auto"/>
        <w:rPr>
          <w:rFonts w:ascii="Times New Roman" w:eastAsia="Times New Roman" w:hAnsi="Times New Roman"/>
          <w:lang w:val="it-IT" w:eastAsia="ar-SA"/>
        </w:rPr>
      </w:pPr>
    </w:p>
    <w:p>
      <w:pPr>
        <w:widowControl w:val="0"/>
        <w:suppressAutoHyphens/>
        <w:autoSpaceDE w:val="0"/>
        <w:spacing w:after="0" w:line="240" w:lineRule="auto"/>
        <w:rPr>
          <w:rFonts w:ascii="Times New Roman" w:eastAsia="Times New Roman" w:hAnsi="Times New Roman"/>
          <w:u w:val="single"/>
          <w:lang w:val="it-IT" w:eastAsia="ar-SA"/>
        </w:rPr>
      </w:pPr>
      <w:r>
        <w:rPr>
          <w:rFonts w:ascii="Times New Roman" w:eastAsia="Times New Roman" w:hAnsi="Times New Roman"/>
          <w:u w:val="single"/>
          <w:lang w:val="it-IT" w:eastAsia="ar-SA"/>
        </w:rPr>
        <w:t>Posologia</w:t>
      </w:r>
    </w:p>
    <w:p>
      <w:pPr>
        <w:widowControl w:val="0"/>
        <w:numPr>
          <w:ilvl w:val="0"/>
          <w:numId w:val="9"/>
        </w:numPr>
        <w:shd w:val="clear" w:color="auto" w:fill="FFFFFF"/>
        <w:tabs>
          <w:tab w:val="left" w:pos="567"/>
        </w:tabs>
        <w:suppressAutoHyphens/>
        <w:autoSpaceDE w:val="0"/>
        <w:spacing w:after="0" w:line="240" w:lineRule="auto"/>
        <w:ind w:left="567" w:hanging="567"/>
        <w:rPr>
          <w:rFonts w:ascii="Times New Roman" w:eastAsia="Times New Roman" w:hAnsi="Times New Roman"/>
          <w:color w:val="000000"/>
          <w:lang w:val="it-IT" w:eastAsia="ar-SA"/>
        </w:rPr>
      </w:pPr>
      <w:r>
        <w:rPr>
          <w:rFonts w:ascii="Times New Roman" w:eastAsia="Times New Roman" w:hAnsi="Times New Roman"/>
          <w:color w:val="000000"/>
          <w:lang w:val="it-IT" w:eastAsia="ar-SA"/>
        </w:rPr>
        <w:t xml:space="preserve">Adulti </w:t>
      </w:r>
      <w:r>
        <w:rPr>
          <w:rFonts w:ascii="Times New Roman" w:hAnsi="Times New Roman"/>
          <w:lang w:val="it-IT"/>
        </w:rPr>
        <w:t>e popolazione anziana</w:t>
      </w:r>
    </w:p>
    <w:p>
      <w:pPr>
        <w:widowControl w:val="0"/>
        <w:shd w:val="clear" w:color="auto" w:fill="FFFFFF"/>
        <w:suppressAutoHyphens/>
        <w:autoSpaceDE w:val="0"/>
        <w:spacing w:after="0" w:line="240" w:lineRule="auto"/>
        <w:ind w:left="567"/>
        <w:rPr>
          <w:rFonts w:ascii="Times New Roman" w:eastAsia="Times New Roman" w:hAnsi="Times New Roman"/>
          <w:color w:val="000000"/>
          <w:lang w:val="it-IT" w:eastAsia="ar-SA"/>
        </w:rPr>
      </w:pPr>
      <w:r>
        <w:rPr>
          <w:rFonts w:ascii="Times New Roman" w:eastAsia="Times New Roman" w:hAnsi="Times New Roman"/>
          <w:color w:val="000000"/>
          <w:lang w:val="it-IT" w:eastAsia="ar-SA"/>
        </w:rPr>
        <w:t>Clopidogrel va somministrato in dose giornaliera singola di 75 mg.</w:t>
      </w:r>
    </w:p>
    <w:p>
      <w:pPr>
        <w:spacing w:after="0" w:line="240" w:lineRule="auto"/>
        <w:ind w:left="540"/>
        <w:rPr>
          <w:rFonts w:ascii="Times New Roman" w:eastAsia="Times New Roman" w:hAnsi="Times New Roman"/>
          <w:color w:val="000000"/>
          <w:spacing w:val="-1"/>
          <w:lang w:val="it-IT" w:eastAsia="ar-SA"/>
        </w:rPr>
      </w:pPr>
    </w:p>
    <w:p>
      <w:pPr>
        <w:spacing w:after="0" w:line="240" w:lineRule="auto"/>
        <w:rPr>
          <w:rFonts w:ascii="Times New Roman" w:eastAsia="Times New Roman" w:hAnsi="Times New Roman"/>
          <w:color w:val="000000"/>
          <w:spacing w:val="-1"/>
          <w:lang w:val="it-IT" w:eastAsia="ar-SA"/>
        </w:rPr>
      </w:pPr>
      <w:r>
        <w:rPr>
          <w:rFonts w:ascii="Times New Roman" w:eastAsia="Times New Roman" w:hAnsi="Times New Roman"/>
          <w:color w:val="000000"/>
          <w:spacing w:val="-1"/>
          <w:lang w:val="it-IT" w:eastAsia="ar-SA"/>
        </w:rPr>
        <w:t>Nei pazienti affetti da sindrome coronarica acuta:</w:t>
      </w:r>
    </w:p>
    <w:p>
      <w:pPr>
        <w:numPr>
          <w:ilvl w:val="0"/>
          <w:numId w:val="29"/>
        </w:numPr>
        <w:tabs>
          <w:tab w:val="clear" w:pos="720"/>
          <w:tab w:val="num" w:pos="567"/>
        </w:tabs>
        <w:spacing w:after="0" w:line="240" w:lineRule="auto"/>
        <w:ind w:left="900" w:hanging="900"/>
        <w:rPr>
          <w:rFonts w:ascii="Times New Roman" w:eastAsia="Times New Roman" w:hAnsi="Times New Roman"/>
          <w:color w:val="000000"/>
          <w:spacing w:val="-1"/>
          <w:lang w:val="it-IT" w:eastAsia="ar-SA"/>
        </w:rPr>
      </w:pPr>
      <w:r>
        <w:rPr>
          <w:rFonts w:ascii="Times New Roman" w:eastAsia="Times New Roman" w:hAnsi="Times New Roman"/>
          <w:color w:val="000000"/>
          <w:spacing w:val="-1"/>
          <w:lang w:val="it-IT" w:eastAsia="ar-SA"/>
        </w:rPr>
        <w:t>sindrome coronarica acuta senza innalzamento del tratto ST (angina instabile o infarto miocardico senza onde Q): il trattamento con clopidogrel deve essere iniziato con una singola dose di carico di 300 mg o 600 mg. Una dose di carico di 600 mg può essere presa in considerazione nei pazienti di età &lt;75 anni quando è previsto un intervento coronarico percutaneo (vedere paragrafo 4.4). Il trattamento con clopidogrel deve continuare</w:t>
      </w:r>
      <w:r>
        <w:t xml:space="preserve"> </w:t>
      </w:r>
      <w:r>
        <w:rPr>
          <w:rFonts w:ascii="Times New Roman" w:eastAsia="Times New Roman" w:hAnsi="Times New Roman"/>
          <w:color w:val="000000"/>
          <w:spacing w:val="-1"/>
          <w:lang w:val="it-IT" w:eastAsia="ar-SA"/>
        </w:rPr>
        <w:t>con 75 mg una volta al giorno (in associazione ad acido acetilsalicilico (ASA) 75 mg -325 mg al giorno). Dato che dosi superiori di ASA sono state correlate con un più alto rischio di sanguinamento, si consiglia che la dose di ASA non sia superiore a 100 mg. La durata ottimale del trattamento non è stata formalmente stabilita. I dati degli studi clinici sostengono l’uso fino a 12 mesi e il beneficio massimo è stato osservato a 3 mesi (vedere paragrafo 5.1).</w:t>
      </w:r>
    </w:p>
    <w:p>
      <w:pPr>
        <w:numPr>
          <w:ilvl w:val="0"/>
          <w:numId w:val="29"/>
        </w:numPr>
        <w:tabs>
          <w:tab w:val="clear" w:pos="720"/>
          <w:tab w:val="num" w:pos="567"/>
        </w:tabs>
        <w:spacing w:after="0" w:line="240" w:lineRule="auto"/>
        <w:ind w:left="900" w:hanging="900"/>
        <w:rPr>
          <w:rFonts w:ascii="Times New Roman" w:eastAsia="Times New Roman" w:hAnsi="Times New Roman"/>
          <w:color w:val="000000"/>
          <w:spacing w:val="-1"/>
          <w:lang w:val="it-IT" w:eastAsia="ar-SA"/>
        </w:rPr>
      </w:pPr>
      <w:r>
        <w:rPr>
          <w:rFonts w:ascii="Times New Roman" w:eastAsia="Times New Roman" w:hAnsi="Times New Roman"/>
          <w:color w:val="000000"/>
          <w:spacing w:val="-1"/>
          <w:lang w:val="it-IT" w:eastAsia="ar-SA"/>
        </w:rPr>
        <w:t xml:space="preserve">infarto miocardico acuto con innalzamento del tratto ST: </w:t>
      </w:r>
    </w:p>
    <w:p>
      <w:pPr>
        <w:numPr>
          <w:ilvl w:val="0"/>
          <w:numId w:val="29"/>
        </w:numPr>
        <w:tabs>
          <w:tab w:val="clear" w:pos="720"/>
          <w:tab w:val="num" w:pos="567"/>
        </w:tabs>
        <w:spacing w:after="0" w:line="240" w:lineRule="auto"/>
        <w:ind w:left="900" w:hanging="333"/>
        <w:rPr>
          <w:rFonts w:ascii="Times New Roman" w:eastAsia="Times New Roman" w:hAnsi="Times New Roman"/>
          <w:color w:val="000000"/>
          <w:spacing w:val="-1"/>
          <w:lang w:val="it-IT" w:eastAsia="ar-SA"/>
        </w:rPr>
      </w:pPr>
      <w:r>
        <w:rPr>
          <w:rFonts w:ascii="Times New Roman" w:hAnsi="Times New Roman"/>
          <w:color w:val="000000"/>
        </w:rPr>
        <w:t>Per i pazienti trattati con terapia medica, idonei alla terapia trombolitica/fibrinolitica:</w:t>
      </w:r>
      <w:r>
        <w:rPr>
          <w:color w:val="000000"/>
        </w:rPr>
        <w:t xml:space="preserve"> </w:t>
      </w:r>
      <w:r>
        <w:rPr>
          <w:rFonts w:ascii="Times New Roman" w:eastAsia="Times New Roman" w:hAnsi="Times New Roman"/>
          <w:color w:val="000000"/>
          <w:spacing w:val="-1"/>
          <w:lang w:val="it-IT" w:eastAsia="ar-SA"/>
        </w:rPr>
        <w:t>clopidogrel deve essere somministrato in dose singola giornaliera di 75 mg iniziando con una dose di carico di 300 mg in associazione ad ASA, con o senza trombolitici. Nei pazienti trattati con sola terapia farmacologica di età superiore ai 75 anni clopidogrel deve essere iniziato senza dose di carico. La terapia combinata deve essere iniziata prima possibile dal momento della comparsa dei sintomi e continuata per almeno 4 settimane. Il beneficio dell’associazione di clopidogrel con ASA oltre le quattro settimane non è stato studiato in questo contesto (vedere paragrafo 5.1).</w:t>
      </w:r>
    </w:p>
    <w:p>
      <w:pPr>
        <w:numPr>
          <w:ilvl w:val="0"/>
          <w:numId w:val="29"/>
        </w:numPr>
        <w:tabs>
          <w:tab w:val="clear" w:pos="720"/>
        </w:tabs>
        <w:spacing w:after="0" w:line="240" w:lineRule="auto"/>
        <w:ind w:left="851" w:hanging="284"/>
        <w:rPr>
          <w:rFonts w:ascii="Times New Roman" w:eastAsia="Times New Roman" w:hAnsi="Times New Roman"/>
          <w:color w:val="000000"/>
          <w:spacing w:val="-1"/>
          <w:lang w:val="it-IT" w:eastAsia="ar-SA"/>
        </w:rPr>
      </w:pPr>
      <w:r>
        <w:rPr>
          <w:rFonts w:ascii="Times New Roman" w:eastAsia="Times New Roman" w:hAnsi="Times New Roman"/>
          <w:color w:val="000000"/>
          <w:spacing w:val="-1"/>
          <w:lang w:val="it-IT" w:eastAsia="ar-SA"/>
        </w:rPr>
        <w:t>Quando è previsto un intervento coronarico percutaneo (PCI):</w:t>
      </w:r>
    </w:p>
    <w:p>
      <w:pPr>
        <w:numPr>
          <w:ilvl w:val="0"/>
          <w:numId w:val="29"/>
        </w:numPr>
        <w:tabs>
          <w:tab w:val="clear" w:pos="720"/>
        </w:tabs>
        <w:spacing w:after="0" w:line="240" w:lineRule="auto"/>
        <w:ind w:hanging="11"/>
        <w:rPr>
          <w:rFonts w:ascii="Times New Roman" w:eastAsia="Times New Roman" w:hAnsi="Times New Roman"/>
          <w:color w:val="000000"/>
          <w:spacing w:val="-1"/>
          <w:lang w:val="it-IT" w:eastAsia="ar-SA"/>
        </w:rPr>
      </w:pPr>
      <w:r>
        <w:rPr>
          <w:rFonts w:ascii="Times New Roman" w:eastAsia="Times New Roman" w:hAnsi="Times New Roman"/>
          <w:color w:val="000000"/>
          <w:spacing w:val="-1"/>
          <w:lang w:val="it-IT" w:eastAsia="ar-SA"/>
        </w:rPr>
        <w:t>clopidogrel deve essere iniziato a una dose di carico di 600 mg in pazienti sottoposti a PCI primaria e in pazienti sottoposti a PCI più di 24 ore dopo aver ricevuto la terapia fibrinolitica. Nei pazienti di età ≥75 anni, la dose di carico di 600 mg deve essere somministrata con cautela (vedere paragrafo 4.4).</w:t>
      </w:r>
    </w:p>
    <w:p>
      <w:pPr>
        <w:spacing w:after="0" w:line="240" w:lineRule="auto"/>
        <w:ind w:left="720"/>
        <w:rPr>
          <w:rFonts w:ascii="Times New Roman" w:eastAsia="Times New Roman" w:hAnsi="Times New Roman"/>
          <w:color w:val="000000"/>
          <w:spacing w:val="-1"/>
          <w:lang w:val="it-IT" w:eastAsia="ar-SA"/>
        </w:rPr>
      </w:pPr>
      <w:r>
        <w:rPr>
          <w:rFonts w:ascii="Times New Roman" w:eastAsia="Times New Roman" w:hAnsi="Times New Roman"/>
          <w:color w:val="000000"/>
          <w:spacing w:val="-1"/>
          <w:lang w:val="it-IT" w:eastAsia="ar-SA"/>
        </w:rPr>
        <w:t>-</w:t>
      </w:r>
      <w:r>
        <w:rPr>
          <w:rFonts w:ascii="Times New Roman" w:eastAsia="Times New Roman" w:hAnsi="Times New Roman"/>
          <w:color w:val="000000"/>
          <w:spacing w:val="-1"/>
          <w:lang w:val="it-IT" w:eastAsia="ar-SA"/>
        </w:rPr>
        <w:tab/>
        <w:t>la dose di carico di clopidogrel 300 mg deve essere somministrata nei pazienti sottoposti a PCI entro 24 ore dalla somministrazione della terapia fibrinolitica.</w:t>
      </w:r>
    </w:p>
    <w:p>
      <w:pPr>
        <w:spacing w:after="0" w:line="240" w:lineRule="auto"/>
        <w:rPr>
          <w:rFonts w:ascii="Times New Roman" w:eastAsia="Times New Roman" w:hAnsi="Times New Roman"/>
          <w:color w:val="000000"/>
          <w:spacing w:val="-1"/>
          <w:lang w:val="it-IT" w:eastAsia="ar-SA"/>
        </w:rPr>
      </w:pPr>
      <w:r>
        <w:rPr>
          <w:rFonts w:ascii="Times New Roman" w:eastAsia="Times New Roman" w:hAnsi="Times New Roman"/>
          <w:color w:val="000000"/>
          <w:spacing w:val="-1"/>
          <w:lang w:val="it-IT" w:eastAsia="ar-SA"/>
        </w:rPr>
        <w:t>Il trattamento con clopidogrel deve essere continuato alla dose di 75 mg una volta al giorno in associazione a ASA 75 mg -100 mg al giorno. La terapia combinata deve essere iniziata il prima possibile dopo l’inizio dei sintomi e continuata fino a 12 mesi (vedere paragrafo 5.1).</w:t>
      </w:r>
    </w:p>
    <w:p>
      <w:pPr>
        <w:keepNext/>
        <w:keepLines/>
        <w:spacing w:after="0" w:line="240" w:lineRule="auto"/>
        <w:ind w:left="896"/>
        <w:rPr>
          <w:rFonts w:ascii="Times New Roman" w:eastAsia="Times New Roman" w:hAnsi="Times New Roman"/>
          <w:color w:val="000000"/>
          <w:spacing w:val="-1"/>
          <w:lang w:val="it-IT" w:eastAsia="ar-SA"/>
        </w:rPr>
      </w:pPr>
    </w:p>
    <w:p>
      <w:pPr>
        <w:spacing w:after="0" w:line="240" w:lineRule="auto"/>
        <w:ind w:left="357"/>
        <w:jc w:val="both"/>
        <w:rPr>
          <w:rFonts w:ascii="Times New Roman" w:eastAsia="Times New Roman" w:hAnsi="Times New Roman"/>
          <w:color w:val="000000"/>
          <w:spacing w:val="-1"/>
          <w:lang w:val="it-IT" w:eastAsia="ar-SA"/>
        </w:rPr>
      </w:pPr>
      <w:r>
        <w:rPr>
          <w:rFonts w:ascii="Times New Roman" w:eastAsia="Times New Roman" w:hAnsi="Times New Roman"/>
          <w:color w:val="000000"/>
          <w:spacing w:val="-1"/>
          <w:lang w:val="it-IT" w:eastAsia="ar-SA"/>
        </w:rPr>
        <w:t>Pazienti adulti con TIA a rischio da moderato ad alto o IS minore:</w:t>
      </w:r>
    </w:p>
    <w:p>
      <w:pPr>
        <w:keepNext/>
        <w:keepLines/>
        <w:spacing w:after="0" w:line="240" w:lineRule="auto"/>
        <w:ind w:left="357"/>
        <w:rPr>
          <w:rFonts w:ascii="Times New Roman" w:eastAsia="Times New Roman" w:hAnsi="Times New Roman"/>
          <w:color w:val="000000"/>
          <w:spacing w:val="-1"/>
          <w:lang w:val="it-IT" w:eastAsia="ar-SA"/>
        </w:rPr>
      </w:pPr>
      <w:r>
        <w:rPr>
          <w:rFonts w:ascii="Times New Roman" w:eastAsia="Times New Roman" w:hAnsi="Times New Roman"/>
          <w:color w:val="000000"/>
          <w:spacing w:val="-1"/>
          <w:lang w:val="it-IT" w:eastAsia="ar-SA"/>
        </w:rPr>
        <w:t>Ai pazienti adulti con TIA a rischio da moderato ad alto (punteggio ABCD2 ≥4) o IS minore (NIHSS ≤3) deve essere somministrata una dose di carico di clopidogrel 300 mg seguita da clopidogrel 75 mg una volta al giorno in combinazione con ASA (75 mg -100 mg una volta al giorno). Il trattamento con clopidogrel e ASA deve essere iniziato entro 24 ore dall'evento e continuato per 21 giorni, seguito da una singola terapia antipiastrinica.</w:t>
      </w:r>
    </w:p>
    <w:p>
      <w:pPr>
        <w:spacing w:after="0" w:line="240" w:lineRule="auto"/>
        <w:rPr>
          <w:rFonts w:ascii="Times New Roman" w:eastAsia="Times New Roman" w:hAnsi="Times New Roman"/>
          <w:color w:val="000000"/>
          <w:spacing w:val="-1"/>
          <w:lang w:val="it-IT" w:eastAsia="ar-SA"/>
        </w:rPr>
      </w:pPr>
    </w:p>
    <w:p>
      <w:pPr>
        <w:spacing w:after="0" w:line="240" w:lineRule="auto"/>
        <w:ind w:left="540"/>
        <w:jc w:val="both"/>
        <w:rPr>
          <w:rFonts w:ascii="Times New Roman" w:eastAsia="Times New Roman" w:hAnsi="Times New Roman"/>
          <w:color w:val="000000"/>
          <w:spacing w:val="-1"/>
          <w:lang w:val="it-IT" w:eastAsia="ar-SA"/>
        </w:rPr>
      </w:pPr>
      <w:r>
        <w:rPr>
          <w:rFonts w:ascii="Times New Roman" w:eastAsia="Times New Roman" w:hAnsi="Times New Roman"/>
          <w:color w:val="000000"/>
          <w:spacing w:val="-1"/>
          <w:lang w:val="it-IT" w:eastAsia="ar-SA"/>
        </w:rPr>
        <w:t>Nei pazienti con fibrillazione atriale, clopidogrel può essere somministrato in dose singola giornaliera di 75 mg. Il trattamento con ASA (75-100 mg al giorno) deve essere iniziato e continuato in associazione con clopidogrel (vedere paragrafo 5.1).</w:t>
      </w:r>
    </w:p>
    <w:p>
      <w:pPr>
        <w:widowControl w:val="0"/>
        <w:shd w:val="clear" w:color="auto" w:fill="FFFFFF"/>
        <w:suppressAutoHyphens/>
        <w:autoSpaceDE w:val="0"/>
        <w:spacing w:after="0" w:line="240" w:lineRule="auto"/>
        <w:ind w:left="567"/>
        <w:rPr>
          <w:rFonts w:ascii="Times New Roman" w:eastAsia="Times New Roman" w:hAnsi="Times New Roman"/>
          <w:color w:val="000000"/>
          <w:lang w:val="it-IT" w:eastAsia="ar-SA"/>
        </w:rPr>
      </w:pPr>
    </w:p>
    <w:p>
      <w:pPr>
        <w:widowControl w:val="0"/>
        <w:suppressAutoHyphens/>
        <w:autoSpaceDE w:val="0"/>
        <w:spacing w:after="0" w:line="240" w:lineRule="auto"/>
        <w:rPr>
          <w:rFonts w:ascii="Times New Roman" w:eastAsia="Times New Roman" w:hAnsi="Times New Roman"/>
          <w:lang w:val="it-IT" w:eastAsia="ar-SA"/>
        </w:rPr>
      </w:pPr>
      <w:r>
        <w:rPr>
          <w:rFonts w:ascii="Times New Roman" w:eastAsia="Times New Roman" w:hAnsi="Times New Roman"/>
          <w:lang w:val="it-IT" w:eastAsia="ar-SA"/>
        </w:rPr>
        <w:t>Se viene omessa una dose:</w:t>
      </w:r>
    </w:p>
    <w:p>
      <w:pPr>
        <w:widowControl w:val="0"/>
        <w:numPr>
          <w:ilvl w:val="1"/>
          <w:numId w:val="13"/>
        </w:numPr>
        <w:suppressAutoHyphens/>
        <w:autoSpaceDE w:val="0"/>
        <w:spacing w:after="0" w:line="240" w:lineRule="auto"/>
        <w:rPr>
          <w:rFonts w:ascii="Times New Roman" w:eastAsia="Times New Roman" w:hAnsi="Times New Roman"/>
          <w:lang w:val="it-IT" w:eastAsia="ar-SA"/>
        </w:rPr>
      </w:pPr>
      <w:r>
        <w:rPr>
          <w:rFonts w:ascii="Times New Roman" w:eastAsia="Times New Roman" w:hAnsi="Times New Roman"/>
          <w:lang w:val="it-IT" w:eastAsia="ar-SA"/>
        </w:rPr>
        <w:t>entro 12 ore dall’</w:t>
      </w:r>
      <w:r>
        <w:rPr>
          <w:rFonts w:ascii="Times New Roman" w:eastAsia="Times New Roman" w:hAnsi="Times New Roman"/>
          <w:bCs/>
          <w:lang w:val="it-IT" w:eastAsia="ar-SA"/>
        </w:rPr>
        <w:t xml:space="preserve">assunzione programmata: il paziente deve assumere immediatamente la dose e prendere la dose successiva </w:t>
      </w:r>
      <w:r>
        <w:rPr>
          <w:rFonts w:ascii="Times New Roman" w:eastAsia="Times New Roman" w:hAnsi="Times New Roman"/>
          <w:lang w:val="it-IT" w:eastAsia="ar-SA"/>
        </w:rPr>
        <w:t>all’orario abituale.</w:t>
      </w:r>
    </w:p>
    <w:p>
      <w:pPr>
        <w:widowControl w:val="0"/>
        <w:numPr>
          <w:ilvl w:val="1"/>
          <w:numId w:val="13"/>
        </w:numPr>
        <w:suppressAutoHyphens/>
        <w:autoSpaceDE w:val="0"/>
        <w:spacing w:after="0" w:line="240" w:lineRule="auto"/>
        <w:rPr>
          <w:rFonts w:ascii="Times New Roman" w:eastAsia="Times New Roman" w:hAnsi="Times New Roman"/>
          <w:lang w:val="it-IT" w:eastAsia="ar-SA"/>
        </w:rPr>
      </w:pPr>
      <w:r>
        <w:rPr>
          <w:rFonts w:ascii="Times New Roman" w:eastAsia="Times New Roman" w:hAnsi="Times New Roman"/>
          <w:lang w:val="it-IT" w:eastAsia="ar-SA"/>
        </w:rPr>
        <w:t>se sono trascorse più di 12 ore: il paziente deve prendere la dose successiva all’orario abituale e non deve prendere una dose doppia.</w:t>
      </w:r>
    </w:p>
    <w:p>
      <w:pPr>
        <w:widowControl w:val="0"/>
        <w:suppressAutoHyphens/>
        <w:autoSpaceDE w:val="0"/>
        <w:spacing w:after="0" w:line="240" w:lineRule="auto"/>
        <w:rPr>
          <w:rFonts w:ascii="Times New Roman" w:eastAsia="Times New Roman" w:hAnsi="Times New Roman"/>
          <w:lang w:val="it-IT" w:eastAsia="ar-SA"/>
        </w:rPr>
      </w:pPr>
    </w:p>
    <w:p>
      <w:pPr>
        <w:widowControl w:val="0"/>
        <w:suppressAutoHyphens/>
        <w:autoSpaceDE w:val="0"/>
        <w:spacing w:after="0" w:line="240" w:lineRule="auto"/>
        <w:rPr>
          <w:rFonts w:ascii="Times New Roman" w:eastAsia="Times New Roman" w:hAnsi="Times New Roman"/>
          <w:lang w:val="it-IT" w:eastAsia="ar-SA"/>
        </w:rPr>
      </w:pPr>
      <w:r>
        <w:rPr>
          <w:rFonts w:ascii="Times New Roman" w:eastAsia="Times New Roman" w:hAnsi="Times New Roman"/>
          <w:lang w:val="it-IT" w:eastAsia="ar-SA"/>
        </w:rPr>
        <w:t>Popolazioni speciali</w:t>
      </w:r>
    </w:p>
    <w:p>
      <w:pPr>
        <w:widowControl w:val="0"/>
        <w:suppressAutoHyphens/>
        <w:autoSpaceDE w:val="0"/>
        <w:spacing w:after="0" w:line="240" w:lineRule="auto"/>
        <w:rPr>
          <w:rFonts w:ascii="Times New Roman" w:eastAsia="Times New Roman" w:hAnsi="Times New Roman"/>
          <w:lang w:val="it-IT" w:eastAsia="ar-SA"/>
        </w:rPr>
      </w:pPr>
    </w:p>
    <w:p>
      <w:pPr>
        <w:widowControl w:val="0"/>
        <w:suppressAutoHyphens/>
        <w:autoSpaceDE w:val="0"/>
        <w:spacing w:after="0" w:line="240" w:lineRule="auto"/>
        <w:rPr>
          <w:rFonts w:ascii="Times New Roman" w:eastAsia="Times New Roman" w:hAnsi="Times New Roman"/>
          <w:lang w:val="it-IT" w:eastAsia="ar-SA"/>
        </w:rPr>
      </w:pPr>
      <w:r>
        <w:rPr>
          <w:rFonts w:ascii="Times New Roman" w:eastAsia="Times New Roman" w:hAnsi="Times New Roman"/>
          <w:lang w:val="it-IT" w:eastAsia="ar-SA"/>
        </w:rPr>
        <w:t>•</w:t>
      </w:r>
      <w:r>
        <w:rPr>
          <w:rFonts w:ascii="Times New Roman" w:eastAsia="Times New Roman" w:hAnsi="Times New Roman"/>
          <w:lang w:val="it-IT" w:eastAsia="ar-SA"/>
        </w:rPr>
        <w:tab/>
        <w:t>Pazienti anziani</w:t>
      </w:r>
    </w:p>
    <w:p>
      <w:pPr>
        <w:widowControl w:val="0"/>
        <w:suppressAutoHyphens/>
        <w:autoSpaceDE w:val="0"/>
        <w:spacing w:after="0" w:line="240" w:lineRule="auto"/>
        <w:rPr>
          <w:rFonts w:ascii="Times New Roman" w:eastAsia="Times New Roman" w:hAnsi="Times New Roman"/>
          <w:lang w:val="it-IT" w:eastAsia="ar-SA"/>
        </w:rPr>
      </w:pPr>
    </w:p>
    <w:p>
      <w:pPr>
        <w:widowControl w:val="0"/>
        <w:suppressAutoHyphens/>
        <w:autoSpaceDE w:val="0"/>
        <w:spacing w:after="0" w:line="240" w:lineRule="auto"/>
        <w:ind w:left="709"/>
        <w:rPr>
          <w:rFonts w:ascii="Times New Roman" w:eastAsia="Times New Roman" w:hAnsi="Times New Roman"/>
          <w:lang w:val="it-IT" w:eastAsia="ar-SA"/>
        </w:rPr>
      </w:pPr>
      <w:r>
        <w:rPr>
          <w:rFonts w:ascii="Times New Roman" w:eastAsia="Times New Roman" w:hAnsi="Times New Roman"/>
          <w:lang w:val="it-IT" w:eastAsia="ar-SA"/>
        </w:rPr>
        <w:t>Sindrome coronarica acuta senza sopraslivellamento del tratto ST (angina instabile o infarto miocardico senza onde Q):</w:t>
      </w:r>
    </w:p>
    <w:p>
      <w:pPr>
        <w:widowControl w:val="0"/>
        <w:suppressAutoHyphens/>
        <w:autoSpaceDE w:val="0"/>
        <w:spacing w:after="0" w:line="240" w:lineRule="auto"/>
        <w:ind w:left="1134" w:hanging="425"/>
        <w:rPr>
          <w:rFonts w:ascii="Times New Roman" w:eastAsia="Times New Roman" w:hAnsi="Times New Roman"/>
          <w:lang w:val="it-IT" w:eastAsia="ar-SA"/>
        </w:rPr>
      </w:pPr>
      <w:r>
        <w:rPr>
          <w:rFonts w:ascii="Times New Roman" w:eastAsia="Times New Roman" w:hAnsi="Times New Roman"/>
          <w:lang w:val="it-IT" w:eastAsia="ar-SA"/>
        </w:rPr>
        <w:t>-</w:t>
      </w:r>
      <w:r>
        <w:rPr>
          <w:rFonts w:ascii="Times New Roman" w:eastAsia="Times New Roman" w:hAnsi="Times New Roman"/>
          <w:lang w:val="it-IT" w:eastAsia="ar-SA"/>
        </w:rPr>
        <w:tab/>
        <w:t>Una dose di carico di 600 mg può essere presa in considerazione nei pazienti di età &lt;75 anni quando è previsto un intervento coronarico percutaneo (vedere paragrafo 4.4).</w:t>
      </w:r>
    </w:p>
    <w:p>
      <w:pPr>
        <w:widowControl w:val="0"/>
        <w:suppressAutoHyphens/>
        <w:autoSpaceDE w:val="0"/>
        <w:spacing w:after="0" w:line="240" w:lineRule="auto"/>
        <w:rPr>
          <w:rFonts w:ascii="Times New Roman" w:eastAsia="Times New Roman" w:hAnsi="Times New Roman"/>
          <w:lang w:val="it-IT" w:eastAsia="ar-SA"/>
        </w:rPr>
      </w:pPr>
    </w:p>
    <w:p>
      <w:pPr>
        <w:widowControl w:val="0"/>
        <w:suppressAutoHyphens/>
        <w:autoSpaceDE w:val="0"/>
        <w:spacing w:after="0" w:line="240" w:lineRule="auto"/>
        <w:ind w:left="709"/>
        <w:rPr>
          <w:rFonts w:ascii="Times New Roman" w:eastAsia="Times New Roman" w:hAnsi="Times New Roman"/>
          <w:lang w:val="it-IT" w:eastAsia="ar-SA"/>
        </w:rPr>
      </w:pPr>
      <w:r>
        <w:rPr>
          <w:rFonts w:ascii="Times New Roman" w:eastAsia="Times New Roman" w:hAnsi="Times New Roman"/>
          <w:lang w:val="it-IT" w:eastAsia="ar-SA"/>
        </w:rPr>
        <w:t>Infarto miocardico acuto con sopraslivellamento del tratto ST:</w:t>
      </w:r>
    </w:p>
    <w:p>
      <w:pPr>
        <w:widowControl w:val="0"/>
        <w:suppressAutoHyphens/>
        <w:autoSpaceDE w:val="0"/>
        <w:spacing w:after="0" w:line="240" w:lineRule="auto"/>
        <w:ind w:left="1134" w:hanging="425"/>
        <w:rPr>
          <w:rFonts w:ascii="Times New Roman" w:eastAsia="Times New Roman" w:hAnsi="Times New Roman"/>
          <w:lang w:val="it-IT" w:eastAsia="ar-SA"/>
        </w:rPr>
      </w:pPr>
      <w:r>
        <w:rPr>
          <w:rFonts w:ascii="Times New Roman" w:eastAsia="Times New Roman" w:hAnsi="Times New Roman"/>
          <w:lang w:val="it-IT" w:eastAsia="ar-SA"/>
        </w:rPr>
        <w:t>-</w:t>
      </w:r>
      <w:r>
        <w:rPr>
          <w:rFonts w:ascii="Times New Roman" w:eastAsia="Times New Roman" w:hAnsi="Times New Roman"/>
          <w:lang w:val="it-IT" w:eastAsia="ar-SA"/>
        </w:rPr>
        <w:tab/>
        <w:t>Per i pazienti trattati con terapia medica idonei alla terapia trombolitica/fibrinolitica: nei pazienti di età superiore a 75 anni clopidogrel deve essere iniziato senza una dose di carico.</w:t>
      </w:r>
    </w:p>
    <w:p>
      <w:pPr>
        <w:widowControl w:val="0"/>
        <w:suppressAutoHyphens/>
        <w:autoSpaceDE w:val="0"/>
        <w:spacing w:after="0" w:line="240" w:lineRule="auto"/>
        <w:rPr>
          <w:rFonts w:ascii="Times New Roman" w:eastAsia="Times New Roman" w:hAnsi="Times New Roman"/>
          <w:lang w:val="it-IT" w:eastAsia="ar-SA"/>
        </w:rPr>
      </w:pPr>
    </w:p>
    <w:p>
      <w:pPr>
        <w:widowControl w:val="0"/>
        <w:suppressAutoHyphens/>
        <w:autoSpaceDE w:val="0"/>
        <w:spacing w:after="0" w:line="240" w:lineRule="auto"/>
        <w:rPr>
          <w:rFonts w:ascii="Times New Roman" w:eastAsia="Times New Roman" w:hAnsi="Times New Roman"/>
          <w:lang w:val="it-IT" w:eastAsia="ar-SA"/>
        </w:rPr>
      </w:pPr>
      <w:r>
        <w:rPr>
          <w:rFonts w:ascii="Times New Roman" w:eastAsia="Times New Roman" w:hAnsi="Times New Roman"/>
          <w:lang w:val="it-IT" w:eastAsia="ar-SA"/>
        </w:rPr>
        <w:t>Per i pazienti sottoposti a PCI primaria e per i pazienti sottoposti a PCI più di 24 ore dopo aver ricevuto la terapia fibrinolitica:</w:t>
      </w:r>
    </w:p>
    <w:p>
      <w:pPr>
        <w:widowControl w:val="0"/>
        <w:suppressAutoHyphens/>
        <w:autoSpaceDE w:val="0"/>
        <w:spacing w:after="0" w:line="240" w:lineRule="auto"/>
        <w:ind w:left="1134" w:hanging="425"/>
        <w:rPr>
          <w:rFonts w:ascii="Times New Roman" w:eastAsia="Times New Roman" w:hAnsi="Times New Roman"/>
          <w:lang w:val="it-IT" w:eastAsia="ar-SA"/>
        </w:rPr>
      </w:pPr>
      <w:r>
        <w:rPr>
          <w:rFonts w:ascii="Times New Roman" w:eastAsia="Times New Roman" w:hAnsi="Times New Roman"/>
          <w:lang w:val="it-IT" w:eastAsia="ar-SA"/>
        </w:rPr>
        <w:t>-</w:t>
      </w:r>
      <w:r>
        <w:rPr>
          <w:rFonts w:ascii="Times New Roman" w:eastAsia="Times New Roman" w:hAnsi="Times New Roman"/>
          <w:lang w:val="it-IT" w:eastAsia="ar-SA"/>
        </w:rPr>
        <w:tab/>
        <w:t>Nei pazienti di età ≥75 anni, la dose di carico di 600 mg deve essere somministrata con cautela (vedere paragrafo 4.4).</w:t>
      </w:r>
    </w:p>
    <w:p>
      <w:pPr>
        <w:widowControl w:val="0"/>
        <w:shd w:val="clear" w:color="auto" w:fill="FFFFFF"/>
        <w:suppressAutoHyphens/>
        <w:autoSpaceDE w:val="0"/>
        <w:spacing w:after="0" w:line="240" w:lineRule="auto"/>
        <w:rPr>
          <w:rFonts w:ascii="Times New Roman" w:eastAsia="Times New Roman" w:hAnsi="Times New Roman"/>
          <w:color w:val="000000"/>
          <w:lang w:val="it-IT" w:eastAsia="ar-SA"/>
        </w:rPr>
      </w:pPr>
    </w:p>
    <w:p>
      <w:pPr>
        <w:widowControl w:val="0"/>
        <w:numPr>
          <w:ilvl w:val="0"/>
          <w:numId w:val="9"/>
        </w:numPr>
        <w:shd w:val="clear" w:color="auto" w:fill="FFFFFF"/>
        <w:tabs>
          <w:tab w:val="left" w:pos="567"/>
        </w:tabs>
        <w:suppressAutoHyphens/>
        <w:autoSpaceDE w:val="0"/>
        <w:spacing w:after="0" w:line="240" w:lineRule="auto"/>
        <w:ind w:left="567" w:hanging="567"/>
        <w:rPr>
          <w:rFonts w:ascii="Times New Roman" w:eastAsia="Times New Roman" w:hAnsi="Times New Roman"/>
          <w:color w:val="000000"/>
          <w:lang w:val="it-IT" w:eastAsia="ar-SA"/>
        </w:rPr>
      </w:pPr>
      <w:r>
        <w:rPr>
          <w:rFonts w:ascii="Times New Roman" w:eastAsia="Times New Roman" w:hAnsi="Times New Roman"/>
          <w:color w:val="000000"/>
          <w:lang w:val="it-IT" w:eastAsia="ar-SA"/>
        </w:rPr>
        <w:t>P</w:t>
      </w:r>
      <w:r>
        <w:rPr>
          <w:rFonts w:ascii="Times New Roman" w:eastAsia="Times New Roman" w:hAnsi="Times New Roman"/>
          <w:lang w:val="it-IT" w:eastAsia="ar-SA"/>
        </w:rPr>
        <w:t>opolazione</w:t>
      </w:r>
      <w:r>
        <w:rPr>
          <w:rFonts w:ascii="Times New Roman" w:eastAsia="Times New Roman" w:hAnsi="Times New Roman"/>
          <w:color w:val="000000"/>
          <w:lang w:val="it-IT" w:eastAsia="ar-SA"/>
        </w:rPr>
        <w:t xml:space="preserve"> pediatrica</w:t>
      </w:r>
    </w:p>
    <w:p>
      <w:pPr>
        <w:widowControl w:val="0"/>
        <w:suppressAutoHyphens/>
        <w:autoSpaceDE w:val="0"/>
        <w:spacing w:after="0" w:line="240" w:lineRule="auto"/>
        <w:ind w:left="567"/>
        <w:rPr>
          <w:rFonts w:ascii="Times New Roman" w:eastAsia="Times New Roman" w:hAnsi="Times New Roman"/>
          <w:lang w:val="it-IT" w:eastAsia="ar-SA"/>
        </w:rPr>
      </w:pPr>
      <w:r>
        <w:rPr>
          <w:rFonts w:ascii="Times New Roman" w:eastAsia="Times New Roman" w:hAnsi="Times New Roman"/>
          <w:lang w:val="it-IT" w:eastAsia="ar-SA"/>
        </w:rPr>
        <w:t>Clopidogrel non deve essere usato nei bambini a causa di problematiche di efficacia. (vedere paragrafo 5.1)</w:t>
      </w:r>
    </w:p>
    <w:p>
      <w:pPr>
        <w:widowControl w:val="0"/>
        <w:shd w:val="clear" w:color="auto" w:fill="FFFFFF"/>
        <w:suppressAutoHyphens/>
        <w:autoSpaceDE w:val="0"/>
        <w:spacing w:after="0" w:line="240" w:lineRule="auto"/>
        <w:rPr>
          <w:rFonts w:ascii="Times New Roman" w:eastAsia="Times New Roman" w:hAnsi="Times New Roman"/>
          <w:color w:val="000000"/>
          <w:spacing w:val="-2"/>
          <w:lang w:val="it-IT" w:eastAsia="ar-SA"/>
        </w:rPr>
      </w:pPr>
    </w:p>
    <w:p>
      <w:pPr>
        <w:widowControl w:val="0"/>
        <w:numPr>
          <w:ilvl w:val="0"/>
          <w:numId w:val="9"/>
        </w:numPr>
        <w:shd w:val="clear" w:color="auto" w:fill="FFFFFF"/>
        <w:tabs>
          <w:tab w:val="left" w:pos="567"/>
        </w:tabs>
        <w:suppressAutoHyphens/>
        <w:autoSpaceDE w:val="0"/>
        <w:spacing w:after="0" w:line="240" w:lineRule="auto"/>
        <w:ind w:left="567" w:hanging="567"/>
        <w:rPr>
          <w:rFonts w:ascii="Times New Roman" w:eastAsia="Times New Roman" w:hAnsi="Times New Roman"/>
          <w:color w:val="000000"/>
          <w:lang w:val="it-IT" w:eastAsia="ar-SA"/>
        </w:rPr>
      </w:pPr>
      <w:r>
        <w:rPr>
          <w:rFonts w:ascii="Times New Roman" w:eastAsia="Times New Roman" w:hAnsi="Times New Roman"/>
          <w:color w:val="000000"/>
          <w:lang w:val="it-IT" w:eastAsia="ar-SA"/>
        </w:rPr>
        <w:t>Insufficienza renale</w:t>
      </w:r>
    </w:p>
    <w:p>
      <w:pPr>
        <w:widowControl w:val="0"/>
        <w:shd w:val="clear" w:color="auto" w:fill="FFFFFF"/>
        <w:suppressAutoHyphens/>
        <w:autoSpaceDE w:val="0"/>
        <w:spacing w:after="0" w:line="240" w:lineRule="auto"/>
        <w:ind w:left="567"/>
        <w:rPr>
          <w:rFonts w:ascii="Times New Roman" w:eastAsia="Times New Roman" w:hAnsi="Times New Roman"/>
          <w:color w:val="000000"/>
          <w:lang w:val="it-IT" w:eastAsia="ar-SA"/>
        </w:rPr>
      </w:pPr>
      <w:r>
        <w:rPr>
          <w:rFonts w:ascii="Times New Roman" w:eastAsia="Times New Roman" w:hAnsi="Times New Roman"/>
          <w:color w:val="000000"/>
          <w:lang w:val="it-IT" w:eastAsia="ar-SA"/>
        </w:rPr>
        <w:t>L'esperienza terapeutica in pazienti con insufficienza renale è limitata (vedere paragrafo 4.4).</w:t>
      </w:r>
    </w:p>
    <w:p>
      <w:pPr>
        <w:widowControl w:val="0"/>
        <w:shd w:val="clear" w:color="auto" w:fill="FFFFFF"/>
        <w:suppressAutoHyphens/>
        <w:autoSpaceDE w:val="0"/>
        <w:spacing w:after="0" w:line="240" w:lineRule="auto"/>
        <w:rPr>
          <w:rFonts w:ascii="Times New Roman" w:eastAsia="Times New Roman" w:hAnsi="Times New Roman"/>
          <w:color w:val="000000"/>
          <w:lang w:val="it-IT" w:eastAsia="ar-SA"/>
        </w:rPr>
      </w:pPr>
    </w:p>
    <w:p>
      <w:pPr>
        <w:widowControl w:val="0"/>
        <w:numPr>
          <w:ilvl w:val="0"/>
          <w:numId w:val="9"/>
        </w:numPr>
        <w:shd w:val="clear" w:color="auto" w:fill="FFFFFF"/>
        <w:tabs>
          <w:tab w:val="left" w:pos="567"/>
        </w:tabs>
        <w:suppressAutoHyphens/>
        <w:autoSpaceDE w:val="0"/>
        <w:spacing w:after="0" w:line="240" w:lineRule="auto"/>
        <w:ind w:left="567" w:hanging="567"/>
        <w:rPr>
          <w:rFonts w:ascii="Times New Roman" w:eastAsia="Times New Roman" w:hAnsi="Times New Roman"/>
          <w:color w:val="000000"/>
          <w:lang w:val="it-IT" w:eastAsia="ar-SA"/>
        </w:rPr>
      </w:pPr>
      <w:r>
        <w:rPr>
          <w:rFonts w:ascii="Times New Roman" w:eastAsia="Times New Roman" w:hAnsi="Times New Roman"/>
          <w:color w:val="000000"/>
          <w:lang w:val="it-IT" w:eastAsia="ar-SA"/>
        </w:rPr>
        <w:t>Insufficienza epatica</w:t>
      </w:r>
    </w:p>
    <w:p>
      <w:pPr>
        <w:widowControl w:val="0"/>
        <w:shd w:val="clear" w:color="auto" w:fill="FFFFFF"/>
        <w:suppressAutoHyphens/>
        <w:autoSpaceDE w:val="0"/>
        <w:spacing w:after="0" w:line="240" w:lineRule="auto"/>
        <w:ind w:left="567"/>
        <w:rPr>
          <w:rFonts w:ascii="Times New Roman" w:eastAsia="Times New Roman" w:hAnsi="Times New Roman"/>
          <w:color w:val="000000"/>
          <w:lang w:val="it-IT" w:eastAsia="ar-SA"/>
        </w:rPr>
      </w:pPr>
      <w:r>
        <w:rPr>
          <w:rFonts w:ascii="Times New Roman" w:eastAsia="Times New Roman" w:hAnsi="Times New Roman"/>
          <w:color w:val="000000"/>
          <w:spacing w:val="-1"/>
          <w:lang w:val="it-IT" w:eastAsia="ar-SA"/>
        </w:rPr>
        <w:t xml:space="preserve">L'esperienza terapeutica in pazienti con moderata disfunzione epatica che possono avere una </w:t>
      </w:r>
      <w:r>
        <w:rPr>
          <w:rFonts w:ascii="Times New Roman" w:eastAsia="Times New Roman" w:hAnsi="Times New Roman"/>
          <w:color w:val="000000"/>
          <w:lang w:val="it-IT" w:eastAsia="ar-SA"/>
        </w:rPr>
        <w:t>diatesi emorragica è limitata (vedere paragrafo 4.4).</w:t>
      </w:r>
    </w:p>
    <w:p>
      <w:pPr>
        <w:widowControl w:val="0"/>
        <w:shd w:val="clear" w:color="auto" w:fill="FFFFFF"/>
        <w:suppressAutoHyphens/>
        <w:autoSpaceDE w:val="0"/>
        <w:spacing w:after="0" w:line="240" w:lineRule="auto"/>
        <w:ind w:left="567"/>
        <w:rPr>
          <w:rFonts w:ascii="Times New Roman" w:eastAsia="Times New Roman" w:hAnsi="Times New Roman"/>
          <w:color w:val="000000"/>
          <w:lang w:val="it-IT" w:eastAsia="ar-SA"/>
        </w:rPr>
      </w:pPr>
    </w:p>
    <w:p>
      <w:pPr>
        <w:widowControl w:val="0"/>
        <w:suppressAutoHyphens/>
        <w:autoSpaceDE w:val="0"/>
        <w:spacing w:after="0" w:line="240" w:lineRule="auto"/>
        <w:rPr>
          <w:rFonts w:ascii="Times New Roman" w:eastAsia="Times New Roman" w:hAnsi="Times New Roman"/>
          <w:u w:val="single"/>
          <w:lang w:val="it-IT" w:eastAsia="ar-SA"/>
        </w:rPr>
      </w:pPr>
      <w:r>
        <w:rPr>
          <w:rFonts w:ascii="Times New Roman" w:eastAsia="Times New Roman" w:hAnsi="Times New Roman"/>
          <w:u w:val="single"/>
          <w:lang w:val="it-IT" w:eastAsia="ar-SA"/>
        </w:rPr>
        <w:t>Modo di somministrazione</w:t>
      </w:r>
    </w:p>
    <w:p>
      <w:pPr>
        <w:widowControl w:val="0"/>
        <w:suppressAutoHyphens/>
        <w:autoSpaceDE w:val="0"/>
        <w:spacing w:after="0" w:line="240" w:lineRule="auto"/>
        <w:rPr>
          <w:rFonts w:ascii="Times New Roman" w:eastAsia="Times New Roman" w:hAnsi="Times New Roman"/>
          <w:lang w:val="it-IT" w:eastAsia="ar-SA"/>
        </w:rPr>
      </w:pPr>
      <w:r>
        <w:rPr>
          <w:rFonts w:ascii="Times New Roman" w:eastAsia="Times New Roman" w:hAnsi="Times New Roman"/>
          <w:lang w:val="it-IT" w:eastAsia="ar-SA"/>
        </w:rPr>
        <w:t>Uso orale</w:t>
      </w:r>
    </w:p>
    <w:p>
      <w:pPr>
        <w:widowControl w:val="0"/>
        <w:suppressAutoHyphens/>
        <w:autoSpaceDE w:val="0"/>
        <w:spacing w:after="0" w:line="240" w:lineRule="auto"/>
        <w:rPr>
          <w:rFonts w:ascii="Times New Roman" w:eastAsia="Times New Roman" w:hAnsi="Times New Roman"/>
          <w:lang w:val="it-IT" w:eastAsia="ar-SA"/>
        </w:rPr>
      </w:pPr>
      <w:r>
        <w:rPr>
          <w:rFonts w:ascii="Times New Roman" w:eastAsia="Times New Roman" w:hAnsi="Times New Roman"/>
          <w:lang w:val="it-IT" w:eastAsia="ar-SA"/>
        </w:rPr>
        <w:t>La compressa può essere presa durante o lontano dai pasti.</w:t>
      </w:r>
    </w:p>
    <w:p>
      <w:pPr>
        <w:widowControl w:val="0"/>
        <w:shd w:val="clear" w:color="auto" w:fill="FFFFFF"/>
        <w:suppressAutoHyphens/>
        <w:autoSpaceDE w:val="0"/>
        <w:spacing w:after="0" w:line="240" w:lineRule="auto"/>
        <w:rPr>
          <w:rFonts w:ascii="Times New Roman" w:eastAsia="Times New Roman" w:hAnsi="Times New Roman"/>
          <w:color w:val="000000"/>
          <w:lang w:val="it-IT" w:eastAsia="ar-SA"/>
        </w:rPr>
      </w:pPr>
    </w:p>
    <w:p>
      <w:pPr>
        <w:widowControl w:val="0"/>
        <w:shd w:val="clear" w:color="auto" w:fill="FFFFFF"/>
        <w:tabs>
          <w:tab w:val="left" w:pos="572"/>
        </w:tabs>
        <w:suppressAutoHyphens/>
        <w:autoSpaceDE w:val="0"/>
        <w:spacing w:after="0" w:line="240" w:lineRule="auto"/>
        <w:rPr>
          <w:rFonts w:ascii="Times New Roman" w:eastAsia="Times New Roman" w:hAnsi="Times New Roman"/>
          <w:b/>
          <w:bCs/>
          <w:color w:val="000000"/>
          <w:lang w:val="it-IT" w:eastAsia="ar-SA"/>
        </w:rPr>
      </w:pPr>
      <w:r>
        <w:rPr>
          <w:rFonts w:ascii="Times New Roman" w:eastAsia="Times New Roman" w:hAnsi="Times New Roman"/>
          <w:b/>
          <w:bCs/>
          <w:color w:val="000000"/>
          <w:spacing w:val="-6"/>
          <w:lang w:val="it-IT" w:eastAsia="ar-SA"/>
        </w:rPr>
        <w:t>4.3</w:t>
      </w:r>
      <w:r>
        <w:rPr>
          <w:rFonts w:ascii="Times New Roman" w:eastAsia="Times New Roman" w:hAnsi="Times New Roman"/>
          <w:b/>
          <w:bCs/>
          <w:color w:val="000000"/>
          <w:lang w:val="it-IT" w:eastAsia="ar-SA"/>
        </w:rPr>
        <w:tab/>
        <w:t>Controindicazioni</w:t>
      </w:r>
    </w:p>
    <w:p>
      <w:pPr>
        <w:widowControl w:val="0"/>
        <w:shd w:val="clear" w:color="auto" w:fill="FFFFFF"/>
        <w:tabs>
          <w:tab w:val="left" w:pos="572"/>
        </w:tabs>
        <w:suppressAutoHyphens/>
        <w:autoSpaceDE w:val="0"/>
        <w:spacing w:after="0" w:line="240" w:lineRule="auto"/>
        <w:rPr>
          <w:rFonts w:ascii="Times New Roman" w:eastAsia="Times New Roman" w:hAnsi="Times New Roman"/>
          <w:b/>
          <w:bCs/>
          <w:color w:val="000000"/>
          <w:lang w:val="it-IT" w:eastAsia="ar-SA"/>
        </w:rPr>
      </w:pPr>
    </w:p>
    <w:p>
      <w:pPr>
        <w:widowControl w:val="0"/>
        <w:numPr>
          <w:ilvl w:val="0"/>
          <w:numId w:val="10"/>
        </w:numPr>
        <w:shd w:val="clear" w:color="auto" w:fill="FFFFFF"/>
        <w:tabs>
          <w:tab w:val="left" w:pos="567"/>
        </w:tabs>
        <w:suppressAutoHyphens/>
        <w:autoSpaceDE w:val="0"/>
        <w:spacing w:after="0" w:line="240" w:lineRule="auto"/>
        <w:ind w:left="567" w:hanging="567"/>
        <w:rPr>
          <w:rFonts w:ascii="Times New Roman" w:eastAsia="Times New Roman" w:hAnsi="Times New Roman"/>
          <w:color w:val="000000"/>
          <w:lang w:val="it-IT" w:eastAsia="ar-SA"/>
        </w:rPr>
      </w:pPr>
      <w:r>
        <w:rPr>
          <w:rFonts w:ascii="Times New Roman" w:eastAsia="Times New Roman" w:hAnsi="Times New Roman"/>
          <w:color w:val="000000"/>
          <w:lang w:val="it-IT" w:eastAsia="ar-SA"/>
        </w:rPr>
        <w:t>Ipersensibilità al principio attivo o ad uno qualsiasi degli eccipienti</w:t>
      </w:r>
      <w:r>
        <w:rPr>
          <w:rFonts w:ascii="Times New Roman" w:eastAsia="Times New Roman" w:hAnsi="Times New Roman"/>
          <w:lang w:val="it-IT" w:eastAsia="ar-SA"/>
        </w:rPr>
        <w:t xml:space="preserve"> elencati al paragrafo 2 o al paragrafo 6.1</w:t>
      </w:r>
      <w:r>
        <w:rPr>
          <w:rFonts w:ascii="Times New Roman" w:eastAsia="Times New Roman" w:hAnsi="Times New Roman"/>
          <w:color w:val="000000"/>
          <w:lang w:val="it-IT" w:eastAsia="ar-SA"/>
        </w:rPr>
        <w:t>.</w:t>
      </w:r>
    </w:p>
    <w:p>
      <w:pPr>
        <w:widowControl w:val="0"/>
        <w:numPr>
          <w:ilvl w:val="0"/>
          <w:numId w:val="10"/>
        </w:numPr>
        <w:shd w:val="clear" w:color="auto" w:fill="FFFFFF"/>
        <w:tabs>
          <w:tab w:val="left" w:pos="567"/>
        </w:tabs>
        <w:suppressAutoHyphens/>
        <w:autoSpaceDE w:val="0"/>
        <w:spacing w:after="0" w:line="240" w:lineRule="auto"/>
        <w:ind w:left="567" w:hanging="567"/>
        <w:rPr>
          <w:rFonts w:ascii="Times New Roman" w:eastAsia="Times New Roman" w:hAnsi="Times New Roman"/>
          <w:color w:val="000000"/>
          <w:spacing w:val="-1"/>
          <w:lang w:val="it-IT" w:eastAsia="ar-SA"/>
        </w:rPr>
      </w:pPr>
      <w:r>
        <w:rPr>
          <w:rFonts w:ascii="Times New Roman" w:eastAsia="Times New Roman" w:hAnsi="Times New Roman"/>
          <w:color w:val="000000"/>
          <w:spacing w:val="-1"/>
          <w:lang w:val="it-IT" w:eastAsia="ar-SA"/>
        </w:rPr>
        <w:t>Insufficienza epatica grave.</w:t>
      </w:r>
    </w:p>
    <w:p>
      <w:pPr>
        <w:widowControl w:val="0"/>
        <w:numPr>
          <w:ilvl w:val="0"/>
          <w:numId w:val="10"/>
        </w:numPr>
        <w:shd w:val="clear" w:color="auto" w:fill="FFFFFF"/>
        <w:tabs>
          <w:tab w:val="left" w:pos="567"/>
        </w:tabs>
        <w:suppressAutoHyphens/>
        <w:autoSpaceDE w:val="0"/>
        <w:spacing w:after="0" w:line="240" w:lineRule="auto"/>
        <w:ind w:left="567" w:hanging="567"/>
        <w:rPr>
          <w:rFonts w:ascii="Times New Roman" w:eastAsia="Times New Roman" w:hAnsi="Times New Roman"/>
          <w:color w:val="000000"/>
          <w:spacing w:val="-1"/>
          <w:lang w:val="it-IT" w:eastAsia="ar-SA"/>
        </w:rPr>
      </w:pPr>
      <w:r>
        <w:rPr>
          <w:rFonts w:ascii="Times New Roman" w:eastAsia="Times New Roman" w:hAnsi="Times New Roman"/>
          <w:color w:val="000000"/>
          <w:spacing w:val="-1"/>
          <w:lang w:val="it-IT" w:eastAsia="ar-SA"/>
        </w:rPr>
        <w:t>Sanguinamento patologico in atto come ad es. in presenza di ulcera peptica o di emorragia intracranica.</w:t>
      </w:r>
    </w:p>
    <w:p>
      <w:pPr>
        <w:widowControl w:val="0"/>
        <w:shd w:val="clear" w:color="auto" w:fill="FFFFFF"/>
        <w:tabs>
          <w:tab w:val="left" w:pos="584"/>
        </w:tabs>
        <w:suppressAutoHyphens/>
        <w:autoSpaceDE w:val="0"/>
        <w:spacing w:after="0" w:line="240" w:lineRule="auto"/>
        <w:rPr>
          <w:rFonts w:ascii="Times New Roman" w:eastAsia="Times New Roman" w:hAnsi="Times New Roman"/>
          <w:color w:val="000000"/>
          <w:spacing w:val="-1"/>
          <w:lang w:val="it-IT" w:eastAsia="ar-SA"/>
        </w:rPr>
      </w:pPr>
    </w:p>
    <w:p>
      <w:pPr>
        <w:widowControl w:val="0"/>
        <w:shd w:val="clear" w:color="auto" w:fill="FFFFFF"/>
        <w:tabs>
          <w:tab w:val="left" w:pos="572"/>
        </w:tabs>
        <w:suppressAutoHyphens/>
        <w:autoSpaceDE w:val="0"/>
        <w:spacing w:after="0" w:line="240" w:lineRule="auto"/>
        <w:rPr>
          <w:rFonts w:ascii="Times New Roman" w:eastAsia="Times New Roman" w:hAnsi="Times New Roman"/>
          <w:b/>
          <w:bCs/>
          <w:color w:val="000000"/>
          <w:lang w:val="it-IT" w:eastAsia="ar-SA"/>
        </w:rPr>
      </w:pPr>
      <w:r>
        <w:rPr>
          <w:rFonts w:ascii="Times New Roman" w:eastAsia="Times New Roman" w:hAnsi="Times New Roman"/>
          <w:b/>
          <w:bCs/>
          <w:color w:val="000000"/>
          <w:spacing w:val="-5"/>
          <w:lang w:val="it-IT" w:eastAsia="ar-SA"/>
        </w:rPr>
        <w:t>4.4</w:t>
      </w:r>
      <w:r>
        <w:rPr>
          <w:rFonts w:ascii="Times New Roman" w:eastAsia="Times New Roman" w:hAnsi="Times New Roman"/>
          <w:b/>
          <w:bCs/>
          <w:color w:val="000000"/>
          <w:lang w:val="it-IT" w:eastAsia="ar-SA"/>
        </w:rPr>
        <w:tab/>
        <w:t>Avvertenze speciali e precauzioni d'impiego</w:t>
      </w:r>
    </w:p>
    <w:p>
      <w:pPr>
        <w:widowControl w:val="0"/>
        <w:shd w:val="clear" w:color="auto" w:fill="FFFFFF"/>
        <w:tabs>
          <w:tab w:val="left" w:pos="572"/>
        </w:tabs>
        <w:suppressAutoHyphens/>
        <w:autoSpaceDE w:val="0"/>
        <w:spacing w:after="0" w:line="240" w:lineRule="auto"/>
        <w:rPr>
          <w:rFonts w:ascii="Times New Roman" w:eastAsia="Times New Roman" w:hAnsi="Times New Roman"/>
          <w:b/>
          <w:bCs/>
          <w:color w:val="000000"/>
          <w:lang w:val="it-IT" w:eastAsia="ar-SA"/>
        </w:rPr>
      </w:pPr>
    </w:p>
    <w:p>
      <w:pPr>
        <w:widowControl w:val="0"/>
        <w:suppressAutoHyphens/>
        <w:autoSpaceDE w:val="0"/>
        <w:spacing w:after="0" w:line="240" w:lineRule="auto"/>
        <w:rPr>
          <w:rFonts w:ascii="Times New Roman" w:eastAsia="Times New Roman" w:hAnsi="Times New Roman"/>
          <w:i/>
          <w:lang w:val="it-IT" w:eastAsia="ar-SA"/>
        </w:rPr>
      </w:pPr>
      <w:r>
        <w:rPr>
          <w:rFonts w:ascii="Times New Roman" w:eastAsia="Times New Roman" w:hAnsi="Times New Roman"/>
          <w:i/>
          <w:lang w:val="it-IT" w:eastAsia="ar-SA"/>
        </w:rPr>
        <w:t>Sanguinamenti e patologie di tipo ematologico</w:t>
      </w:r>
    </w:p>
    <w:p>
      <w:pPr>
        <w:widowControl w:val="0"/>
        <w:shd w:val="clear" w:color="auto" w:fill="FFFFFF"/>
        <w:suppressAutoHyphens/>
        <w:autoSpaceDE w:val="0"/>
        <w:spacing w:after="0" w:line="240" w:lineRule="auto"/>
        <w:rPr>
          <w:rFonts w:ascii="Times New Roman" w:eastAsia="Times New Roman" w:hAnsi="Times New Roman"/>
          <w:color w:val="000000"/>
          <w:spacing w:val="-1"/>
          <w:lang w:val="it-IT" w:eastAsia="ar-SA"/>
        </w:rPr>
      </w:pPr>
      <w:r>
        <w:rPr>
          <w:rFonts w:ascii="Times New Roman" w:hAnsi="Times New Roman"/>
          <w:lang w:val="it-IT"/>
        </w:rPr>
        <w:t xml:space="preserve">A causa del rischio di sanguinamento e di </w:t>
      </w:r>
      <w:r>
        <w:rPr>
          <w:rFonts w:ascii="Times New Roman" w:eastAsia="Times New Roman" w:hAnsi="Times New Roman"/>
          <w:lang w:val="it-IT" w:eastAsia="ar-SA"/>
        </w:rPr>
        <w:t>reazioni avverse</w:t>
      </w:r>
      <w:r>
        <w:rPr>
          <w:rFonts w:ascii="Times New Roman" w:eastAsia="Times New Roman" w:hAnsi="Times New Roman"/>
          <w:color w:val="000000"/>
          <w:lang w:val="it-IT" w:eastAsia="ar-SA"/>
        </w:rPr>
        <w:t xml:space="preserve"> di tipo ematologico, l'esecuzione di un </w:t>
      </w:r>
      <w:r>
        <w:rPr>
          <w:rFonts w:ascii="Times New Roman" w:eastAsia="Times New Roman" w:hAnsi="Times New Roman"/>
          <w:color w:val="000000"/>
          <w:spacing w:val="-1"/>
          <w:lang w:val="it-IT" w:eastAsia="ar-SA"/>
        </w:rPr>
        <w:t xml:space="preserve">esame emocromocitometrico e/o di altri esami appropriati, deve subito essere presa in considerazione ogni volta si presentino sintomi clinici che suggeriscono sanguinamento durante il trattamento (vedere </w:t>
      </w:r>
      <w:r>
        <w:rPr>
          <w:rFonts w:ascii="Times New Roman" w:eastAsia="Times New Roman" w:hAnsi="Times New Roman"/>
          <w:color w:val="000000"/>
          <w:lang w:val="it-IT" w:eastAsia="ar-SA"/>
        </w:rPr>
        <w:t xml:space="preserve">paragrafo 4.8). Così come per altri farmaci antiaggreganti piastrinici, clopidogrel deve essere usato </w:t>
      </w:r>
      <w:r>
        <w:rPr>
          <w:rFonts w:ascii="Times New Roman" w:eastAsia="Times New Roman" w:hAnsi="Times New Roman"/>
          <w:color w:val="000000"/>
          <w:spacing w:val="-1"/>
          <w:lang w:val="it-IT" w:eastAsia="ar-SA"/>
        </w:rPr>
        <w:t xml:space="preserve">con cautela nei pazienti che possono essere a rischio di aumentato sanguinamento in seguito a trauma, </w:t>
      </w:r>
      <w:r>
        <w:rPr>
          <w:rFonts w:ascii="Times New Roman" w:hAnsi="Times New Roman"/>
          <w:lang w:val="it-IT"/>
        </w:rPr>
        <w:t>chirurgia</w:t>
      </w:r>
      <w:r>
        <w:rPr>
          <w:rFonts w:ascii="Times New Roman" w:eastAsia="Times New Roman" w:hAnsi="Times New Roman"/>
          <w:color w:val="000000"/>
          <w:spacing w:val="-1"/>
          <w:lang w:val="it-IT" w:eastAsia="ar-SA"/>
        </w:rPr>
        <w:t xml:space="preserve"> o altre condizioni patologiche e nei pazienti in trattamento con ASA, eparina, inibitori della </w:t>
      </w:r>
      <w:r>
        <w:rPr>
          <w:rFonts w:ascii="Times New Roman" w:eastAsia="Times New Roman" w:hAnsi="Times New Roman"/>
          <w:color w:val="000000"/>
          <w:lang w:val="it-IT" w:eastAsia="ar-SA"/>
        </w:rPr>
        <w:t xml:space="preserve">glicoproteina IIb/IIIa o farmaci antinfiammatori non steroidei </w:t>
      </w:r>
      <w:r>
        <w:rPr>
          <w:rFonts w:ascii="Times New Roman" w:eastAsia="Times New Roman" w:hAnsi="Times New Roman"/>
          <w:lang w:val="it-IT" w:eastAsia="ar-SA"/>
        </w:rPr>
        <w:t xml:space="preserve">(FANS) </w:t>
      </w:r>
      <w:r>
        <w:rPr>
          <w:rFonts w:ascii="Times New Roman" w:eastAsia="Times New Roman" w:hAnsi="Times New Roman"/>
          <w:color w:val="000000"/>
          <w:lang w:val="it-IT" w:eastAsia="ar-SA"/>
        </w:rPr>
        <w:t>compresi gli inibitori della COX-2</w:t>
      </w:r>
      <w:r>
        <w:rPr>
          <w:rFonts w:ascii="Times New Roman" w:hAnsi="Times New Roman"/>
          <w:lang w:val="it-IT"/>
        </w:rPr>
        <w:t xml:space="preserve">, o gli inibitori selettivi della ricaptazione della serotonina (SSRI), </w:t>
      </w:r>
      <w:r>
        <w:rPr>
          <w:lang w:val="it-IT"/>
        </w:rPr>
        <w:t>o</w:t>
      </w:r>
      <w:r>
        <w:rPr>
          <w:rFonts w:ascii="Times New Roman" w:hAnsi="Times New Roman"/>
          <w:lang w:val="it-IT"/>
        </w:rPr>
        <w:t xml:space="preserve"> forti induttori del CYP2C19 o altri farmaci associati a rischio di sanguinamento come la pentossifillina (vedere paragrafo 4.5)</w:t>
      </w:r>
      <w:r>
        <w:rPr>
          <w:rFonts w:ascii="Times New Roman" w:eastAsia="Times New Roman" w:hAnsi="Times New Roman"/>
          <w:color w:val="000000"/>
          <w:lang w:val="it-IT" w:eastAsia="ar-SA"/>
        </w:rPr>
        <w:t xml:space="preserve">. A causa dell’aumentato rischio di emorragia, la triplice terapia antiaggregante (clopidogrel + ASA + dipiridamolo) per la prevenzione secondaria dell’ictus non è raccomandata nei pazienti con ictus ischemico acuto non cardioembolico o TIA (vedere paragrafo 4.5 e paragrafo 4.8). I </w:t>
      </w:r>
      <w:r>
        <w:rPr>
          <w:rFonts w:ascii="Times New Roman" w:eastAsia="Times New Roman" w:hAnsi="Times New Roman"/>
          <w:color w:val="000000"/>
          <w:spacing w:val="-1"/>
          <w:lang w:val="it-IT" w:eastAsia="ar-SA"/>
        </w:rPr>
        <w:t xml:space="preserve">pazienti devono essere accuratamente seguiti per individuare ogni segno di sanguinamento, </w:t>
      </w:r>
      <w:r>
        <w:rPr>
          <w:rFonts w:ascii="Times New Roman" w:eastAsia="Times New Roman" w:hAnsi="Times New Roman"/>
          <w:color w:val="000000"/>
          <w:spacing w:val="-1"/>
          <w:lang w:val="it-IT" w:eastAsia="ar-SA"/>
        </w:rPr>
        <w:lastRenderedPageBreak/>
        <w:t xml:space="preserve">compreso il sanguinamento occulto, in particolare durante le prime settimane di trattamento e/o dopo procedure </w:t>
      </w:r>
      <w:r>
        <w:rPr>
          <w:rFonts w:ascii="Times New Roman" w:eastAsia="Times New Roman" w:hAnsi="Times New Roman"/>
          <w:color w:val="000000"/>
          <w:lang w:val="it-IT" w:eastAsia="ar-SA"/>
        </w:rPr>
        <w:t xml:space="preserve">cardiache invasive o interventi chirurgici. La somministrazione contemporanea di clopidogrel e </w:t>
      </w:r>
      <w:r>
        <w:rPr>
          <w:rFonts w:ascii="Times New Roman" w:eastAsia="Times New Roman" w:hAnsi="Times New Roman"/>
          <w:color w:val="000000"/>
          <w:spacing w:val="1"/>
          <w:lang w:val="it-IT" w:eastAsia="ar-SA"/>
        </w:rPr>
        <w:t xml:space="preserve">anticoagulanti orali non è consigliata dato che può determinare l'aumento dell'intensità dei </w:t>
      </w:r>
      <w:r>
        <w:rPr>
          <w:rFonts w:ascii="Times New Roman" w:eastAsia="Times New Roman" w:hAnsi="Times New Roman"/>
          <w:color w:val="000000"/>
          <w:spacing w:val="-1"/>
          <w:lang w:val="it-IT" w:eastAsia="ar-SA"/>
        </w:rPr>
        <w:t>sanguinamenti (vedere paragrafo 4.5).</w:t>
      </w:r>
    </w:p>
    <w:p>
      <w:pPr>
        <w:widowControl w:val="0"/>
        <w:shd w:val="clear" w:color="auto" w:fill="FFFFFF"/>
        <w:suppressAutoHyphens/>
        <w:autoSpaceDE w:val="0"/>
        <w:spacing w:after="0" w:line="240" w:lineRule="auto"/>
        <w:rPr>
          <w:rFonts w:ascii="Times New Roman" w:eastAsia="Times New Roman" w:hAnsi="Times New Roman"/>
          <w:color w:val="000000"/>
          <w:lang w:val="it-IT" w:eastAsia="ar-SA"/>
        </w:rPr>
      </w:pPr>
    </w:p>
    <w:p>
      <w:pPr>
        <w:widowControl w:val="0"/>
        <w:shd w:val="clear" w:color="auto" w:fill="FFFFFF"/>
        <w:suppressAutoHyphens/>
        <w:autoSpaceDE w:val="0"/>
        <w:spacing w:after="0" w:line="240" w:lineRule="auto"/>
        <w:rPr>
          <w:rFonts w:ascii="Times New Roman" w:eastAsia="Times New Roman" w:hAnsi="Times New Roman"/>
          <w:color w:val="000000"/>
          <w:lang w:val="it-IT" w:eastAsia="ar-SA"/>
        </w:rPr>
      </w:pPr>
      <w:r>
        <w:rPr>
          <w:rFonts w:ascii="Times New Roman" w:eastAsia="Times New Roman" w:hAnsi="Times New Roman"/>
          <w:color w:val="000000"/>
          <w:lang w:val="it-IT" w:eastAsia="ar-SA"/>
        </w:rPr>
        <w:t xml:space="preserve">Se un paziente deve sottoporsi ad intervento chirurgico elettivo per il quale un'attività antiaggregante piastrinica è temporaneamente non consigliabile, occorre interrompere l'uso di clopidogrel 7 giorni prima dell'intervento. Prima di essere sottoposti ad eventuale intervento chirurgico e prima di </w:t>
      </w:r>
      <w:r>
        <w:rPr>
          <w:rFonts w:ascii="Times New Roman" w:eastAsia="Times New Roman" w:hAnsi="Times New Roman"/>
          <w:color w:val="000000"/>
          <w:spacing w:val="-1"/>
          <w:lang w:val="it-IT" w:eastAsia="ar-SA"/>
        </w:rPr>
        <w:t xml:space="preserve">assumere un nuovo farmaco i pazienti devono avvisare il medico ed il dentista che sono in trattamento </w:t>
      </w:r>
      <w:r>
        <w:rPr>
          <w:rFonts w:ascii="Times New Roman" w:eastAsia="Times New Roman" w:hAnsi="Times New Roman"/>
          <w:color w:val="000000"/>
          <w:lang w:val="it-IT" w:eastAsia="ar-SA"/>
        </w:rPr>
        <w:t>con clopidogrel. Clopidogrel prolunga il tempo di sanguinamento e va usato con cautela in pazienti che presentino lesioni a tendenza emorragica (particolarmente gastrointestinali e intraoculari).</w:t>
      </w:r>
    </w:p>
    <w:p>
      <w:pPr>
        <w:widowControl w:val="0"/>
        <w:shd w:val="clear" w:color="auto" w:fill="FFFFFF"/>
        <w:suppressAutoHyphens/>
        <w:autoSpaceDE w:val="0"/>
        <w:spacing w:after="0" w:line="240" w:lineRule="auto"/>
        <w:rPr>
          <w:rFonts w:ascii="Times New Roman" w:eastAsia="Times New Roman" w:hAnsi="Times New Roman"/>
          <w:color w:val="000000"/>
          <w:lang w:val="it-IT" w:eastAsia="ar-SA"/>
        </w:rPr>
      </w:pPr>
    </w:p>
    <w:p>
      <w:pPr>
        <w:widowControl w:val="0"/>
        <w:shd w:val="clear" w:color="auto" w:fill="FFFFFF"/>
        <w:suppressAutoHyphens/>
        <w:autoSpaceDE w:val="0"/>
        <w:spacing w:after="0" w:line="240" w:lineRule="auto"/>
        <w:rPr>
          <w:rFonts w:ascii="Times New Roman" w:eastAsia="Times New Roman" w:hAnsi="Times New Roman"/>
          <w:color w:val="000000"/>
          <w:lang w:val="it-IT" w:eastAsia="ar-SA"/>
        </w:rPr>
      </w:pPr>
      <w:r>
        <w:rPr>
          <w:rFonts w:ascii="Times New Roman" w:eastAsia="Times New Roman" w:hAnsi="Times New Roman"/>
          <w:color w:val="000000"/>
          <w:lang w:val="it-IT" w:eastAsia="ar-SA"/>
        </w:rPr>
        <w:t xml:space="preserve">I pazienti devono essere avvertiti che l'uso di clopidogrel (da solo o in associazione con ASA) </w:t>
      </w:r>
      <w:r>
        <w:rPr>
          <w:rFonts w:ascii="Times New Roman" w:eastAsia="Times New Roman" w:hAnsi="Times New Roman"/>
          <w:color w:val="000000"/>
          <w:spacing w:val="-1"/>
          <w:lang w:val="it-IT" w:eastAsia="ar-SA"/>
        </w:rPr>
        <w:t xml:space="preserve">potrebbe prolungare un eventuale sanguinamento e che devono informare il medico di ogni emorragia </w:t>
      </w:r>
      <w:r>
        <w:rPr>
          <w:rFonts w:ascii="Times New Roman" w:eastAsia="Times New Roman" w:hAnsi="Times New Roman"/>
          <w:color w:val="000000"/>
          <w:lang w:val="it-IT" w:eastAsia="ar-SA"/>
        </w:rPr>
        <w:t>anomala (localizzazione o durata) che si possa manifestare.</w:t>
      </w:r>
    </w:p>
    <w:p>
      <w:pPr>
        <w:widowControl w:val="0"/>
        <w:shd w:val="clear" w:color="auto" w:fill="FFFFFF"/>
        <w:suppressAutoHyphens/>
        <w:autoSpaceDE w:val="0"/>
        <w:spacing w:after="0" w:line="240" w:lineRule="auto"/>
        <w:rPr>
          <w:rFonts w:ascii="Times New Roman" w:eastAsia="Times New Roman" w:hAnsi="Times New Roman"/>
          <w:color w:val="000000"/>
          <w:lang w:val="it-IT" w:eastAsia="ar-SA"/>
        </w:rPr>
      </w:pPr>
    </w:p>
    <w:p>
      <w:pPr>
        <w:rPr>
          <w:rFonts w:ascii="Times New Roman" w:eastAsia="Times New Roman" w:hAnsi="Times New Roman"/>
          <w:color w:val="000000"/>
          <w:lang w:val="it-IT" w:eastAsia="ar-SA"/>
        </w:rPr>
      </w:pPr>
      <w:r>
        <w:rPr>
          <w:rFonts w:ascii="Times New Roman" w:eastAsia="Times New Roman" w:hAnsi="Times New Roman"/>
          <w:color w:val="000000"/>
          <w:lang w:val="it-IT" w:eastAsia="ar-SA"/>
        </w:rPr>
        <w:t>L’uso della dose di carico di clopidogrel 600 mg non è raccomandato nei pazienti con sindrome coronarica acuta senza innalzamento del tratto ST e di età ≥75 anni a causa dell'aumentato rischio di sanguinamento in questa popolazione.</w:t>
      </w:r>
    </w:p>
    <w:p>
      <w:pPr>
        <w:widowControl w:val="0"/>
        <w:shd w:val="clear" w:color="auto" w:fill="FFFFFF"/>
        <w:suppressAutoHyphens/>
        <w:autoSpaceDE w:val="0"/>
        <w:spacing w:after="0" w:line="240" w:lineRule="auto"/>
        <w:rPr>
          <w:rFonts w:ascii="Times New Roman" w:eastAsia="Times New Roman" w:hAnsi="Times New Roman"/>
          <w:color w:val="000000"/>
          <w:lang w:val="it-IT" w:eastAsia="ar-SA"/>
        </w:rPr>
      </w:pPr>
      <w:r>
        <w:rPr>
          <w:rFonts w:ascii="Times New Roman" w:eastAsia="Times New Roman" w:hAnsi="Times New Roman"/>
          <w:color w:val="000000"/>
          <w:lang w:val="it-IT" w:eastAsia="ar-SA"/>
        </w:rPr>
        <w:t>A causa dei dati clinici limitati nei pazienti di età ≥75 anni con STEMI sottoposti a PCI e dell’aumentato rischio di sanguinamento, l’uso della dose di carico di clopidogrel 600 mg deve essere preso in considerazione solo dopo una valutazione individuale del rischio di sanguinamento del paziente da parte del medico.</w:t>
      </w:r>
    </w:p>
    <w:p>
      <w:pPr>
        <w:widowControl w:val="0"/>
        <w:shd w:val="clear" w:color="auto" w:fill="FFFFFF"/>
        <w:suppressAutoHyphens/>
        <w:autoSpaceDE w:val="0"/>
        <w:spacing w:after="0" w:line="240" w:lineRule="auto"/>
        <w:rPr>
          <w:rFonts w:ascii="Times New Roman" w:eastAsia="Times New Roman" w:hAnsi="Times New Roman"/>
          <w:color w:val="000000"/>
          <w:lang w:val="it-IT" w:eastAsia="ar-SA"/>
        </w:rPr>
      </w:pPr>
    </w:p>
    <w:p>
      <w:pPr>
        <w:widowControl w:val="0"/>
        <w:suppressAutoHyphens/>
        <w:autoSpaceDE w:val="0"/>
        <w:spacing w:after="0" w:line="240" w:lineRule="auto"/>
        <w:rPr>
          <w:rFonts w:ascii="Times New Roman" w:eastAsia="Times New Roman" w:hAnsi="Times New Roman"/>
          <w:i/>
          <w:lang w:val="it-IT" w:eastAsia="ar-SA"/>
        </w:rPr>
      </w:pPr>
      <w:r>
        <w:rPr>
          <w:rFonts w:ascii="Times New Roman" w:eastAsia="Times New Roman" w:hAnsi="Times New Roman"/>
          <w:i/>
          <w:lang w:val="it-IT" w:eastAsia="ar-SA"/>
        </w:rPr>
        <w:t>Porpora trombotica trombocitopenica (PTT)</w:t>
      </w:r>
    </w:p>
    <w:p>
      <w:pPr>
        <w:widowControl w:val="0"/>
        <w:shd w:val="clear" w:color="auto" w:fill="FFFFFF"/>
        <w:suppressAutoHyphens/>
        <w:autoSpaceDE w:val="0"/>
        <w:spacing w:after="0" w:line="240" w:lineRule="auto"/>
        <w:rPr>
          <w:rFonts w:ascii="Times New Roman" w:eastAsia="Times New Roman" w:hAnsi="Times New Roman"/>
          <w:color w:val="000000"/>
          <w:spacing w:val="-1"/>
          <w:lang w:val="it-IT" w:eastAsia="ar-SA"/>
        </w:rPr>
      </w:pPr>
      <w:r>
        <w:rPr>
          <w:rFonts w:ascii="Times New Roman" w:eastAsia="Times New Roman" w:hAnsi="Times New Roman"/>
          <w:color w:val="000000"/>
          <w:lang w:val="it-IT" w:eastAsia="ar-SA"/>
        </w:rPr>
        <w:t xml:space="preserve">Molto raramente, in seguito all'uso di clopidogrel, talvolta dopo una breve esposizione, è stata segnalata porpora trombotica trombocitopenica (PTT). Questa è caratterizzata da trombocitopenia e </w:t>
      </w:r>
      <w:r>
        <w:rPr>
          <w:rFonts w:ascii="Times New Roman" w:eastAsia="Times New Roman" w:hAnsi="Times New Roman"/>
          <w:color w:val="000000"/>
          <w:spacing w:val="-1"/>
          <w:lang w:val="it-IT" w:eastAsia="ar-SA"/>
        </w:rPr>
        <w:t xml:space="preserve">anemia emolitica microangiopatica associata o a problemi neurologici, disfunzione renale o a febbre. </w:t>
      </w:r>
      <w:r>
        <w:rPr>
          <w:rFonts w:ascii="Times New Roman" w:eastAsia="Times New Roman" w:hAnsi="Times New Roman"/>
          <w:color w:val="000000"/>
          <w:lang w:val="it-IT" w:eastAsia="ar-SA"/>
        </w:rPr>
        <w:t xml:space="preserve">La PTT è una condizione potenzialmente fatale che richiede un trattamento immediato compresa la </w:t>
      </w:r>
      <w:r>
        <w:rPr>
          <w:rFonts w:ascii="Times New Roman" w:eastAsia="Times New Roman" w:hAnsi="Times New Roman"/>
          <w:color w:val="000000"/>
          <w:spacing w:val="-1"/>
          <w:lang w:val="it-IT" w:eastAsia="ar-SA"/>
        </w:rPr>
        <w:t>plasmaferesi.</w:t>
      </w:r>
    </w:p>
    <w:p>
      <w:pPr>
        <w:spacing w:after="0" w:line="240" w:lineRule="auto"/>
        <w:rPr>
          <w:rFonts w:ascii="Times New Roman" w:eastAsia="Times New Roman" w:hAnsi="Times New Roman"/>
          <w:i/>
          <w:lang w:val="it-IT"/>
        </w:rPr>
      </w:pPr>
    </w:p>
    <w:p>
      <w:pPr>
        <w:spacing w:after="0" w:line="240" w:lineRule="auto"/>
        <w:rPr>
          <w:rFonts w:ascii="Times New Roman" w:eastAsia="Times New Roman" w:hAnsi="Times New Roman"/>
          <w:i/>
          <w:lang w:val="it-IT"/>
        </w:rPr>
      </w:pPr>
      <w:r>
        <w:rPr>
          <w:rFonts w:ascii="Times New Roman" w:eastAsia="Times New Roman" w:hAnsi="Times New Roman"/>
          <w:i/>
          <w:lang w:val="it-IT"/>
        </w:rPr>
        <w:t>Emofilia acquisita</w:t>
      </w:r>
    </w:p>
    <w:p>
      <w:pPr>
        <w:spacing w:after="0" w:line="240" w:lineRule="auto"/>
        <w:rPr>
          <w:rFonts w:ascii="Times New Roman" w:eastAsia="Times New Roman" w:hAnsi="Times New Roman"/>
          <w:lang w:val="it-IT"/>
        </w:rPr>
      </w:pPr>
      <w:r>
        <w:rPr>
          <w:rFonts w:ascii="Times New Roman" w:eastAsia="Times New Roman" w:hAnsi="Times New Roman"/>
          <w:lang w:val="it-IT"/>
        </w:rPr>
        <w:t>L’emofilia acquisita è stata riportata in seguito all’uso di clopidogrel. In caso di isolato prolungamento del Tempo di Tromboplastina Parziale attivata (aPTT) con o senza emorragia in atto, l’emofilia acquisita dovrebbe essere presa in considerazione. Pazienti con una diagnosi confermata di emofilia acquisita dovrebbero essere gestiti e trattati da medici specialisti. Il trattamento con clopidogrel deve essere interrotto.</w:t>
      </w:r>
    </w:p>
    <w:p>
      <w:pPr>
        <w:widowControl w:val="0"/>
        <w:shd w:val="clear" w:color="auto" w:fill="FFFFFF"/>
        <w:suppressAutoHyphens/>
        <w:autoSpaceDE w:val="0"/>
        <w:spacing w:after="0" w:line="240" w:lineRule="auto"/>
        <w:rPr>
          <w:rFonts w:ascii="Times New Roman" w:eastAsia="Times New Roman" w:hAnsi="Times New Roman"/>
          <w:color w:val="000000"/>
          <w:spacing w:val="-1"/>
          <w:lang w:val="it-IT" w:eastAsia="ar-SA"/>
        </w:rPr>
      </w:pPr>
    </w:p>
    <w:p>
      <w:pPr>
        <w:widowControl w:val="0"/>
        <w:suppressAutoHyphens/>
        <w:autoSpaceDE w:val="0"/>
        <w:spacing w:after="0" w:line="240" w:lineRule="auto"/>
        <w:rPr>
          <w:rFonts w:ascii="Times New Roman" w:eastAsia="Times New Roman" w:hAnsi="Times New Roman"/>
          <w:i/>
          <w:lang w:val="it-IT" w:eastAsia="ar-SA"/>
        </w:rPr>
      </w:pPr>
      <w:r>
        <w:rPr>
          <w:rFonts w:ascii="Times New Roman" w:eastAsia="Times New Roman" w:hAnsi="Times New Roman"/>
          <w:i/>
          <w:lang w:val="it-IT" w:eastAsia="ar-SA"/>
        </w:rPr>
        <w:t>Ictus ischemico recente</w:t>
      </w:r>
    </w:p>
    <w:p>
      <w:pPr>
        <w:numPr>
          <w:ilvl w:val="0"/>
          <w:numId w:val="30"/>
        </w:numPr>
        <w:spacing w:after="0" w:line="240" w:lineRule="auto"/>
        <w:rPr>
          <w:rFonts w:ascii="Times New Roman" w:eastAsia="Times New Roman" w:hAnsi="Times New Roman"/>
          <w:i/>
          <w:lang w:val="it-IT"/>
        </w:rPr>
      </w:pPr>
      <w:r>
        <w:rPr>
          <w:rFonts w:ascii="Times New Roman" w:eastAsia="Times New Roman" w:hAnsi="Times New Roman"/>
          <w:i/>
          <w:lang w:val="it-IT"/>
        </w:rPr>
        <w:t>Inizio della terapia</w:t>
      </w:r>
    </w:p>
    <w:p>
      <w:pPr>
        <w:numPr>
          <w:ilvl w:val="0"/>
          <w:numId w:val="35"/>
        </w:numPr>
        <w:tabs>
          <w:tab w:val="left" w:pos="851"/>
        </w:tabs>
        <w:spacing w:after="0" w:line="240" w:lineRule="auto"/>
        <w:rPr>
          <w:rFonts w:ascii="Times New Roman" w:eastAsia="Times New Roman" w:hAnsi="Times New Roman"/>
          <w:lang w:val="it-IT"/>
        </w:rPr>
      </w:pPr>
      <w:r>
        <w:rPr>
          <w:rFonts w:ascii="Times New Roman" w:eastAsia="Times New Roman" w:hAnsi="Times New Roman"/>
          <w:lang w:val="it-IT"/>
        </w:rPr>
        <w:t>Nei pazienti con IS acuto minore o con TIA a rischio da moderato ad alto, la doppia terapia antipiastrinica (clopidogrel e ASA) deve essere iniziata entro 24 ore dall'insorgenza dell'evento.</w:t>
      </w:r>
    </w:p>
    <w:p>
      <w:pPr>
        <w:numPr>
          <w:ilvl w:val="0"/>
          <w:numId w:val="35"/>
        </w:numPr>
        <w:tabs>
          <w:tab w:val="left" w:pos="851"/>
        </w:tabs>
        <w:spacing w:after="0" w:line="240" w:lineRule="auto"/>
        <w:rPr>
          <w:rFonts w:ascii="Times New Roman" w:eastAsia="Times New Roman" w:hAnsi="Times New Roman"/>
          <w:lang w:val="it-IT"/>
        </w:rPr>
      </w:pPr>
      <w:r>
        <w:rPr>
          <w:rFonts w:ascii="Times New Roman" w:eastAsia="Times New Roman" w:hAnsi="Times New Roman"/>
          <w:lang w:val="it-IT"/>
        </w:rPr>
        <w:t>Non sono disponibili dati sul rapporto rischio-beneficio della doppia terapia antipiastrinica a breve termine nei pazienti con IS acuto minore o TIA a rischio da moderato ad alto, con una storia di emorragia intracranica (non traumatica).</w:t>
      </w:r>
    </w:p>
    <w:p>
      <w:pPr>
        <w:numPr>
          <w:ilvl w:val="0"/>
          <w:numId w:val="35"/>
        </w:numPr>
        <w:tabs>
          <w:tab w:val="left" w:pos="851"/>
        </w:tabs>
        <w:spacing w:after="0" w:line="240" w:lineRule="auto"/>
        <w:rPr>
          <w:rFonts w:ascii="Times New Roman" w:eastAsia="Times New Roman" w:hAnsi="Times New Roman"/>
          <w:lang w:val="it-IT"/>
        </w:rPr>
      </w:pPr>
      <w:r>
        <w:rPr>
          <w:rFonts w:ascii="Times New Roman" w:eastAsia="Times New Roman" w:hAnsi="Times New Roman"/>
          <w:lang w:val="it-IT"/>
        </w:rPr>
        <w:t>Nei pazienti con IS non minore, la monoterapia con clopidogrel deve essere iniziata solo dopo i primi 7 giorni dall'evento.</w:t>
      </w:r>
    </w:p>
    <w:p>
      <w:pPr>
        <w:numPr>
          <w:ilvl w:val="0"/>
          <w:numId w:val="30"/>
        </w:numPr>
        <w:spacing w:after="0" w:line="240" w:lineRule="auto"/>
        <w:rPr>
          <w:rFonts w:ascii="Times New Roman" w:eastAsia="Times New Roman" w:hAnsi="Times New Roman"/>
          <w:i/>
          <w:lang w:val="it-IT"/>
        </w:rPr>
      </w:pPr>
      <w:r>
        <w:rPr>
          <w:rFonts w:ascii="Times New Roman" w:eastAsia="Times New Roman" w:hAnsi="Times New Roman"/>
          <w:i/>
          <w:lang w:val="it-IT"/>
        </w:rPr>
        <w:t>Pazienti con IS non minore (NIHSS&gt; 4)</w:t>
      </w:r>
    </w:p>
    <w:p>
      <w:pPr>
        <w:tabs>
          <w:tab w:val="left" w:pos="426"/>
        </w:tabs>
        <w:ind w:left="426"/>
        <w:rPr>
          <w:rFonts w:ascii="Times New Roman" w:eastAsia="Times New Roman" w:hAnsi="Times New Roman"/>
          <w:lang w:val="it-IT"/>
        </w:rPr>
      </w:pPr>
      <w:r>
        <w:rPr>
          <w:rFonts w:ascii="Times New Roman" w:eastAsia="Times New Roman" w:hAnsi="Times New Roman"/>
          <w:lang w:val="it-IT"/>
        </w:rPr>
        <w:t>Data la mancanza di dati, l'uso della doppia terapia antipiastrinica non è raccomandato (vedere paragrafo 4.1).</w:t>
      </w:r>
    </w:p>
    <w:p>
      <w:pPr>
        <w:numPr>
          <w:ilvl w:val="0"/>
          <w:numId w:val="30"/>
        </w:numPr>
        <w:spacing w:after="0" w:line="240" w:lineRule="auto"/>
        <w:rPr>
          <w:rFonts w:ascii="Times New Roman" w:eastAsia="Times New Roman" w:hAnsi="Times New Roman"/>
          <w:i/>
          <w:lang w:val="it-IT"/>
        </w:rPr>
      </w:pPr>
      <w:r>
        <w:rPr>
          <w:rFonts w:ascii="Times New Roman" w:eastAsia="Times New Roman" w:hAnsi="Times New Roman"/>
          <w:i/>
          <w:lang w:val="it-IT"/>
        </w:rPr>
        <w:t>IS minore recente o TIA a rischio da moderato ad alto in pazienti per i quali è indicato o pianificato l'intervento</w:t>
      </w:r>
    </w:p>
    <w:p>
      <w:pPr>
        <w:shd w:val="clear" w:color="auto" w:fill="FFFFFF"/>
        <w:tabs>
          <w:tab w:val="left" w:pos="567"/>
        </w:tabs>
        <w:ind w:left="284"/>
        <w:rPr>
          <w:rFonts w:ascii="Times New Roman" w:eastAsia="Times New Roman" w:hAnsi="Times New Roman"/>
          <w:lang w:val="it-IT"/>
        </w:rPr>
      </w:pPr>
      <w:r>
        <w:rPr>
          <w:rFonts w:ascii="Times New Roman" w:eastAsia="Times New Roman" w:hAnsi="Times New Roman"/>
          <w:lang w:val="it-IT"/>
        </w:rPr>
        <w:t xml:space="preserve">Non ci sono dati a supporto dell'uso della doppia terapia antipiastrinica in pazienti per i quali è indicato il trattamento con endoarteriectomia carotidea o trombectomia intravascolare, o in </w:t>
      </w:r>
      <w:r>
        <w:rPr>
          <w:rFonts w:ascii="Times New Roman" w:eastAsia="Times New Roman" w:hAnsi="Times New Roman"/>
          <w:lang w:val="it-IT"/>
        </w:rPr>
        <w:lastRenderedPageBreak/>
        <w:t>pazienti in attesa di trombolisi o terapia anticoagulante. La doppia terapia antipiastrinica non è raccomandata in queste situazioni.</w:t>
      </w:r>
    </w:p>
    <w:p>
      <w:pPr>
        <w:widowControl w:val="0"/>
        <w:suppressAutoHyphens/>
        <w:autoSpaceDE w:val="0"/>
        <w:spacing w:after="0" w:line="240" w:lineRule="auto"/>
        <w:rPr>
          <w:rFonts w:ascii="Times New Roman" w:eastAsia="Times New Roman" w:hAnsi="Times New Roman"/>
          <w:i/>
          <w:lang w:val="it-IT" w:eastAsia="ar-SA"/>
        </w:rPr>
      </w:pPr>
      <w:r>
        <w:rPr>
          <w:rFonts w:ascii="Times New Roman" w:eastAsia="Times New Roman" w:hAnsi="Times New Roman"/>
          <w:i/>
          <w:lang w:val="it-IT" w:eastAsia="ar-SA"/>
        </w:rPr>
        <w:t>Citocromo P450 2C19 (CYP2C19)</w:t>
      </w:r>
    </w:p>
    <w:p>
      <w:pPr>
        <w:widowControl w:val="0"/>
        <w:suppressAutoHyphens/>
        <w:autoSpaceDE w:val="0"/>
        <w:spacing w:after="0" w:line="240" w:lineRule="auto"/>
        <w:rPr>
          <w:rFonts w:ascii="Times New Roman" w:eastAsia="Times New Roman" w:hAnsi="Times New Roman"/>
          <w:lang w:val="it-IT" w:eastAsia="ar-SA"/>
        </w:rPr>
      </w:pPr>
      <w:r>
        <w:rPr>
          <w:rFonts w:ascii="Times New Roman" w:eastAsia="Times New Roman" w:hAnsi="Times New Roman"/>
          <w:lang w:val="it-IT" w:eastAsia="ar-SA"/>
        </w:rPr>
        <w:t>Farmacogenetica: Quando clopidogrel viene somministrato al dosaggio raccomandato nei pazienti metabolizzatori lenti del CYP2C19, la formazione del metabolita attivo di clopidogrel è ridotta e l’effetto sulla funzionalità piastrinica è minore. Sono disponibili dei test per identificare il genotipo CYP2C19 di un paziente.</w:t>
      </w:r>
    </w:p>
    <w:p>
      <w:pPr>
        <w:widowControl w:val="0"/>
        <w:suppressAutoHyphens/>
        <w:autoSpaceDE w:val="0"/>
        <w:spacing w:after="0" w:line="240" w:lineRule="auto"/>
        <w:rPr>
          <w:rFonts w:ascii="Times New Roman" w:eastAsia="Times New Roman" w:hAnsi="Times New Roman"/>
          <w:lang w:val="it-IT" w:eastAsia="ar-SA"/>
        </w:rPr>
      </w:pPr>
    </w:p>
    <w:p>
      <w:pPr>
        <w:shd w:val="clear" w:color="auto" w:fill="FFFFFF"/>
        <w:spacing w:after="0" w:line="240" w:lineRule="auto"/>
        <w:jc w:val="both"/>
        <w:rPr>
          <w:rFonts w:ascii="Times New Roman" w:eastAsia="Times New Roman" w:hAnsi="Times New Roman"/>
          <w:lang w:val="it-IT" w:eastAsia="ar-SA"/>
        </w:rPr>
      </w:pPr>
      <w:r>
        <w:rPr>
          <w:rFonts w:ascii="Times New Roman" w:eastAsia="Times New Roman" w:hAnsi="Times New Roman"/>
          <w:lang w:val="it-IT" w:eastAsia="ar-SA"/>
        </w:rPr>
        <w:t xml:space="preserve">Poiché clopidogrel è trasformato nel suo metabolita attivo in parte dal CYP2C19, ci si attende che l’uso di medicinali che inibiscono l’attività di questo enzima porti ad una riduzione dei livelli farmacologici del metabolita attivo di clopidogrel. La rilevanza clinica di questa interazione non è certa. Per precauzione, l’uso concomitante di inibitori forti o moderati del CYP2C19 deve essere scoraggiato (vedere paragrafo 4.5 per un elenco degli inibitori del CYP2C19; vedere anche paragrafo 5.2). </w:t>
      </w:r>
    </w:p>
    <w:p>
      <w:pPr>
        <w:shd w:val="clear" w:color="auto" w:fill="FFFFFF"/>
        <w:spacing w:after="0" w:line="240" w:lineRule="auto"/>
        <w:jc w:val="both"/>
        <w:rPr>
          <w:rFonts w:ascii="Times New Roman" w:eastAsia="Times New Roman" w:hAnsi="Times New Roman"/>
          <w:lang w:val="it-IT" w:eastAsia="ar-SA"/>
        </w:rPr>
      </w:pPr>
      <w:r>
        <w:rPr>
          <w:rFonts w:ascii="Times New Roman" w:eastAsia="Times New Roman" w:hAnsi="Times New Roman"/>
          <w:lang w:val="it-IT" w:eastAsia="ar-SA"/>
        </w:rPr>
        <w:t>Ci si attende che l'uso di medicinali che inducono l'attività di CYP2C19 porti un aumento dei livelli farmacologici del metabolita attivo di clopidogrel, e questo può potenziare il rischio di sanguinamento. A titolo precauzionale, l'uso concomitante di forti induttori del CYP2C19 deve essere scoraggiato (vedere paragrafo 4.5).</w:t>
      </w:r>
    </w:p>
    <w:p>
      <w:pPr>
        <w:widowControl w:val="0"/>
        <w:shd w:val="clear" w:color="auto" w:fill="FFFFFF"/>
        <w:suppressAutoHyphens/>
        <w:autoSpaceDE w:val="0"/>
        <w:spacing w:after="0" w:line="240" w:lineRule="auto"/>
        <w:rPr>
          <w:rFonts w:ascii="Times New Roman" w:eastAsia="Times New Roman" w:hAnsi="Times New Roman"/>
          <w:lang w:val="it-IT" w:eastAsia="ar-SA"/>
        </w:rPr>
      </w:pPr>
    </w:p>
    <w:p>
      <w:pPr>
        <w:spacing w:after="0" w:line="240" w:lineRule="auto"/>
        <w:rPr>
          <w:rFonts w:ascii="Times New Roman" w:hAnsi="Times New Roman"/>
          <w:i/>
          <w:lang w:val="it-IT"/>
        </w:rPr>
      </w:pPr>
      <w:r>
        <w:rPr>
          <w:rFonts w:ascii="Times New Roman" w:hAnsi="Times New Roman"/>
          <w:i/>
          <w:lang w:val="it-IT"/>
        </w:rPr>
        <w:t>Substrati del CYP2C8</w:t>
      </w:r>
    </w:p>
    <w:p>
      <w:pPr>
        <w:spacing w:after="0" w:line="240" w:lineRule="auto"/>
        <w:rPr>
          <w:rFonts w:ascii="Times New Roman" w:hAnsi="Times New Roman"/>
          <w:lang w:val="it-IT"/>
        </w:rPr>
      </w:pPr>
      <w:r>
        <w:rPr>
          <w:rFonts w:ascii="Times New Roman" w:hAnsi="Times New Roman"/>
          <w:lang w:val="it-IT"/>
        </w:rPr>
        <w:t>Si richiede cautela nei pazienti trattati in maniera concomitante con clopidogrel e medicinali che sono subtrati del CYP2C8 (vedere paragrafo 4.5).</w:t>
      </w:r>
    </w:p>
    <w:p>
      <w:pPr>
        <w:spacing w:after="0" w:line="240" w:lineRule="auto"/>
        <w:rPr>
          <w:rFonts w:ascii="Times New Roman" w:eastAsia="Times New Roman" w:hAnsi="Times New Roman"/>
          <w:lang w:val="it-IT"/>
        </w:rPr>
      </w:pPr>
    </w:p>
    <w:p>
      <w:pPr>
        <w:spacing w:after="0" w:line="240" w:lineRule="auto"/>
        <w:rPr>
          <w:rFonts w:ascii="Times New Roman" w:eastAsia="Times New Roman" w:hAnsi="Times New Roman"/>
          <w:i/>
          <w:lang w:val="it-IT"/>
        </w:rPr>
      </w:pPr>
      <w:r>
        <w:rPr>
          <w:rFonts w:ascii="Times New Roman" w:eastAsia="Times New Roman" w:hAnsi="Times New Roman"/>
          <w:i/>
          <w:lang w:val="it-IT"/>
        </w:rPr>
        <w:t>Reazioni crociate tra le tienopiridine</w:t>
      </w:r>
    </w:p>
    <w:p>
      <w:pPr>
        <w:spacing w:after="0" w:line="240" w:lineRule="auto"/>
        <w:rPr>
          <w:rFonts w:ascii="Times New Roman" w:eastAsia="Times New Roman" w:hAnsi="Times New Roman"/>
          <w:lang w:val="it-IT"/>
        </w:rPr>
      </w:pPr>
      <w:r>
        <w:rPr>
          <w:rFonts w:ascii="Times New Roman" w:eastAsia="Times New Roman" w:hAnsi="Times New Roman"/>
          <w:lang w:val="it-IT"/>
        </w:rPr>
        <w:t>I pazienti devono essere valutati per la storia clinica di ipersensibilità alle tienopiridine (come clopidogrel, ticlopidina, prasugrel) dal momento che una reattività crociata è stata riportata tra le tienopiridine (vedere paragrafo 4.8 “Effetti indesiderati”). Le tienopiridine possono provocare reazioni allergiche da moderate a gravi come rash, angioedema o reazioni ematologiche crociate quali trombocitopenia e neutropenia. I pazienti che hanno manifestato una precedente reazione allergica e/o ematologica ad una tienopiridina possono avere un aumentato rischio di sviluppare la stessa o un’altra reazione ad un’altra tienopiridina.  Si consiglia di monitorare i segni di ipersensibilità in pazienti con un’allergia nota alle tienopiridine.</w:t>
      </w:r>
    </w:p>
    <w:p>
      <w:pPr>
        <w:widowControl w:val="0"/>
        <w:shd w:val="clear" w:color="auto" w:fill="FFFFFF"/>
        <w:suppressAutoHyphens/>
        <w:autoSpaceDE w:val="0"/>
        <w:spacing w:after="0" w:line="240" w:lineRule="auto"/>
        <w:rPr>
          <w:rFonts w:ascii="Times New Roman" w:eastAsia="Times New Roman" w:hAnsi="Times New Roman"/>
          <w:color w:val="000000"/>
          <w:spacing w:val="-1"/>
          <w:lang w:val="it-IT" w:eastAsia="ar-SA"/>
        </w:rPr>
      </w:pPr>
    </w:p>
    <w:p>
      <w:pPr>
        <w:widowControl w:val="0"/>
        <w:suppressAutoHyphens/>
        <w:autoSpaceDE w:val="0"/>
        <w:spacing w:after="0" w:line="240" w:lineRule="auto"/>
        <w:rPr>
          <w:rFonts w:ascii="Times New Roman" w:eastAsia="Times New Roman" w:hAnsi="Times New Roman"/>
          <w:i/>
          <w:lang w:val="it-IT" w:eastAsia="ar-SA"/>
        </w:rPr>
      </w:pPr>
      <w:r>
        <w:rPr>
          <w:rFonts w:ascii="Times New Roman" w:eastAsia="Times New Roman" w:hAnsi="Times New Roman"/>
          <w:i/>
          <w:lang w:val="it-IT" w:eastAsia="ar-SA"/>
        </w:rPr>
        <w:t>Insufficienza renale</w:t>
      </w:r>
    </w:p>
    <w:p>
      <w:pPr>
        <w:widowControl w:val="0"/>
        <w:shd w:val="clear" w:color="auto" w:fill="FFFFFF"/>
        <w:suppressAutoHyphens/>
        <w:autoSpaceDE w:val="0"/>
        <w:spacing w:after="0" w:line="240" w:lineRule="auto"/>
        <w:rPr>
          <w:rFonts w:ascii="Times New Roman" w:eastAsia="Times New Roman" w:hAnsi="Times New Roman"/>
          <w:color w:val="000000"/>
          <w:lang w:val="it-IT" w:eastAsia="ar-SA"/>
        </w:rPr>
      </w:pPr>
      <w:r>
        <w:rPr>
          <w:rFonts w:ascii="Times New Roman" w:eastAsia="Times New Roman" w:hAnsi="Times New Roman"/>
          <w:color w:val="000000"/>
          <w:spacing w:val="-1"/>
          <w:lang w:val="it-IT" w:eastAsia="ar-SA"/>
        </w:rPr>
        <w:t xml:space="preserve">L'esperienza terapeutica con clopidogrel è limitata in pazienti con insufficienza renale. Clopidogrel </w:t>
      </w:r>
      <w:r>
        <w:rPr>
          <w:rFonts w:ascii="Times New Roman" w:eastAsia="Times New Roman" w:hAnsi="Times New Roman"/>
          <w:color w:val="000000"/>
          <w:lang w:val="it-IT" w:eastAsia="ar-SA"/>
        </w:rPr>
        <w:t>deve quindi essere usato con cautela in questi pazienti (vedere paragrafo 4.2).</w:t>
      </w:r>
    </w:p>
    <w:p>
      <w:pPr>
        <w:widowControl w:val="0"/>
        <w:shd w:val="clear" w:color="auto" w:fill="FFFFFF"/>
        <w:suppressAutoHyphens/>
        <w:autoSpaceDE w:val="0"/>
        <w:spacing w:after="0" w:line="240" w:lineRule="auto"/>
        <w:rPr>
          <w:rFonts w:ascii="Times New Roman" w:eastAsia="Times New Roman" w:hAnsi="Times New Roman"/>
          <w:color w:val="000000"/>
          <w:spacing w:val="-1"/>
          <w:lang w:val="it-IT" w:eastAsia="ar-SA"/>
        </w:rPr>
      </w:pPr>
    </w:p>
    <w:p>
      <w:pPr>
        <w:widowControl w:val="0"/>
        <w:suppressAutoHyphens/>
        <w:autoSpaceDE w:val="0"/>
        <w:spacing w:after="0" w:line="240" w:lineRule="auto"/>
        <w:rPr>
          <w:rFonts w:ascii="Times New Roman" w:eastAsia="Times New Roman" w:hAnsi="Times New Roman"/>
          <w:i/>
          <w:lang w:val="it-IT" w:eastAsia="ar-SA"/>
        </w:rPr>
      </w:pPr>
      <w:r>
        <w:rPr>
          <w:rFonts w:ascii="Times New Roman" w:eastAsia="Times New Roman" w:hAnsi="Times New Roman"/>
          <w:i/>
          <w:lang w:val="it-IT" w:eastAsia="ar-SA"/>
        </w:rPr>
        <w:t>Insufficienza epatica</w:t>
      </w:r>
    </w:p>
    <w:p>
      <w:pPr>
        <w:widowControl w:val="0"/>
        <w:shd w:val="clear" w:color="auto" w:fill="FFFFFF"/>
        <w:suppressAutoHyphens/>
        <w:autoSpaceDE w:val="0"/>
        <w:spacing w:after="0" w:line="240" w:lineRule="auto"/>
        <w:rPr>
          <w:rFonts w:ascii="Times New Roman" w:eastAsia="Times New Roman" w:hAnsi="Times New Roman"/>
          <w:color w:val="000000"/>
          <w:lang w:val="it-IT" w:eastAsia="ar-SA"/>
        </w:rPr>
      </w:pPr>
      <w:r>
        <w:rPr>
          <w:rFonts w:ascii="Times New Roman" w:eastAsia="Times New Roman" w:hAnsi="Times New Roman"/>
          <w:color w:val="000000"/>
          <w:spacing w:val="-1"/>
          <w:lang w:val="it-IT" w:eastAsia="ar-SA"/>
        </w:rPr>
        <w:t xml:space="preserve">L'esperienza terapeutica con clopidogrel è limitata in pazienti con moderata disfunzione epatica che </w:t>
      </w:r>
      <w:r>
        <w:rPr>
          <w:rFonts w:ascii="Times New Roman" w:eastAsia="Times New Roman" w:hAnsi="Times New Roman"/>
          <w:color w:val="000000"/>
          <w:lang w:val="it-IT" w:eastAsia="ar-SA"/>
        </w:rPr>
        <w:t>possono avere una diatesi emorragica. Clopidogrel deve quindi essere usato con cautela in questi pazienti (vedere paragrafo 4.2).</w:t>
      </w:r>
    </w:p>
    <w:p>
      <w:pPr>
        <w:widowControl w:val="0"/>
        <w:shd w:val="clear" w:color="auto" w:fill="FFFFFF"/>
        <w:suppressAutoHyphens/>
        <w:autoSpaceDE w:val="0"/>
        <w:spacing w:after="0" w:line="240" w:lineRule="auto"/>
        <w:rPr>
          <w:rFonts w:ascii="Times New Roman" w:eastAsia="Times New Roman" w:hAnsi="Times New Roman"/>
          <w:color w:val="000000"/>
          <w:lang w:val="it-IT" w:eastAsia="ar-SA"/>
        </w:rPr>
      </w:pPr>
    </w:p>
    <w:p>
      <w:pPr>
        <w:widowControl w:val="0"/>
        <w:shd w:val="clear" w:color="auto" w:fill="FFFFFF"/>
        <w:suppressAutoHyphens/>
        <w:autoSpaceDE w:val="0"/>
        <w:spacing w:after="0" w:line="240" w:lineRule="auto"/>
        <w:rPr>
          <w:rFonts w:ascii="Times New Roman" w:eastAsia="Times New Roman" w:hAnsi="Times New Roman"/>
          <w:b/>
          <w:bCs/>
          <w:color w:val="000000"/>
          <w:spacing w:val="1"/>
          <w:lang w:val="it-IT" w:eastAsia="ar-SA"/>
        </w:rPr>
      </w:pPr>
      <w:r>
        <w:rPr>
          <w:rFonts w:ascii="Times New Roman" w:eastAsia="Times New Roman" w:hAnsi="Times New Roman"/>
          <w:b/>
          <w:bCs/>
          <w:color w:val="000000"/>
          <w:spacing w:val="1"/>
          <w:lang w:val="it-IT" w:eastAsia="ar-SA"/>
        </w:rPr>
        <w:t>4.5</w:t>
      </w:r>
      <w:r>
        <w:rPr>
          <w:rFonts w:ascii="Times New Roman" w:eastAsia="Times New Roman" w:hAnsi="Times New Roman"/>
          <w:b/>
          <w:bCs/>
          <w:color w:val="000000"/>
          <w:spacing w:val="1"/>
          <w:lang w:val="it-IT" w:eastAsia="ar-SA"/>
        </w:rPr>
        <w:tab/>
        <w:t>Interazioni con altri medicinali ed altre forme di interazione</w:t>
      </w:r>
    </w:p>
    <w:p>
      <w:pPr>
        <w:widowControl w:val="0"/>
        <w:shd w:val="clear" w:color="auto" w:fill="FFFFFF"/>
        <w:suppressAutoHyphens/>
        <w:autoSpaceDE w:val="0"/>
        <w:spacing w:after="0" w:line="240" w:lineRule="auto"/>
        <w:rPr>
          <w:rFonts w:ascii="Times New Roman" w:eastAsia="Times New Roman" w:hAnsi="Times New Roman"/>
          <w:i/>
          <w:iCs/>
          <w:color w:val="000000"/>
          <w:spacing w:val="-1"/>
          <w:lang w:val="it-IT" w:eastAsia="ar-SA"/>
        </w:rPr>
      </w:pPr>
    </w:p>
    <w:p>
      <w:pPr>
        <w:spacing w:after="0" w:line="240" w:lineRule="auto"/>
        <w:rPr>
          <w:rFonts w:ascii="Times New Roman" w:hAnsi="Times New Roman"/>
          <w:bCs/>
          <w:lang w:val="it-IT"/>
        </w:rPr>
      </w:pPr>
      <w:r>
        <w:rPr>
          <w:rFonts w:ascii="Times New Roman" w:hAnsi="Times New Roman"/>
          <w:bCs/>
          <w:i/>
          <w:lang w:val="it-IT"/>
        </w:rPr>
        <w:t>Medicinali associati a rischio di sanguinamento</w:t>
      </w:r>
      <w:r>
        <w:rPr>
          <w:rFonts w:ascii="Times New Roman" w:hAnsi="Times New Roman"/>
          <w:bCs/>
          <w:lang w:val="it-IT"/>
        </w:rPr>
        <w:t>: esiste  un aumentato rischio di sanguinamento a causa del potenziale effetto additivo. La somministrazione concomitante di medicinali associati a rischio di sanguinamento deve essere intrapresa con cautela.(vedere paragrafo 4.4).</w:t>
      </w:r>
    </w:p>
    <w:p>
      <w:pPr>
        <w:spacing w:after="0" w:line="240" w:lineRule="auto"/>
        <w:rPr>
          <w:rFonts w:ascii="Times New Roman" w:hAnsi="Times New Roman"/>
          <w:bCs/>
          <w:lang w:val="it-IT"/>
        </w:rPr>
      </w:pPr>
    </w:p>
    <w:p>
      <w:pPr>
        <w:widowControl w:val="0"/>
        <w:shd w:val="clear" w:color="auto" w:fill="FFFFFF"/>
        <w:suppressAutoHyphens/>
        <w:autoSpaceDE w:val="0"/>
        <w:spacing w:after="0" w:line="240" w:lineRule="auto"/>
        <w:rPr>
          <w:rFonts w:ascii="Times New Roman" w:eastAsia="Times New Roman" w:hAnsi="Times New Roman"/>
          <w:color w:val="000000"/>
          <w:spacing w:val="-3"/>
          <w:lang w:val="it-IT" w:eastAsia="ar-SA"/>
        </w:rPr>
      </w:pPr>
      <w:r>
        <w:rPr>
          <w:rFonts w:ascii="Times New Roman" w:eastAsia="Times New Roman" w:hAnsi="Times New Roman"/>
          <w:i/>
          <w:iCs/>
          <w:color w:val="000000"/>
          <w:spacing w:val="-1"/>
          <w:lang w:val="it-IT" w:eastAsia="ar-SA"/>
        </w:rPr>
        <w:t xml:space="preserve">Anticoagulanti orali: </w:t>
      </w:r>
      <w:r>
        <w:rPr>
          <w:rFonts w:ascii="Times New Roman" w:eastAsia="Times New Roman" w:hAnsi="Times New Roman"/>
          <w:color w:val="000000"/>
          <w:spacing w:val="-1"/>
          <w:lang w:val="it-IT" w:eastAsia="ar-SA"/>
        </w:rPr>
        <w:t xml:space="preserve">la somministrazione contemporanea di clopidogrel e anticoagulanti orali non è </w:t>
      </w:r>
      <w:r>
        <w:rPr>
          <w:rFonts w:ascii="Times New Roman" w:eastAsia="Times New Roman" w:hAnsi="Times New Roman"/>
          <w:color w:val="000000"/>
          <w:spacing w:val="1"/>
          <w:lang w:val="it-IT" w:eastAsia="ar-SA"/>
        </w:rPr>
        <w:t xml:space="preserve">consigliata </w:t>
      </w:r>
      <w:r>
        <w:rPr>
          <w:rFonts w:ascii="Times New Roman" w:eastAsia="Times New Roman" w:hAnsi="Times New Roman"/>
          <w:lang w:val="it-IT" w:eastAsia="ar-SA"/>
        </w:rPr>
        <w:t>dato che può determinare l’aumento dell’intensità</w:t>
      </w:r>
      <w:r>
        <w:rPr>
          <w:rFonts w:ascii="Times New Roman" w:eastAsia="Times New Roman" w:hAnsi="Times New Roman"/>
          <w:color w:val="000000"/>
          <w:spacing w:val="1"/>
          <w:lang w:val="it-IT" w:eastAsia="ar-SA"/>
        </w:rPr>
        <w:t xml:space="preserve"> dei sanguinamenti (vedere paragrafo </w:t>
      </w:r>
      <w:r>
        <w:rPr>
          <w:rFonts w:ascii="Times New Roman" w:eastAsia="Times New Roman" w:hAnsi="Times New Roman"/>
          <w:color w:val="000000"/>
          <w:spacing w:val="-3"/>
          <w:lang w:val="it-IT" w:eastAsia="ar-SA"/>
        </w:rPr>
        <w:t>4.4).</w:t>
      </w:r>
      <w:r>
        <w:rPr>
          <w:rFonts w:ascii="Times New Roman" w:eastAsia="Times New Roman" w:hAnsi="Times New Roman"/>
          <w:lang w:val="it-IT" w:eastAsia="ar-SA"/>
        </w:rPr>
        <w:t xml:space="preserve"> Anche se la somministrazione di clopidogrel 75 mg/die non ha modificato la farmacocinetica di S-warfarin o l’International Normalised Ratio (INR) nei pazienti in trattamento a lungo termine con warfarin, la co-somministrazione di clopidogrel e warfarin aumenta il rischio di sanguinamento a causa degli effetti indipendenti sull’emostasi.</w:t>
      </w:r>
    </w:p>
    <w:p>
      <w:pPr>
        <w:widowControl w:val="0"/>
        <w:shd w:val="clear" w:color="auto" w:fill="FFFFFF"/>
        <w:suppressAutoHyphens/>
        <w:autoSpaceDE w:val="0"/>
        <w:spacing w:after="0" w:line="240" w:lineRule="auto"/>
        <w:rPr>
          <w:rFonts w:ascii="Times New Roman" w:eastAsia="Times New Roman" w:hAnsi="Times New Roman"/>
          <w:i/>
          <w:iCs/>
          <w:color w:val="000000"/>
          <w:lang w:val="it-IT" w:eastAsia="ar-SA"/>
        </w:rPr>
      </w:pPr>
    </w:p>
    <w:p>
      <w:pPr>
        <w:widowControl w:val="0"/>
        <w:shd w:val="clear" w:color="auto" w:fill="FFFFFF"/>
        <w:suppressAutoHyphens/>
        <w:autoSpaceDE w:val="0"/>
        <w:spacing w:after="0" w:line="240" w:lineRule="auto"/>
        <w:rPr>
          <w:rFonts w:ascii="Times New Roman" w:eastAsia="Times New Roman" w:hAnsi="Times New Roman"/>
          <w:color w:val="000000"/>
          <w:spacing w:val="-3"/>
          <w:lang w:val="it-IT" w:eastAsia="ar-SA"/>
        </w:rPr>
      </w:pPr>
      <w:r>
        <w:rPr>
          <w:rFonts w:ascii="Times New Roman" w:eastAsia="Times New Roman" w:hAnsi="Times New Roman"/>
          <w:i/>
          <w:iCs/>
          <w:color w:val="000000"/>
          <w:lang w:val="it-IT" w:eastAsia="ar-SA"/>
        </w:rPr>
        <w:t xml:space="preserve">Inibitori della glicoproteina IIb/IIIa: </w:t>
      </w:r>
      <w:r>
        <w:rPr>
          <w:rFonts w:ascii="Times New Roman" w:eastAsia="Times New Roman" w:hAnsi="Times New Roman"/>
          <w:color w:val="000000"/>
          <w:lang w:val="it-IT" w:eastAsia="ar-SA"/>
        </w:rPr>
        <w:t xml:space="preserve">clopidogrel deve essere usato con cautela nei pazienti che </w:t>
      </w:r>
      <w:r>
        <w:rPr>
          <w:rFonts w:ascii="Times New Roman" w:eastAsia="Times New Roman" w:hAnsi="Times New Roman"/>
          <w:color w:val="000000"/>
          <w:lang w:val="it-IT" w:eastAsia="ar-SA"/>
        </w:rPr>
        <w:lastRenderedPageBreak/>
        <w:t xml:space="preserve">ricevono in concomitanza inibitori della glicoproteina IIb/IIIa (vedere paragrafo </w:t>
      </w:r>
      <w:r>
        <w:rPr>
          <w:rFonts w:ascii="Times New Roman" w:eastAsia="Times New Roman" w:hAnsi="Times New Roman"/>
          <w:color w:val="000000"/>
          <w:spacing w:val="-3"/>
          <w:lang w:val="it-IT" w:eastAsia="ar-SA"/>
        </w:rPr>
        <w:t>4.4).</w:t>
      </w:r>
    </w:p>
    <w:p>
      <w:pPr>
        <w:widowControl w:val="0"/>
        <w:shd w:val="clear" w:color="auto" w:fill="FFFFFF"/>
        <w:suppressAutoHyphens/>
        <w:autoSpaceDE w:val="0"/>
        <w:spacing w:after="0" w:line="240" w:lineRule="auto"/>
        <w:rPr>
          <w:rFonts w:ascii="Times New Roman" w:eastAsia="Times New Roman" w:hAnsi="Times New Roman"/>
          <w:i/>
          <w:iCs/>
          <w:color w:val="000000"/>
          <w:spacing w:val="-1"/>
          <w:lang w:val="it-IT" w:eastAsia="ar-SA"/>
        </w:rPr>
      </w:pPr>
    </w:p>
    <w:p>
      <w:pPr>
        <w:widowControl w:val="0"/>
        <w:shd w:val="clear" w:color="auto" w:fill="FFFFFF"/>
        <w:suppressAutoHyphens/>
        <w:autoSpaceDE w:val="0"/>
        <w:spacing w:after="0" w:line="240" w:lineRule="auto"/>
        <w:rPr>
          <w:rFonts w:ascii="Times New Roman" w:eastAsia="Times New Roman" w:hAnsi="Times New Roman"/>
          <w:color w:val="000000"/>
          <w:lang w:val="it-IT" w:eastAsia="ar-SA"/>
        </w:rPr>
      </w:pPr>
      <w:r>
        <w:rPr>
          <w:rFonts w:ascii="Times New Roman" w:eastAsia="Times New Roman" w:hAnsi="Times New Roman"/>
          <w:i/>
          <w:iCs/>
          <w:color w:val="000000"/>
          <w:spacing w:val="-1"/>
          <w:lang w:val="it-IT" w:eastAsia="ar-SA"/>
        </w:rPr>
        <w:t xml:space="preserve">Acido acetilsalicilico (ASA): </w:t>
      </w:r>
      <w:r>
        <w:rPr>
          <w:rFonts w:ascii="Times New Roman" w:eastAsia="Times New Roman" w:hAnsi="Times New Roman"/>
          <w:color w:val="000000"/>
          <w:spacing w:val="-1"/>
          <w:lang w:val="it-IT" w:eastAsia="ar-SA"/>
        </w:rPr>
        <w:t xml:space="preserve">ASA non modifica l'inibizione, mediata da clopidogrel, dell'aggregazione </w:t>
      </w:r>
      <w:r>
        <w:rPr>
          <w:rFonts w:ascii="Times New Roman" w:eastAsia="Times New Roman" w:hAnsi="Times New Roman"/>
          <w:color w:val="000000"/>
          <w:lang w:val="it-IT" w:eastAsia="ar-SA"/>
        </w:rPr>
        <w:t>piastrinica ADP-indotta, clopidogrel però potenzia l'effetto di ASA sull'aggregazione piastrinica indotta dal collagene. Tuttavia, la somministrazione contemporanea di 500 mg di ASA due volte die per un giorno, non ha ulteriormente prolungato in modo significativo il tempo di sanguinamento indotto da clopidogrel. Tra clopidogrel e acido acetilsalicilico è possibile un'interazione farmacodinamica, con un aumento del rischio di sanguinamento. Quindi l'uso concomitante deve essere effettuato con cautela (vedere paragrafo 4.4). Tuttavia, clopidogrel e ASA sono stati somministrati insieme per periodo fino a 1 anno (vedere paragrafo 5.1).</w:t>
      </w:r>
    </w:p>
    <w:p>
      <w:pPr>
        <w:widowControl w:val="0"/>
        <w:shd w:val="clear" w:color="auto" w:fill="FFFFFF"/>
        <w:suppressAutoHyphens/>
        <w:autoSpaceDE w:val="0"/>
        <w:spacing w:after="0" w:line="240" w:lineRule="auto"/>
        <w:rPr>
          <w:rFonts w:ascii="Times New Roman" w:eastAsia="Times New Roman" w:hAnsi="Times New Roman"/>
          <w:i/>
          <w:iCs/>
          <w:color w:val="000000"/>
          <w:lang w:val="it-IT" w:eastAsia="ar-SA"/>
        </w:rPr>
      </w:pPr>
    </w:p>
    <w:p>
      <w:pPr>
        <w:widowControl w:val="0"/>
        <w:shd w:val="clear" w:color="auto" w:fill="FFFFFF"/>
        <w:suppressAutoHyphens/>
        <w:autoSpaceDE w:val="0"/>
        <w:spacing w:after="0" w:line="240" w:lineRule="auto"/>
        <w:rPr>
          <w:rFonts w:ascii="Times New Roman" w:eastAsia="Times New Roman" w:hAnsi="Times New Roman"/>
          <w:color w:val="000000"/>
          <w:lang w:val="it-IT" w:eastAsia="ar-SA"/>
        </w:rPr>
      </w:pPr>
      <w:r>
        <w:rPr>
          <w:rFonts w:ascii="Times New Roman" w:eastAsia="Times New Roman" w:hAnsi="Times New Roman"/>
          <w:i/>
          <w:iCs/>
          <w:color w:val="000000"/>
          <w:lang w:val="it-IT" w:eastAsia="ar-SA"/>
        </w:rPr>
        <w:t xml:space="preserve">Eparina: </w:t>
      </w:r>
      <w:r>
        <w:rPr>
          <w:rFonts w:ascii="Times New Roman" w:eastAsia="Times New Roman" w:hAnsi="Times New Roman"/>
          <w:color w:val="000000"/>
          <w:lang w:val="it-IT" w:eastAsia="ar-SA"/>
        </w:rPr>
        <w:t xml:space="preserve">in uno studio clinico condotto su soggetti sani, in seguito a somministrazione di clopidogrel </w:t>
      </w:r>
      <w:r>
        <w:rPr>
          <w:rFonts w:ascii="Times New Roman" w:eastAsia="Times New Roman" w:hAnsi="Times New Roman"/>
          <w:color w:val="000000"/>
          <w:spacing w:val="-1"/>
          <w:lang w:val="it-IT" w:eastAsia="ar-SA"/>
        </w:rPr>
        <w:t xml:space="preserve">non si è resa necessaria nessuna modifica della dose di eparina né è stato alterato l'effetto dell'eparina </w:t>
      </w:r>
      <w:r>
        <w:rPr>
          <w:rFonts w:ascii="Times New Roman" w:eastAsia="Times New Roman" w:hAnsi="Times New Roman"/>
          <w:color w:val="000000"/>
          <w:lang w:val="it-IT" w:eastAsia="ar-SA"/>
        </w:rPr>
        <w:t>sulla coagulazione. La somministrazione contemporanea di eparina non ha avuto alcun effetto sull'inibizione dell'aggregazione piastrinica indotta da clopidogrel. Tra clopidogrel e eparina è possibile un'interazione farmacodinamica, con un aumento del rischio di sanguinamento. Quindi l'uso concomitante deve essere effettuato con cautela (vedere paragrafo 4.4).</w:t>
      </w:r>
    </w:p>
    <w:p>
      <w:pPr>
        <w:widowControl w:val="0"/>
        <w:shd w:val="clear" w:color="auto" w:fill="FFFFFF"/>
        <w:suppressAutoHyphens/>
        <w:autoSpaceDE w:val="0"/>
        <w:spacing w:after="0" w:line="240" w:lineRule="auto"/>
        <w:rPr>
          <w:rFonts w:ascii="Times New Roman" w:eastAsia="Times New Roman" w:hAnsi="Times New Roman"/>
          <w:i/>
          <w:iCs/>
          <w:color w:val="000000"/>
          <w:spacing w:val="-1"/>
          <w:lang w:val="it-IT" w:eastAsia="ar-SA"/>
        </w:rPr>
      </w:pPr>
    </w:p>
    <w:p>
      <w:pPr>
        <w:widowControl w:val="0"/>
        <w:shd w:val="clear" w:color="auto" w:fill="FFFFFF"/>
        <w:suppressAutoHyphens/>
        <w:autoSpaceDE w:val="0"/>
        <w:spacing w:after="0" w:line="240" w:lineRule="auto"/>
        <w:rPr>
          <w:rFonts w:ascii="Times New Roman" w:eastAsia="Times New Roman" w:hAnsi="Times New Roman"/>
          <w:color w:val="000000"/>
          <w:lang w:val="it-IT" w:eastAsia="ar-SA"/>
        </w:rPr>
      </w:pPr>
      <w:r>
        <w:rPr>
          <w:rFonts w:ascii="Times New Roman" w:eastAsia="Times New Roman" w:hAnsi="Times New Roman"/>
          <w:i/>
          <w:iCs/>
          <w:color w:val="000000"/>
          <w:spacing w:val="-1"/>
          <w:lang w:val="it-IT" w:eastAsia="ar-SA"/>
        </w:rPr>
        <w:t xml:space="preserve">Trombolitici: </w:t>
      </w:r>
      <w:r>
        <w:rPr>
          <w:rFonts w:ascii="Times New Roman" w:eastAsia="Times New Roman" w:hAnsi="Times New Roman"/>
          <w:color w:val="000000"/>
          <w:spacing w:val="-1"/>
          <w:lang w:val="it-IT" w:eastAsia="ar-SA"/>
        </w:rPr>
        <w:t xml:space="preserve">la sicurezza della somministrazione contemporanea di clopidogrel, farmaci trombolitici </w:t>
      </w:r>
      <w:r>
        <w:rPr>
          <w:rFonts w:ascii="Times New Roman" w:eastAsia="Times New Roman" w:hAnsi="Times New Roman"/>
          <w:color w:val="000000"/>
          <w:lang w:val="it-IT" w:eastAsia="ar-SA"/>
        </w:rPr>
        <w:t xml:space="preserve">fibrino o non-fibrino specifici ed eparine è stata studiata in pazienti con infarto miocardico acuto. </w:t>
      </w:r>
      <w:r>
        <w:rPr>
          <w:rFonts w:ascii="Times New Roman" w:eastAsia="Times New Roman" w:hAnsi="Times New Roman"/>
          <w:color w:val="000000"/>
          <w:spacing w:val="-1"/>
          <w:lang w:val="it-IT" w:eastAsia="ar-SA"/>
        </w:rPr>
        <w:t xml:space="preserve">L'incidenza di sanguinamento clinicamente significativo era simile a quella osservata quando farmaci </w:t>
      </w:r>
      <w:r>
        <w:rPr>
          <w:rFonts w:ascii="Times New Roman" w:eastAsia="Times New Roman" w:hAnsi="Times New Roman"/>
          <w:color w:val="000000"/>
          <w:lang w:val="it-IT" w:eastAsia="ar-SA"/>
        </w:rPr>
        <w:t>trombolitici ed eparina erano somministrati insieme con ASA (vedere paragrafo 4.8).</w:t>
      </w:r>
    </w:p>
    <w:p>
      <w:pPr>
        <w:widowControl w:val="0"/>
        <w:shd w:val="clear" w:color="auto" w:fill="FFFFFF"/>
        <w:suppressAutoHyphens/>
        <w:autoSpaceDE w:val="0"/>
        <w:spacing w:after="0" w:line="240" w:lineRule="auto"/>
        <w:rPr>
          <w:rFonts w:ascii="Times New Roman" w:eastAsia="Times New Roman" w:hAnsi="Times New Roman"/>
          <w:i/>
          <w:iCs/>
          <w:color w:val="000000"/>
          <w:spacing w:val="-1"/>
          <w:lang w:val="it-IT" w:eastAsia="ar-SA"/>
        </w:rPr>
      </w:pPr>
    </w:p>
    <w:p>
      <w:pPr>
        <w:widowControl w:val="0"/>
        <w:shd w:val="clear" w:color="auto" w:fill="FFFFFF"/>
        <w:suppressAutoHyphens/>
        <w:autoSpaceDE w:val="0"/>
        <w:spacing w:after="0" w:line="240" w:lineRule="auto"/>
        <w:rPr>
          <w:rFonts w:ascii="Times New Roman" w:eastAsia="Times New Roman" w:hAnsi="Times New Roman"/>
          <w:color w:val="000000"/>
          <w:lang w:val="it-IT" w:eastAsia="ar-SA"/>
        </w:rPr>
      </w:pPr>
      <w:r>
        <w:rPr>
          <w:rFonts w:ascii="Times New Roman" w:eastAsia="Times New Roman" w:hAnsi="Times New Roman"/>
          <w:i/>
          <w:iCs/>
          <w:color w:val="000000"/>
          <w:spacing w:val="-1"/>
          <w:lang w:val="it-IT" w:eastAsia="ar-SA"/>
        </w:rPr>
        <w:t xml:space="preserve">FANS: </w:t>
      </w:r>
      <w:r>
        <w:rPr>
          <w:rFonts w:ascii="Times New Roman" w:eastAsia="Times New Roman" w:hAnsi="Times New Roman"/>
          <w:color w:val="000000"/>
          <w:spacing w:val="-1"/>
          <w:lang w:val="it-IT" w:eastAsia="ar-SA"/>
        </w:rPr>
        <w:t xml:space="preserve">in uno studio clinico condotto su volontari sani, la </w:t>
      </w:r>
      <w:r>
        <w:rPr>
          <w:rFonts w:ascii="Times New Roman" w:eastAsia="Times New Roman" w:hAnsi="Times New Roman"/>
          <w:color w:val="000000"/>
          <w:lang w:val="it-IT" w:eastAsia="ar-SA"/>
        </w:rPr>
        <w:t>somministrazione contemporanea di clopidogrel e naproxene ha determinato un aumento del sanguinamento gastrointestinale occulto. Tuttavia per la mancanza di studi di interazione con altri FANS, attualmente non risulta chiaro se esiste un aumento di rischio di sanguinamento gastrointestinale con tutti i FANS. Di conseguenza, la somministrazione contemporanea di FANS compresi gli inibitori della COX-2 e clopidogrel va eseguita con cautela (vedere paragrafo 4.4).</w:t>
      </w:r>
    </w:p>
    <w:p>
      <w:pPr>
        <w:spacing w:after="0" w:line="240" w:lineRule="auto"/>
        <w:rPr>
          <w:rFonts w:ascii="Times New Roman" w:eastAsia="Times New Roman" w:hAnsi="Times New Roman"/>
          <w:lang w:val="it-IT"/>
        </w:rPr>
      </w:pPr>
    </w:p>
    <w:p>
      <w:pPr>
        <w:spacing w:after="0" w:line="240" w:lineRule="auto"/>
        <w:rPr>
          <w:rFonts w:ascii="Times New Roman" w:eastAsia="Times New Roman" w:hAnsi="Times New Roman"/>
          <w:lang w:val="it-IT"/>
        </w:rPr>
      </w:pPr>
      <w:r>
        <w:rPr>
          <w:rFonts w:ascii="Times New Roman" w:eastAsia="Times New Roman" w:hAnsi="Times New Roman"/>
          <w:i/>
          <w:lang w:val="it-IT"/>
        </w:rPr>
        <w:t>Inibitori selettivi della ricaptazione della serotonina (SSRI):</w:t>
      </w:r>
      <w:r>
        <w:rPr>
          <w:rFonts w:ascii="Times New Roman" w:eastAsia="Times New Roman" w:hAnsi="Times New Roman"/>
          <w:lang w:val="it-IT"/>
        </w:rPr>
        <w:t xml:space="preserve"> dal momento che gli SSRI influenzano l'attivazione piastrinica e aumentano il rischio di sanguinamento, la somministrazione concomitante di SSRI con clopidogrel deve essere effettuata con cautela.</w:t>
      </w:r>
    </w:p>
    <w:p>
      <w:pPr>
        <w:widowControl w:val="0"/>
        <w:shd w:val="clear" w:color="auto" w:fill="FFFFFF"/>
        <w:suppressAutoHyphens/>
        <w:autoSpaceDE w:val="0"/>
        <w:spacing w:after="0" w:line="240" w:lineRule="auto"/>
        <w:rPr>
          <w:rFonts w:ascii="Times New Roman" w:eastAsia="Times New Roman" w:hAnsi="Times New Roman"/>
          <w:i/>
          <w:iCs/>
          <w:color w:val="000000"/>
          <w:lang w:val="it-IT" w:eastAsia="ar-SA"/>
        </w:rPr>
      </w:pPr>
    </w:p>
    <w:p>
      <w:pPr>
        <w:widowControl w:val="0"/>
        <w:shd w:val="clear" w:color="auto" w:fill="FFFFFF"/>
        <w:suppressAutoHyphens/>
        <w:autoSpaceDE w:val="0"/>
        <w:spacing w:after="0" w:line="240" w:lineRule="auto"/>
        <w:rPr>
          <w:rFonts w:ascii="Times New Roman" w:eastAsia="Times New Roman" w:hAnsi="Times New Roman"/>
          <w:i/>
          <w:iCs/>
          <w:color w:val="000000"/>
          <w:lang w:val="it-IT" w:eastAsia="ar-SA"/>
        </w:rPr>
      </w:pPr>
      <w:r>
        <w:rPr>
          <w:rFonts w:ascii="Times New Roman" w:eastAsia="Times New Roman" w:hAnsi="Times New Roman"/>
          <w:i/>
          <w:iCs/>
          <w:color w:val="000000"/>
          <w:lang w:val="it-IT" w:eastAsia="ar-SA"/>
        </w:rPr>
        <w:t>Altre terapie concomitanti:</w:t>
      </w:r>
    </w:p>
    <w:p>
      <w:pPr>
        <w:widowControl w:val="0"/>
        <w:shd w:val="clear" w:color="auto" w:fill="FFFFFF"/>
        <w:suppressAutoHyphens/>
        <w:autoSpaceDE w:val="0"/>
        <w:spacing w:after="0" w:line="240" w:lineRule="auto"/>
        <w:rPr>
          <w:rFonts w:ascii="Times New Roman" w:eastAsia="Times New Roman" w:hAnsi="Times New Roman"/>
          <w:i/>
          <w:iCs/>
          <w:color w:val="000000"/>
          <w:lang w:val="it-IT" w:eastAsia="ar-SA"/>
        </w:rPr>
      </w:pPr>
    </w:p>
    <w:p>
      <w:pPr>
        <w:spacing w:after="0" w:line="240" w:lineRule="auto"/>
        <w:rPr>
          <w:rFonts w:ascii="(Tipo di carattere testo asiati" w:hAnsi="(Tipo di carattere testo asiati"/>
          <w:bCs/>
          <w:i/>
          <w:lang w:val="it-IT"/>
        </w:rPr>
      </w:pPr>
      <w:r>
        <w:rPr>
          <w:rFonts w:ascii="Times New Roman" w:eastAsia="Times New Roman" w:hAnsi="Times New Roman"/>
          <w:color w:val="000000"/>
          <w:lang w:val="it-IT" w:eastAsia="ar-SA"/>
        </w:rPr>
        <w:t>Induttori del CYP2C19</w:t>
      </w:r>
      <w:r>
        <w:rPr>
          <w:rFonts w:ascii="Times New Roman" w:eastAsia="Times New Roman" w:hAnsi="Times New Roman"/>
          <w:color w:val="000000"/>
          <w:lang w:val="it-IT" w:eastAsia="ar-SA"/>
        </w:rPr>
        <w:br/>
        <w:t>Poiché clopidogrel è metabolizzato nel suo metabolita attivo in parte dal CYP2C19, ci si attende che l'uso di medicinali che inducono l'attività di questo enzima porti un aumento dei livelli farmacologici del metabolita attivo di clopidogrel.</w:t>
      </w:r>
      <w:r>
        <w:rPr>
          <w:rFonts w:ascii="Times New Roman" w:eastAsia="Times New Roman" w:hAnsi="Times New Roman"/>
          <w:color w:val="000000"/>
          <w:lang w:val="it-IT" w:eastAsia="ar-SA"/>
        </w:rPr>
        <w:br/>
      </w:r>
      <w:r>
        <w:rPr>
          <w:rFonts w:ascii="Times New Roman" w:eastAsia="Times New Roman" w:hAnsi="Times New Roman"/>
          <w:color w:val="000000"/>
          <w:lang w:val="it-IT" w:eastAsia="ar-SA"/>
        </w:rPr>
        <w:br/>
        <w:t>La rifampicina induce fortemente il CYP2C19, determinando sia un aumento del livello del metabolita attivo di clopidogrel sia un'inibizione piastrinica, che in particolare può potenziare il rischio di sanguinamento. A titolo precauzionale, l'uso concomitante di forti induttori del CYP2C19 deve essere scoraggiato (vedere paragrafo 4.4).</w:t>
      </w:r>
      <w:r>
        <w:rPr>
          <w:rFonts w:ascii="Times New Roman" w:eastAsia="Times New Roman" w:hAnsi="Times New Roman"/>
          <w:color w:val="000000"/>
          <w:lang w:val="it-IT" w:eastAsia="ar-SA"/>
        </w:rPr>
        <w:br/>
      </w:r>
      <w:r>
        <w:rPr>
          <w:rFonts w:ascii="(Tipo di carattere testo asiati" w:hAnsi="(Tipo di carattere testo asiati"/>
          <w:bCs/>
          <w:i/>
          <w:lang w:val="it-IT"/>
        </w:rPr>
        <w:br/>
      </w:r>
      <w:r>
        <w:rPr>
          <w:rFonts w:ascii="(Tipo di carattere testo asiati" w:hAnsi="(Tipo di carattere testo asiati"/>
          <w:bCs/>
          <w:lang w:val="it-IT"/>
        </w:rPr>
        <w:t>Inibitori del CYP2C19</w:t>
      </w:r>
    </w:p>
    <w:p>
      <w:pPr>
        <w:widowControl w:val="0"/>
        <w:shd w:val="clear" w:color="auto" w:fill="FFFFFF"/>
        <w:suppressAutoHyphens/>
        <w:autoSpaceDE w:val="0"/>
        <w:spacing w:after="0" w:line="240" w:lineRule="auto"/>
        <w:rPr>
          <w:rFonts w:ascii="Times New Roman" w:eastAsia="Times New Roman" w:hAnsi="Times New Roman"/>
          <w:lang w:val="it-IT" w:eastAsia="ar-SA"/>
        </w:rPr>
      </w:pPr>
      <w:r>
        <w:rPr>
          <w:rFonts w:ascii="Times New Roman" w:eastAsia="Times New Roman" w:hAnsi="Times New Roman"/>
          <w:lang w:val="it-IT" w:eastAsia="ar-SA"/>
        </w:rPr>
        <w:t>Poiché clopidogrel è trasformato nel suo metabolita attivo in parte dal CYP2C19, ci si attende che l’uso di medicinali che inibiscono l’attività di questo enzima porti ad una riduzione dei livelli farmacologici del metabolita attivo di clopidogrel. La rilevanza clinica di questa interazione non è certa. Per precauzione l’uso concomitante di inibitori forti o moderati del CYP2C19 deve essere scoraggiato (vedere paragrafi 4.4 e 5.2).</w:t>
      </w:r>
    </w:p>
    <w:p>
      <w:pPr>
        <w:widowControl w:val="0"/>
        <w:shd w:val="clear" w:color="auto" w:fill="FFFFFF"/>
        <w:suppressAutoHyphens/>
        <w:autoSpaceDE w:val="0"/>
        <w:spacing w:after="0" w:line="240" w:lineRule="auto"/>
        <w:rPr>
          <w:rFonts w:ascii="Times New Roman" w:eastAsia="Times New Roman" w:hAnsi="Times New Roman"/>
          <w:lang w:val="it-IT" w:eastAsia="ar-SA"/>
        </w:rPr>
      </w:pPr>
    </w:p>
    <w:p>
      <w:pPr>
        <w:widowControl w:val="0"/>
        <w:suppressAutoHyphens/>
        <w:autoSpaceDE w:val="0"/>
        <w:spacing w:after="0" w:line="240" w:lineRule="auto"/>
        <w:rPr>
          <w:rFonts w:ascii="Times New Roman" w:eastAsia="Times New Roman" w:hAnsi="Times New Roman"/>
          <w:lang w:val="it-IT" w:eastAsia="ar-SA"/>
        </w:rPr>
      </w:pPr>
      <w:r>
        <w:rPr>
          <w:rFonts w:ascii="Times New Roman" w:eastAsia="Times New Roman" w:hAnsi="Times New Roman"/>
          <w:lang w:val="it-IT" w:eastAsia="ar-SA"/>
        </w:rPr>
        <w:t>Medicinali che sono inibitori forti o moderati del CYP2C19 includono per esempio omeprazolo ed esomeprazolo, fluvoxamina, fluoxetina, moclobemide, voriconazolo, fluconazolo, ticlopidina, carbamazepina ed efavirenz.</w:t>
      </w:r>
    </w:p>
    <w:p>
      <w:pPr>
        <w:widowControl w:val="0"/>
        <w:suppressAutoHyphens/>
        <w:autoSpaceDE w:val="0"/>
        <w:spacing w:after="0" w:line="240" w:lineRule="auto"/>
        <w:rPr>
          <w:rFonts w:ascii="Times New Roman" w:eastAsia="Times New Roman" w:hAnsi="Times New Roman"/>
          <w:lang w:val="it-IT" w:eastAsia="ar-SA"/>
        </w:rPr>
      </w:pPr>
    </w:p>
    <w:p>
      <w:pPr>
        <w:widowControl w:val="0"/>
        <w:suppressAutoHyphens/>
        <w:autoSpaceDE w:val="0"/>
        <w:spacing w:after="0" w:line="240" w:lineRule="auto"/>
        <w:rPr>
          <w:rFonts w:ascii="Times New Roman" w:eastAsia="Times New Roman" w:hAnsi="Times New Roman"/>
          <w:i/>
          <w:lang w:val="it-IT" w:eastAsia="ar-SA"/>
        </w:rPr>
      </w:pPr>
      <w:r>
        <w:rPr>
          <w:rFonts w:ascii="Times New Roman" w:eastAsia="Times New Roman" w:hAnsi="Times New Roman"/>
          <w:i/>
          <w:lang w:val="it-IT" w:eastAsia="ar-SA"/>
        </w:rPr>
        <w:lastRenderedPageBreak/>
        <w:t>Inibitori della Pompa Protonica (IPP)</w:t>
      </w:r>
    </w:p>
    <w:p>
      <w:pPr>
        <w:widowControl w:val="0"/>
        <w:suppressAutoHyphens/>
        <w:autoSpaceDE w:val="0"/>
        <w:spacing w:after="0" w:line="240" w:lineRule="auto"/>
        <w:rPr>
          <w:rFonts w:ascii="Times New Roman" w:eastAsia="Times New Roman" w:hAnsi="Times New Roman"/>
          <w:lang w:val="it-IT" w:eastAsia="ar-SA"/>
        </w:rPr>
      </w:pPr>
      <w:r>
        <w:rPr>
          <w:rFonts w:ascii="Times New Roman" w:eastAsia="Times New Roman" w:hAnsi="Times New Roman"/>
          <w:lang w:val="it-IT" w:eastAsia="ar-SA"/>
        </w:rPr>
        <w:t>La somministrazione di omeprazolo, alla dose singola di 80 mg/die, e di clopidogrel sia contemporanea che a distanza di 12 ore l’una dall’altro, ha diminuito l’esposizione al metabolita attivo del 45% (dose di carico) e del 40% (dose di mantenimento). La diminuzione era associata alla riduzione dell’inibizione dell’aggregazione piastrinica del 39% (dose di carico) e del 21% (dose di mantenimento). Ci si attende che con clopidogrel l’esomeprazolo dia una simile interazione.</w:t>
      </w:r>
    </w:p>
    <w:p>
      <w:pPr>
        <w:widowControl w:val="0"/>
        <w:suppressAutoHyphens/>
        <w:autoSpaceDE w:val="0"/>
        <w:spacing w:after="0" w:line="240" w:lineRule="auto"/>
        <w:rPr>
          <w:rFonts w:ascii="Times New Roman" w:eastAsia="Times New Roman" w:hAnsi="Times New Roman"/>
          <w:lang w:val="it-IT" w:eastAsia="ar-SA"/>
        </w:rPr>
      </w:pPr>
    </w:p>
    <w:p>
      <w:pPr>
        <w:widowControl w:val="0"/>
        <w:suppressAutoHyphens/>
        <w:autoSpaceDE w:val="0"/>
        <w:spacing w:after="0" w:line="240" w:lineRule="auto"/>
        <w:rPr>
          <w:rFonts w:ascii="Times New Roman" w:eastAsia="Times New Roman" w:hAnsi="Times New Roman"/>
          <w:lang w:val="it-IT" w:eastAsia="ar-SA"/>
        </w:rPr>
      </w:pPr>
      <w:r>
        <w:rPr>
          <w:rFonts w:ascii="Times New Roman" w:eastAsia="Times New Roman" w:hAnsi="Times New Roman"/>
          <w:lang w:val="it-IT" w:eastAsia="ar-SA"/>
        </w:rPr>
        <w:t>Dati contradditori sulle implicazioni cliniche di questa interazione farmacocinetica (PK)/farmacodinamica (PD) in termini di eventi cardiovascolari maggiori sono stati riportati sia in studi clinici che osservazionali. Per precauzione, l’uso concomitante di omeprazolo e esomeprazolo deve essere scoraggiato (vedere paragrafo 4.4).</w:t>
      </w:r>
    </w:p>
    <w:p>
      <w:pPr>
        <w:widowControl w:val="0"/>
        <w:suppressAutoHyphens/>
        <w:autoSpaceDE w:val="0"/>
        <w:spacing w:after="0" w:line="240" w:lineRule="auto"/>
        <w:rPr>
          <w:rFonts w:ascii="Times New Roman" w:eastAsia="Times New Roman" w:hAnsi="Times New Roman"/>
          <w:lang w:val="it-IT" w:eastAsia="ar-SA"/>
        </w:rPr>
      </w:pPr>
      <w:r>
        <w:rPr>
          <w:rFonts w:ascii="Times New Roman" w:eastAsia="Times New Roman" w:hAnsi="Times New Roman"/>
          <w:lang w:val="it-IT" w:eastAsia="ar-SA"/>
        </w:rPr>
        <w:t>Riduzioni meno marcate dell’esposizione al metabolita sono state osservate con pantoprazolo e lansoprazolo.</w:t>
      </w:r>
    </w:p>
    <w:p>
      <w:pPr>
        <w:widowControl w:val="0"/>
        <w:suppressAutoHyphens/>
        <w:autoSpaceDE w:val="0"/>
        <w:spacing w:after="0" w:line="240" w:lineRule="auto"/>
        <w:rPr>
          <w:rFonts w:ascii="Times New Roman" w:eastAsia="Times New Roman" w:hAnsi="Times New Roman"/>
          <w:lang w:val="it-IT" w:eastAsia="ar-SA"/>
        </w:rPr>
      </w:pPr>
      <w:r>
        <w:rPr>
          <w:rFonts w:ascii="Times New Roman" w:eastAsia="Times New Roman" w:hAnsi="Times New Roman"/>
          <w:lang w:val="it-IT" w:eastAsia="ar-SA"/>
        </w:rPr>
        <w:t>Le concentrazioni plasmatiche del metabolita attivo erano ridotte del 20% (dose di carico) e del 14% (dose di mantenimento) durante il trattamento contemporaneo con pantoprazolo 80 mg in mono somministrazione giornaliera. Ciò era associato ad una riduzione dell’inibizione media dell’aggregazione piastrinica del 15% e 11% rispettivamente. Questi risultati indicano che clopidogrel può essere somministrato con pantoprazolo.</w:t>
      </w:r>
    </w:p>
    <w:p>
      <w:pPr>
        <w:widowControl w:val="0"/>
        <w:suppressAutoHyphens/>
        <w:autoSpaceDE w:val="0"/>
        <w:spacing w:after="0" w:line="240" w:lineRule="auto"/>
        <w:rPr>
          <w:rFonts w:ascii="Times New Roman" w:eastAsia="Times New Roman" w:hAnsi="Times New Roman"/>
          <w:lang w:val="it-IT" w:eastAsia="ar-SA"/>
        </w:rPr>
      </w:pPr>
    </w:p>
    <w:p>
      <w:pPr>
        <w:widowControl w:val="0"/>
        <w:shd w:val="clear" w:color="auto" w:fill="FFFFFF"/>
        <w:suppressAutoHyphens/>
        <w:autoSpaceDE w:val="0"/>
        <w:spacing w:after="0" w:line="240" w:lineRule="auto"/>
        <w:rPr>
          <w:rFonts w:ascii="Times New Roman" w:eastAsia="Times New Roman" w:hAnsi="Times New Roman"/>
          <w:lang w:val="it-IT" w:eastAsia="ar-SA"/>
        </w:rPr>
      </w:pPr>
      <w:r>
        <w:rPr>
          <w:rFonts w:ascii="Times New Roman" w:eastAsia="Times New Roman" w:hAnsi="Times New Roman"/>
          <w:lang w:val="it-IT" w:eastAsia="ar-SA"/>
        </w:rPr>
        <w:t>Non c’è dimostrazione che altri medicinali che riducono l’acidità gastrica quali gli anti H2 o gli antiacidi interferiscano con l’attività antiaggregante piastrinica di clopidogrel.</w:t>
      </w:r>
    </w:p>
    <w:p>
      <w:pPr>
        <w:widowControl w:val="0"/>
        <w:suppressAutoHyphens/>
        <w:autoSpaceDE w:val="0"/>
        <w:spacing w:after="0" w:line="240" w:lineRule="auto"/>
        <w:rPr>
          <w:rFonts w:ascii="Times New Roman" w:eastAsia="Times New Roman" w:hAnsi="Times New Roman"/>
          <w:lang w:val="it-IT" w:eastAsia="ar-SA"/>
        </w:rPr>
      </w:pPr>
    </w:p>
    <w:p>
      <w:pPr>
        <w:widowControl w:val="0"/>
        <w:autoSpaceDE w:val="0"/>
        <w:spacing w:after="0" w:line="240" w:lineRule="auto"/>
        <w:rPr>
          <w:rFonts w:ascii="Times New Roman" w:eastAsia="Times New Roman" w:hAnsi="Times New Roman"/>
          <w:lang w:val="it-IT" w:eastAsia="ar-SA"/>
        </w:rPr>
      </w:pPr>
      <w:r>
        <w:rPr>
          <w:rFonts w:ascii="Times New Roman" w:eastAsia="Times New Roman" w:hAnsi="Times New Roman"/>
          <w:lang w:val="it-IT" w:eastAsia="ar-SA"/>
        </w:rPr>
        <w:t xml:space="preserve">Terapia anti-retrovirale potenziata  (ART): i pazienti affetti da HIV trattati con terapie anti-retrovirali potenziate (ART) sono ad alto rischio di eventi vascolari. </w:t>
      </w:r>
    </w:p>
    <w:p>
      <w:pPr>
        <w:widowControl w:val="0"/>
        <w:autoSpaceDE w:val="0"/>
        <w:spacing w:after="0" w:line="240" w:lineRule="auto"/>
        <w:rPr>
          <w:rFonts w:ascii="Times New Roman" w:eastAsia="Times New Roman" w:hAnsi="Times New Roman"/>
          <w:lang w:val="it-IT" w:eastAsia="ar-SA"/>
        </w:rPr>
      </w:pPr>
    </w:p>
    <w:p>
      <w:pPr>
        <w:widowControl w:val="0"/>
        <w:autoSpaceDE w:val="0"/>
        <w:spacing w:after="0" w:line="240" w:lineRule="auto"/>
        <w:rPr>
          <w:rFonts w:ascii="Times New Roman" w:eastAsia="Times New Roman" w:hAnsi="Times New Roman"/>
          <w:lang w:val="it-IT" w:eastAsia="ar-SA"/>
        </w:rPr>
      </w:pPr>
      <w:r>
        <w:rPr>
          <w:rFonts w:ascii="Times New Roman" w:eastAsia="Times New Roman" w:hAnsi="Times New Roman"/>
          <w:lang w:val="it-IT" w:eastAsia="ar-SA"/>
        </w:rPr>
        <w:t>Un'inibizione piastrinica significativamente ridotta è stata dimostrata nei pazienti con HIV trattati con ART potenziata con ritonavir o cobicistat. Sebbene la rilevanza clinica di questi risultati sia incerta, ci sono state segnalazioni spontanee di pazienti con infezione da HIV trattati con ART potenziata con ritonavir, che hanno avuto eventi ri-occlusivi dopo la disostruzione o hanno subito eventi trombotici in un programma di trattamento con clopidogrel utilizzando la dose di carico. L'inibizione piastrinica media può essere ridotta con l'uso concomitante di clopidogrel e ritonavir. Pertanto, l'uso concomitante di clopidogrel con terapie ART potenziate dovrebbe essere scoraggiato.</w:t>
      </w:r>
    </w:p>
    <w:p>
      <w:pPr>
        <w:widowControl w:val="0"/>
        <w:suppressAutoHyphens/>
        <w:autoSpaceDE w:val="0"/>
        <w:spacing w:after="0" w:line="240" w:lineRule="auto"/>
        <w:rPr>
          <w:rFonts w:ascii="Times New Roman" w:eastAsia="Times New Roman" w:hAnsi="Times New Roman"/>
          <w:lang w:val="it-IT" w:eastAsia="ar-SA"/>
        </w:rPr>
      </w:pPr>
    </w:p>
    <w:p>
      <w:pPr>
        <w:widowControl w:val="0"/>
        <w:suppressAutoHyphens/>
        <w:autoSpaceDE w:val="0"/>
        <w:spacing w:after="0" w:line="240" w:lineRule="auto"/>
        <w:rPr>
          <w:rFonts w:ascii="Times New Roman" w:eastAsia="Times New Roman" w:hAnsi="Times New Roman"/>
          <w:i/>
          <w:lang w:val="it-IT" w:eastAsia="ar-SA"/>
        </w:rPr>
      </w:pPr>
      <w:r>
        <w:rPr>
          <w:rFonts w:ascii="Times New Roman" w:eastAsia="Times New Roman" w:hAnsi="Times New Roman"/>
          <w:i/>
          <w:lang w:val="it-IT" w:eastAsia="ar-SA"/>
        </w:rPr>
        <w:t>Altri medicinali:</w:t>
      </w:r>
    </w:p>
    <w:p>
      <w:pPr>
        <w:widowControl w:val="0"/>
        <w:suppressAutoHyphens/>
        <w:autoSpaceDE w:val="0"/>
        <w:spacing w:after="0" w:line="240" w:lineRule="auto"/>
        <w:rPr>
          <w:rFonts w:ascii="Times New Roman" w:eastAsia="Times New Roman" w:hAnsi="Times New Roman"/>
          <w:lang w:val="it-IT" w:eastAsia="ar-SA"/>
        </w:rPr>
      </w:pPr>
      <w:r>
        <w:rPr>
          <w:rFonts w:ascii="Times New Roman" w:eastAsia="Times New Roman" w:hAnsi="Times New Roman"/>
          <w:lang w:val="it-IT" w:eastAsia="ar-SA"/>
        </w:rPr>
        <w:t>Parecchi altri studi clinici sono stati condotti con clopidogrel ed altre terapie concomitanti per studiare potenziali interazioni di tipo farmacodinamico e farmacocinetico.</w:t>
      </w:r>
    </w:p>
    <w:p>
      <w:pPr>
        <w:widowControl w:val="0"/>
        <w:suppressAutoHyphens/>
        <w:autoSpaceDE w:val="0"/>
        <w:spacing w:after="0" w:line="240" w:lineRule="auto"/>
        <w:rPr>
          <w:rFonts w:ascii="Times New Roman" w:eastAsia="Times New Roman" w:hAnsi="Times New Roman"/>
          <w:lang w:val="it-IT" w:eastAsia="ar-SA"/>
        </w:rPr>
      </w:pPr>
      <w:r>
        <w:rPr>
          <w:rFonts w:ascii="Times New Roman" w:eastAsia="Times New Roman" w:hAnsi="Times New Roman"/>
          <w:lang w:val="it-IT" w:eastAsia="ar-SA"/>
        </w:rPr>
        <w:t>Non si sono osservate interazioni farmacodinamiche di rilievo quando clopidogrel veniva somministrato con atenololo o nifedipina da soli o in associazione. Inoltre, l'attività farmacodinamica di clopidogrel non era influenzata in modo significativo dalla somministrazione contemporanea di fenobarbital o estrogeno.</w:t>
      </w:r>
    </w:p>
    <w:p>
      <w:pPr>
        <w:widowControl w:val="0"/>
        <w:suppressAutoHyphens/>
        <w:autoSpaceDE w:val="0"/>
        <w:spacing w:after="0" w:line="240" w:lineRule="auto"/>
        <w:rPr>
          <w:rFonts w:ascii="Times New Roman" w:eastAsia="Times New Roman" w:hAnsi="Times New Roman"/>
          <w:lang w:val="it-IT" w:eastAsia="ar-SA"/>
        </w:rPr>
      </w:pPr>
    </w:p>
    <w:p>
      <w:pPr>
        <w:widowControl w:val="0"/>
        <w:suppressAutoHyphens/>
        <w:autoSpaceDE w:val="0"/>
        <w:spacing w:after="120" w:line="240" w:lineRule="auto"/>
        <w:rPr>
          <w:rFonts w:ascii="Times New Roman" w:eastAsia="Times New Roman" w:hAnsi="Times New Roman"/>
          <w:lang w:val="it-IT" w:eastAsia="ar-SA"/>
        </w:rPr>
      </w:pPr>
      <w:r>
        <w:rPr>
          <w:rFonts w:ascii="Times New Roman" w:eastAsia="Times New Roman" w:hAnsi="Times New Roman"/>
          <w:lang w:val="it-IT" w:eastAsia="ar-SA"/>
        </w:rPr>
        <w:t>La farmacocinetica della digossina e della teofillina non era modificata dalla somministrazione contemporanea di clopidogrel. Gli antiacidi non alteravano l'assorbimento di clopidogrel.</w:t>
      </w:r>
    </w:p>
    <w:p>
      <w:pPr>
        <w:widowControl w:val="0"/>
        <w:suppressAutoHyphens/>
        <w:autoSpaceDE w:val="0"/>
        <w:spacing w:after="0" w:line="240" w:lineRule="auto"/>
        <w:rPr>
          <w:rFonts w:ascii="Times New Roman" w:eastAsia="Times New Roman" w:hAnsi="Times New Roman"/>
          <w:lang w:val="it-IT" w:eastAsia="ar-SA"/>
        </w:rPr>
      </w:pPr>
    </w:p>
    <w:p>
      <w:pPr>
        <w:keepNext/>
        <w:keepLines/>
        <w:widowControl w:val="0"/>
        <w:suppressAutoHyphens/>
        <w:autoSpaceDE w:val="0"/>
        <w:spacing w:after="0" w:line="240" w:lineRule="auto"/>
        <w:rPr>
          <w:rFonts w:ascii="Times New Roman" w:eastAsia="Times New Roman" w:hAnsi="Times New Roman"/>
          <w:lang w:val="it-IT" w:eastAsia="ar-SA"/>
        </w:rPr>
      </w:pPr>
      <w:r>
        <w:rPr>
          <w:rFonts w:ascii="Times New Roman" w:eastAsia="Times New Roman" w:hAnsi="Times New Roman"/>
          <w:lang w:val="it-IT" w:eastAsia="ar-SA"/>
        </w:rPr>
        <w:t>I dati dello studio CAPRIE indicano che fenitoina e tolbutamide che sono metabolizzati dal CYP2C9 possono essere somministrati contemporaneamente a clopidogrel con sicurezza.</w:t>
      </w:r>
    </w:p>
    <w:p>
      <w:pPr>
        <w:widowControl w:val="0"/>
        <w:suppressAutoHyphens/>
        <w:autoSpaceDE w:val="0"/>
        <w:spacing w:after="0" w:line="240" w:lineRule="auto"/>
        <w:rPr>
          <w:rFonts w:ascii="Times New Roman" w:eastAsia="Times New Roman" w:hAnsi="Times New Roman"/>
          <w:lang w:val="it-IT" w:eastAsia="ar-SA"/>
        </w:rPr>
      </w:pPr>
    </w:p>
    <w:p>
      <w:pPr>
        <w:spacing w:after="0" w:line="240" w:lineRule="auto"/>
        <w:rPr>
          <w:rFonts w:ascii="Times New Roman" w:hAnsi="Times New Roman"/>
          <w:lang w:val="it-IT"/>
        </w:rPr>
      </w:pPr>
      <w:r>
        <w:rPr>
          <w:rFonts w:ascii="Times New Roman" w:hAnsi="Times New Roman"/>
          <w:i/>
          <w:lang w:val="it-IT"/>
        </w:rPr>
        <w:t>Medicinali substrati del CYP2C8</w:t>
      </w:r>
      <w:r>
        <w:rPr>
          <w:rFonts w:ascii="Times New Roman" w:hAnsi="Times New Roman"/>
          <w:lang w:val="it-IT"/>
        </w:rPr>
        <w:t xml:space="preserve">: </w:t>
      </w:r>
    </w:p>
    <w:p>
      <w:pPr>
        <w:spacing w:after="0" w:line="240" w:lineRule="auto"/>
        <w:rPr>
          <w:rFonts w:ascii="Times New Roman" w:hAnsi="Times New Roman"/>
          <w:lang w:val="it-IT"/>
        </w:rPr>
      </w:pPr>
      <w:r>
        <w:rPr>
          <w:rFonts w:ascii="Times New Roman" w:hAnsi="Times New Roman"/>
          <w:lang w:val="it-IT"/>
        </w:rPr>
        <w:t>Clopidogrel ha dimostrato di aumentare l'esposizione alla repaglinide nei volontari sani. Studi in vitro hanno mostrato che l'aumento dell'esposizione a repaglinide è dovuto all’ inibizione del CYP2C8 da parte del metabolita glucuronide di clopidogrel. A causa del rischio di un aumento delle concentrazioni plasmatiche, la somministrazione concomitante di clopidogrel e medicinali eliminati principalmente attraverso il metabolismo del CYP2C8 (ad esempio, repaglinide, paclitaxel) deve essere intrapresa con cautela (vedere paragrafo 4.4).</w:t>
      </w:r>
    </w:p>
    <w:p>
      <w:pPr>
        <w:widowControl w:val="0"/>
        <w:suppressAutoHyphens/>
        <w:autoSpaceDE w:val="0"/>
        <w:spacing w:after="0" w:line="240" w:lineRule="auto"/>
        <w:rPr>
          <w:rFonts w:ascii="Times New Roman" w:eastAsia="Times New Roman" w:hAnsi="Times New Roman"/>
          <w:lang w:val="it-IT" w:eastAsia="ar-SA"/>
        </w:rPr>
      </w:pPr>
    </w:p>
    <w:p>
      <w:pPr>
        <w:widowControl w:val="0"/>
        <w:suppressAutoHyphens/>
        <w:autoSpaceDE w:val="0"/>
        <w:spacing w:after="0" w:line="240" w:lineRule="auto"/>
        <w:rPr>
          <w:rFonts w:ascii="Times New Roman" w:eastAsia="Times New Roman" w:hAnsi="Times New Roman"/>
          <w:lang w:val="it-IT" w:eastAsia="ar-SA"/>
        </w:rPr>
      </w:pPr>
      <w:r>
        <w:rPr>
          <w:rFonts w:ascii="Times New Roman" w:eastAsia="Times New Roman" w:hAnsi="Times New Roman"/>
          <w:lang w:val="it-IT" w:eastAsia="ar-SA"/>
        </w:rPr>
        <w:t>Oltre alle informazioni descritte sopra sulle specifiche interazioni con farmaci, non sono stati condotti studi di interazione con clopidogrel e alcuni farmaci comunemente somministrati ai pazienti affetti da patologia aterotrombotica. Tuttavia, i pazienti inclusi negli studi clinici con clopidogrel hanno ricevuto diverse terapie concomitanti inclusi diuretici, beta bloccanti, ACE inibitori, calcio antagonisti, ipocolesterolemizzanti, vasodilatatori coronarici, antidiabetici (inclusa insulina), farmaci antiepilettici e antagonisti della glicoproteina IIb/IIIa senza evidenza di interazioni negative clinicamente significative.</w:t>
      </w:r>
    </w:p>
    <w:p>
      <w:pPr>
        <w:widowControl w:val="0"/>
        <w:suppressAutoHyphens/>
        <w:autoSpaceDE w:val="0"/>
        <w:spacing w:after="0" w:line="240" w:lineRule="auto"/>
        <w:rPr>
          <w:rFonts w:ascii="Times New Roman" w:eastAsia="Times New Roman" w:hAnsi="Times New Roman"/>
          <w:lang w:val="it-IT" w:eastAsia="ar-SA"/>
        </w:rPr>
      </w:pPr>
    </w:p>
    <w:p>
      <w:pPr>
        <w:widowControl w:val="0"/>
        <w:autoSpaceDE w:val="0"/>
        <w:spacing w:after="0" w:line="240" w:lineRule="auto"/>
        <w:rPr>
          <w:rFonts w:ascii="Times New Roman" w:eastAsia="Times New Roman" w:hAnsi="Times New Roman"/>
          <w:lang w:val="it-IT" w:eastAsia="ar-SA"/>
        </w:rPr>
      </w:pPr>
      <w:r>
        <w:rPr>
          <w:rFonts w:ascii="Times New Roman" w:eastAsia="Times New Roman" w:hAnsi="Times New Roman"/>
          <w:lang w:val="it-IT" w:eastAsia="ar-SA"/>
        </w:rPr>
        <w:t>Come con altri inibitori orali del P2Y12, la co-somministrazione di agonisti degli oppioidi potrebbe ritardare e ridurre l'assorbimento di clopidogrel presumibilmente a causa di uno svuotamento gastrico rallentato. La rilevanza clinica non è nota. Considerare l'uso di un antiaggregante piastrinico parenterale nei pazienti con sindrome coronarica acuta che richiedono la co-somministrazione di morfina o altri agonisti degli oppioidi.</w:t>
      </w:r>
    </w:p>
    <w:p>
      <w:pPr>
        <w:widowControl w:val="0"/>
        <w:autoSpaceDE w:val="0"/>
        <w:spacing w:after="0" w:line="240" w:lineRule="auto"/>
        <w:rPr>
          <w:rFonts w:ascii="Times New Roman" w:eastAsia="Times New Roman" w:hAnsi="Times New Roman"/>
          <w:lang w:val="it-IT" w:eastAsia="ar-SA"/>
        </w:rPr>
      </w:pPr>
    </w:p>
    <w:p>
      <w:pPr>
        <w:widowControl w:val="0"/>
        <w:autoSpaceDE w:val="0"/>
        <w:spacing w:after="0" w:line="240" w:lineRule="auto"/>
        <w:rPr>
          <w:rFonts w:ascii="Times New Roman" w:eastAsia="Times New Roman" w:hAnsi="Times New Roman"/>
          <w:lang w:val="it-IT" w:eastAsia="ar-SA"/>
        </w:rPr>
      </w:pPr>
      <w:r>
        <w:rPr>
          <w:rFonts w:ascii="Times New Roman" w:eastAsia="Times New Roman" w:hAnsi="Times New Roman"/>
          <w:i/>
          <w:lang w:val="it-IT" w:eastAsia="ar-SA"/>
        </w:rPr>
        <w:t>Rosuvastatina</w:t>
      </w:r>
      <w:r>
        <w:rPr>
          <w:rFonts w:ascii="Times New Roman" w:eastAsia="Times New Roman" w:hAnsi="Times New Roman"/>
          <w:lang w:val="it-IT" w:eastAsia="ar-SA"/>
        </w:rPr>
        <w:t>: è stato dimostrato che il clopidogrel aumenta l'esposizione a rosuvastatina nei pazienti di 2 volte (AUC) e 1,3 volte (Cmax) dopo la somministrazione di una dose di 300 mg di clopidogrel e di 1,4 volte (AUC) senza effetti sulla Cmax dopo somministrazione ripetuta di una dose di 75 mg di clopidogrel.</w:t>
      </w:r>
    </w:p>
    <w:p>
      <w:pPr>
        <w:widowControl w:val="0"/>
        <w:suppressAutoHyphens/>
        <w:autoSpaceDE w:val="0"/>
        <w:spacing w:after="0" w:line="240" w:lineRule="auto"/>
        <w:rPr>
          <w:rFonts w:ascii="Times New Roman" w:eastAsia="Times New Roman" w:hAnsi="Times New Roman"/>
          <w:lang w:val="it-IT" w:eastAsia="ar-SA"/>
        </w:rPr>
      </w:pPr>
    </w:p>
    <w:p>
      <w:pPr>
        <w:widowControl w:val="0"/>
        <w:tabs>
          <w:tab w:val="left" w:pos="567"/>
          <w:tab w:val="left" w:pos="2400"/>
          <w:tab w:val="left" w:pos="7280"/>
        </w:tabs>
        <w:suppressAutoHyphens/>
        <w:autoSpaceDE w:val="0"/>
        <w:spacing w:after="0" w:line="240" w:lineRule="auto"/>
        <w:ind w:right="-28"/>
        <w:rPr>
          <w:rFonts w:ascii="Times New Roman" w:eastAsia="Times New Roman" w:hAnsi="Times New Roman"/>
          <w:b/>
          <w:bCs/>
          <w:lang w:val="it-IT" w:eastAsia="ar-SA"/>
        </w:rPr>
      </w:pPr>
      <w:r>
        <w:rPr>
          <w:rFonts w:ascii="Times New Roman" w:eastAsia="Times New Roman" w:hAnsi="Times New Roman"/>
          <w:b/>
          <w:bCs/>
          <w:lang w:val="it-IT" w:eastAsia="ar-SA"/>
        </w:rPr>
        <w:t>4.6</w:t>
      </w:r>
      <w:r>
        <w:rPr>
          <w:rFonts w:ascii="Times New Roman" w:eastAsia="Times New Roman" w:hAnsi="Times New Roman"/>
          <w:b/>
          <w:bCs/>
          <w:lang w:val="it-IT" w:eastAsia="ar-SA"/>
        </w:rPr>
        <w:tab/>
        <w:t>Fertilità, gravidanza e allattamento</w:t>
      </w:r>
    </w:p>
    <w:p>
      <w:pPr>
        <w:widowControl w:val="0"/>
        <w:suppressAutoHyphens/>
        <w:autoSpaceDE w:val="0"/>
        <w:spacing w:after="0" w:line="240" w:lineRule="auto"/>
        <w:rPr>
          <w:rFonts w:ascii="Times New Roman" w:eastAsia="Times New Roman" w:hAnsi="Times New Roman"/>
          <w:color w:val="000000"/>
          <w:spacing w:val="-1"/>
          <w:lang w:val="it-IT" w:eastAsia="ar-SA"/>
        </w:rPr>
      </w:pPr>
    </w:p>
    <w:p>
      <w:pPr>
        <w:widowControl w:val="0"/>
        <w:suppressAutoHyphens/>
        <w:autoSpaceDE w:val="0"/>
        <w:spacing w:after="0" w:line="240" w:lineRule="auto"/>
        <w:rPr>
          <w:rFonts w:ascii="Times New Roman" w:eastAsia="Times New Roman" w:hAnsi="Times New Roman"/>
          <w:i/>
          <w:lang w:val="it-IT" w:eastAsia="ar-SA"/>
        </w:rPr>
      </w:pPr>
      <w:r>
        <w:rPr>
          <w:rFonts w:ascii="Times New Roman" w:eastAsia="Times New Roman" w:hAnsi="Times New Roman"/>
          <w:i/>
          <w:lang w:val="it-IT" w:eastAsia="ar-SA"/>
        </w:rPr>
        <w:t>Gravidanza</w:t>
      </w:r>
    </w:p>
    <w:p>
      <w:pPr>
        <w:widowControl w:val="0"/>
        <w:shd w:val="clear" w:color="auto" w:fill="FFFFFF"/>
        <w:suppressAutoHyphens/>
        <w:autoSpaceDE w:val="0"/>
        <w:spacing w:after="0" w:line="240" w:lineRule="auto"/>
        <w:rPr>
          <w:rFonts w:ascii="Times New Roman" w:eastAsia="Times New Roman" w:hAnsi="Times New Roman"/>
          <w:color w:val="000000"/>
          <w:lang w:val="it-IT" w:eastAsia="ar-SA"/>
        </w:rPr>
      </w:pPr>
      <w:r>
        <w:rPr>
          <w:rFonts w:ascii="Times New Roman" w:eastAsia="Times New Roman" w:hAnsi="Times New Roman"/>
          <w:color w:val="000000"/>
          <w:spacing w:val="-1"/>
          <w:lang w:val="it-IT" w:eastAsia="ar-SA"/>
        </w:rPr>
        <w:t xml:space="preserve">Poichè non sono disponibili dati clinici relativi all'esposizione a clopidogrel in gravidanza, come </w:t>
      </w:r>
      <w:r>
        <w:rPr>
          <w:rFonts w:ascii="Times New Roman" w:eastAsia="Times New Roman" w:hAnsi="Times New Roman"/>
          <w:color w:val="000000"/>
          <w:lang w:val="it-IT" w:eastAsia="ar-SA"/>
        </w:rPr>
        <w:t>misura precauzionale è preferibile non usare clopidogrel durante la gravidanza.</w:t>
      </w:r>
    </w:p>
    <w:p>
      <w:pPr>
        <w:widowControl w:val="0"/>
        <w:shd w:val="clear" w:color="auto" w:fill="FFFFFF"/>
        <w:suppressAutoHyphens/>
        <w:autoSpaceDE w:val="0"/>
        <w:spacing w:after="0" w:line="240" w:lineRule="auto"/>
        <w:rPr>
          <w:rFonts w:ascii="Times New Roman" w:eastAsia="Times New Roman" w:hAnsi="Times New Roman"/>
          <w:color w:val="000000"/>
          <w:spacing w:val="-1"/>
          <w:lang w:val="it-IT" w:eastAsia="ar-SA"/>
        </w:rPr>
      </w:pPr>
    </w:p>
    <w:p>
      <w:pPr>
        <w:widowControl w:val="0"/>
        <w:shd w:val="clear" w:color="auto" w:fill="FFFFFF"/>
        <w:suppressAutoHyphens/>
        <w:autoSpaceDE w:val="0"/>
        <w:spacing w:after="0" w:line="240" w:lineRule="auto"/>
        <w:rPr>
          <w:rFonts w:ascii="Times New Roman" w:eastAsia="Times New Roman" w:hAnsi="Times New Roman"/>
          <w:color w:val="000000"/>
          <w:lang w:val="it-IT" w:eastAsia="ar-SA"/>
        </w:rPr>
      </w:pPr>
      <w:r>
        <w:rPr>
          <w:rFonts w:ascii="Times New Roman" w:eastAsia="Times New Roman" w:hAnsi="Times New Roman"/>
          <w:color w:val="000000"/>
          <w:spacing w:val="-1"/>
          <w:lang w:val="it-IT" w:eastAsia="ar-SA"/>
        </w:rPr>
        <w:t xml:space="preserve">Gli studi su animali non indicano effetti dannosi diretti o indiretti su gravidanza, sviluppo </w:t>
      </w:r>
      <w:r>
        <w:rPr>
          <w:rFonts w:ascii="Times New Roman" w:eastAsia="Times New Roman" w:hAnsi="Times New Roman"/>
          <w:color w:val="000000"/>
          <w:lang w:val="it-IT" w:eastAsia="ar-SA"/>
        </w:rPr>
        <w:t>embrionale/fetale, parto o sviluppo post-natale (vedere paragrafo 5.3).</w:t>
      </w:r>
    </w:p>
    <w:p>
      <w:pPr>
        <w:widowControl w:val="0"/>
        <w:shd w:val="clear" w:color="auto" w:fill="FFFFFF"/>
        <w:suppressAutoHyphens/>
        <w:autoSpaceDE w:val="0"/>
        <w:spacing w:after="0" w:line="240" w:lineRule="auto"/>
        <w:rPr>
          <w:rFonts w:ascii="Times New Roman" w:eastAsia="Times New Roman" w:hAnsi="Times New Roman"/>
          <w:color w:val="000000"/>
          <w:lang w:val="it-IT" w:eastAsia="ar-SA"/>
        </w:rPr>
      </w:pPr>
    </w:p>
    <w:p>
      <w:pPr>
        <w:widowControl w:val="0"/>
        <w:suppressAutoHyphens/>
        <w:autoSpaceDE w:val="0"/>
        <w:spacing w:after="0" w:line="240" w:lineRule="auto"/>
        <w:rPr>
          <w:rFonts w:ascii="Times New Roman" w:eastAsia="Times New Roman" w:hAnsi="Times New Roman"/>
          <w:i/>
          <w:lang w:val="it-IT" w:eastAsia="ar-SA"/>
        </w:rPr>
      </w:pPr>
      <w:r>
        <w:rPr>
          <w:rFonts w:ascii="Times New Roman" w:eastAsia="Times New Roman" w:hAnsi="Times New Roman"/>
          <w:i/>
          <w:lang w:val="it-IT" w:eastAsia="ar-SA"/>
        </w:rPr>
        <w:t>Allattamento</w:t>
      </w:r>
    </w:p>
    <w:p>
      <w:pPr>
        <w:widowControl w:val="0"/>
        <w:shd w:val="clear" w:color="auto" w:fill="FFFFFF"/>
        <w:suppressAutoHyphens/>
        <w:autoSpaceDE w:val="0"/>
        <w:spacing w:after="0" w:line="240" w:lineRule="auto"/>
        <w:rPr>
          <w:rFonts w:ascii="Times New Roman" w:eastAsia="Times New Roman" w:hAnsi="Times New Roman"/>
          <w:color w:val="000000"/>
          <w:lang w:val="it-IT" w:eastAsia="ar-SA"/>
        </w:rPr>
      </w:pPr>
      <w:r>
        <w:rPr>
          <w:rFonts w:ascii="Times New Roman" w:eastAsia="Times New Roman" w:hAnsi="Times New Roman"/>
          <w:color w:val="000000"/>
          <w:lang w:val="it-IT" w:eastAsia="ar-SA"/>
        </w:rPr>
        <w:t xml:space="preserve">Non è noto se clopidogrel sia escreto nel latte umano. Gli studi su animali hanno dimostrato che </w:t>
      </w:r>
      <w:r>
        <w:rPr>
          <w:rFonts w:ascii="Times New Roman" w:eastAsia="Times New Roman" w:hAnsi="Times New Roman"/>
          <w:color w:val="000000"/>
          <w:spacing w:val="-1"/>
          <w:lang w:val="it-IT" w:eastAsia="ar-SA"/>
        </w:rPr>
        <w:t xml:space="preserve">clopidogrel viene escreto nel latte. Come misura precauzionale, non si deve continuare l'allattamento </w:t>
      </w:r>
      <w:r>
        <w:rPr>
          <w:rFonts w:ascii="Times New Roman" w:eastAsia="Times New Roman" w:hAnsi="Times New Roman"/>
          <w:color w:val="000000"/>
          <w:lang w:val="it-IT" w:eastAsia="ar-SA"/>
        </w:rPr>
        <w:t>durante il trattamento con Clopidogrel Krka.</w:t>
      </w:r>
    </w:p>
    <w:p>
      <w:pPr>
        <w:widowControl w:val="0"/>
        <w:suppressAutoHyphens/>
        <w:autoSpaceDE w:val="0"/>
        <w:spacing w:after="0" w:line="240" w:lineRule="auto"/>
        <w:rPr>
          <w:rFonts w:ascii="Times New Roman" w:eastAsia="Times New Roman" w:hAnsi="Times New Roman"/>
          <w:i/>
          <w:lang w:val="it-IT" w:eastAsia="ar-SA"/>
        </w:rPr>
      </w:pPr>
    </w:p>
    <w:p>
      <w:pPr>
        <w:widowControl w:val="0"/>
        <w:suppressAutoHyphens/>
        <w:autoSpaceDE w:val="0"/>
        <w:spacing w:after="0" w:line="240" w:lineRule="auto"/>
        <w:rPr>
          <w:rFonts w:ascii="Times New Roman" w:eastAsia="Times New Roman" w:hAnsi="Times New Roman"/>
          <w:i/>
          <w:lang w:val="it-IT" w:eastAsia="ar-SA"/>
        </w:rPr>
      </w:pPr>
      <w:r>
        <w:rPr>
          <w:rFonts w:ascii="Times New Roman" w:eastAsia="Times New Roman" w:hAnsi="Times New Roman"/>
          <w:i/>
          <w:lang w:val="it-IT" w:eastAsia="ar-SA"/>
        </w:rPr>
        <w:t>Fertilità</w:t>
      </w:r>
    </w:p>
    <w:p>
      <w:pPr>
        <w:widowControl w:val="0"/>
        <w:suppressAutoHyphens/>
        <w:autoSpaceDE w:val="0"/>
        <w:spacing w:after="0" w:line="240" w:lineRule="auto"/>
        <w:rPr>
          <w:rFonts w:ascii="Times New Roman" w:eastAsia="Times New Roman" w:hAnsi="Times New Roman"/>
          <w:lang w:val="it-IT" w:eastAsia="ar-SA"/>
        </w:rPr>
      </w:pPr>
      <w:r>
        <w:rPr>
          <w:rFonts w:ascii="Times New Roman" w:eastAsia="Times New Roman" w:hAnsi="Times New Roman"/>
          <w:lang w:val="it-IT" w:eastAsia="ar-SA"/>
        </w:rPr>
        <w:t>Negli studi su animali, clopidogrel non ha mostrato alterazioni della fertilità.</w:t>
      </w:r>
    </w:p>
    <w:p>
      <w:pPr>
        <w:widowControl w:val="0"/>
        <w:shd w:val="clear" w:color="auto" w:fill="FFFFFF"/>
        <w:suppressAutoHyphens/>
        <w:autoSpaceDE w:val="0"/>
        <w:spacing w:after="0" w:line="240" w:lineRule="auto"/>
        <w:rPr>
          <w:rFonts w:ascii="Times New Roman" w:eastAsia="Times New Roman" w:hAnsi="Times New Roman"/>
          <w:color w:val="000000"/>
          <w:lang w:val="it-IT" w:eastAsia="ar-SA"/>
        </w:rPr>
      </w:pPr>
    </w:p>
    <w:p>
      <w:pPr>
        <w:widowControl w:val="0"/>
        <w:shd w:val="clear" w:color="auto" w:fill="FFFFFF"/>
        <w:tabs>
          <w:tab w:val="left" w:pos="589"/>
        </w:tabs>
        <w:suppressAutoHyphens/>
        <w:autoSpaceDE w:val="0"/>
        <w:spacing w:after="0" w:line="240" w:lineRule="auto"/>
        <w:rPr>
          <w:rFonts w:ascii="Times New Roman" w:eastAsia="Times New Roman" w:hAnsi="Times New Roman"/>
          <w:b/>
          <w:bCs/>
          <w:color w:val="000000"/>
          <w:lang w:val="it-IT" w:eastAsia="ar-SA"/>
        </w:rPr>
      </w:pPr>
      <w:r>
        <w:rPr>
          <w:rFonts w:ascii="Times New Roman" w:eastAsia="Times New Roman" w:hAnsi="Times New Roman"/>
          <w:b/>
          <w:bCs/>
          <w:color w:val="000000"/>
          <w:spacing w:val="-5"/>
          <w:lang w:val="it-IT" w:eastAsia="ar-SA"/>
        </w:rPr>
        <w:t>4.7</w:t>
      </w:r>
      <w:r>
        <w:rPr>
          <w:rFonts w:ascii="Times New Roman" w:eastAsia="Times New Roman" w:hAnsi="Times New Roman"/>
          <w:b/>
          <w:bCs/>
          <w:color w:val="000000"/>
          <w:lang w:val="it-IT" w:eastAsia="ar-SA"/>
        </w:rPr>
        <w:tab/>
        <w:t>Effetti sulla capacità di guidare veicoli e sull'uso di macchinari</w:t>
      </w:r>
    </w:p>
    <w:p>
      <w:pPr>
        <w:widowControl w:val="0"/>
        <w:shd w:val="clear" w:color="auto" w:fill="FFFFFF"/>
        <w:suppressAutoHyphens/>
        <w:autoSpaceDE w:val="0"/>
        <w:spacing w:after="0" w:line="240" w:lineRule="auto"/>
        <w:rPr>
          <w:rFonts w:ascii="Times New Roman" w:eastAsia="Times New Roman" w:hAnsi="Times New Roman"/>
          <w:color w:val="000000"/>
          <w:spacing w:val="-1"/>
          <w:lang w:val="it-IT" w:eastAsia="ar-SA"/>
        </w:rPr>
      </w:pPr>
    </w:p>
    <w:p>
      <w:pPr>
        <w:widowControl w:val="0"/>
        <w:shd w:val="clear" w:color="auto" w:fill="FFFFFF"/>
        <w:suppressAutoHyphens/>
        <w:autoSpaceDE w:val="0"/>
        <w:spacing w:after="0" w:line="240" w:lineRule="auto"/>
        <w:rPr>
          <w:rFonts w:ascii="Times New Roman" w:eastAsia="Times New Roman" w:hAnsi="Times New Roman"/>
          <w:color w:val="000000"/>
          <w:spacing w:val="-1"/>
          <w:lang w:val="it-IT" w:eastAsia="ar-SA"/>
        </w:rPr>
      </w:pPr>
      <w:r>
        <w:rPr>
          <w:rFonts w:ascii="Times New Roman" w:eastAsia="Times New Roman" w:hAnsi="Times New Roman"/>
          <w:color w:val="000000"/>
          <w:spacing w:val="-1"/>
          <w:lang w:val="it-IT" w:eastAsia="ar-SA"/>
        </w:rPr>
        <w:t>Clopidogrel non altera o altera in modo trascurabile la capacità di guidare veicoli o di usare macchinari.</w:t>
      </w:r>
    </w:p>
    <w:p>
      <w:pPr>
        <w:widowControl w:val="0"/>
        <w:shd w:val="clear" w:color="auto" w:fill="FFFFFF"/>
        <w:suppressAutoHyphens/>
        <w:autoSpaceDE w:val="0"/>
        <w:spacing w:after="0" w:line="240" w:lineRule="auto"/>
        <w:rPr>
          <w:rFonts w:ascii="Times New Roman" w:eastAsia="Times New Roman" w:hAnsi="Times New Roman"/>
          <w:color w:val="000000"/>
          <w:spacing w:val="-1"/>
          <w:lang w:val="it-IT" w:eastAsia="ar-SA"/>
        </w:rPr>
      </w:pPr>
    </w:p>
    <w:p>
      <w:pPr>
        <w:widowControl w:val="0"/>
        <w:shd w:val="clear" w:color="auto" w:fill="FFFFFF"/>
        <w:tabs>
          <w:tab w:val="left" w:pos="589"/>
        </w:tabs>
        <w:suppressAutoHyphens/>
        <w:autoSpaceDE w:val="0"/>
        <w:spacing w:after="0" w:line="240" w:lineRule="auto"/>
        <w:rPr>
          <w:rFonts w:ascii="Times New Roman" w:eastAsia="Times New Roman" w:hAnsi="Times New Roman"/>
          <w:b/>
          <w:bCs/>
          <w:color w:val="000000"/>
          <w:lang w:val="it-IT" w:eastAsia="ar-SA"/>
        </w:rPr>
      </w:pPr>
      <w:r>
        <w:rPr>
          <w:rFonts w:ascii="Times New Roman" w:eastAsia="Times New Roman" w:hAnsi="Times New Roman"/>
          <w:b/>
          <w:bCs/>
          <w:color w:val="000000"/>
          <w:spacing w:val="-5"/>
          <w:lang w:val="it-IT" w:eastAsia="ar-SA"/>
        </w:rPr>
        <w:t>4.8</w:t>
      </w:r>
      <w:r>
        <w:rPr>
          <w:rFonts w:ascii="Times New Roman" w:eastAsia="Times New Roman" w:hAnsi="Times New Roman"/>
          <w:b/>
          <w:bCs/>
          <w:color w:val="000000"/>
          <w:lang w:val="it-IT" w:eastAsia="ar-SA"/>
        </w:rPr>
        <w:tab/>
        <w:t>Effetti indesiderati</w:t>
      </w:r>
    </w:p>
    <w:p>
      <w:pPr>
        <w:widowControl w:val="0"/>
        <w:shd w:val="clear" w:color="auto" w:fill="FFFFFF"/>
        <w:suppressAutoHyphens/>
        <w:autoSpaceDE w:val="0"/>
        <w:spacing w:after="0" w:line="240" w:lineRule="auto"/>
        <w:rPr>
          <w:rFonts w:ascii="Times New Roman" w:eastAsia="Times New Roman" w:hAnsi="Times New Roman"/>
          <w:color w:val="000000"/>
          <w:lang w:val="it-IT" w:eastAsia="ar-SA"/>
        </w:rPr>
      </w:pPr>
    </w:p>
    <w:p>
      <w:pPr>
        <w:spacing w:after="0" w:line="240" w:lineRule="auto"/>
        <w:rPr>
          <w:rFonts w:ascii="Times New Roman" w:eastAsia="Times New Roman" w:hAnsi="Times New Roman"/>
          <w:i/>
          <w:lang w:val="it-IT"/>
        </w:rPr>
      </w:pPr>
      <w:r>
        <w:rPr>
          <w:rFonts w:ascii="Times New Roman" w:eastAsia="Times New Roman" w:hAnsi="Times New Roman"/>
          <w:i/>
          <w:lang w:val="it-IT"/>
        </w:rPr>
        <w:t>Riassunto del profilo di sicurezza</w:t>
      </w:r>
    </w:p>
    <w:p>
      <w:pPr>
        <w:widowControl w:val="0"/>
        <w:suppressAutoHyphens/>
        <w:autoSpaceDE w:val="0"/>
        <w:spacing w:after="0" w:line="240" w:lineRule="auto"/>
        <w:rPr>
          <w:rFonts w:ascii="Times New Roman" w:eastAsia="Times New Roman" w:hAnsi="Times New Roman"/>
          <w:lang w:val="it-IT" w:eastAsia="ar-SA"/>
        </w:rPr>
      </w:pPr>
      <w:r>
        <w:rPr>
          <w:rFonts w:ascii="Times New Roman" w:eastAsia="Times New Roman" w:hAnsi="Times New Roman"/>
          <w:lang w:val="it-IT" w:eastAsia="ar-SA"/>
        </w:rPr>
        <w:t>La sicurezza di clopidogrel è stata valutata in più di 44.000 pazienti che hanno partecipato agli studi clinici, di cui oltre 12.000 trattati per 1 anno o più. Nello studio CAPRIE clopidogrel, alla dose di 75 mg/die, è risultato, nel complesso, comparabile a ASA 325 mg/die indipendentemente dall’età, sesso e razza dei pazienti. Le reazioni avverse clinicamente rilevanti osservate negli studi CAPRIE, CURE, CLARITY, COMMIT e ACTIVE-A sono discusse di seguito.</w:t>
      </w:r>
    </w:p>
    <w:p>
      <w:pPr>
        <w:widowControl w:val="0"/>
        <w:shd w:val="clear" w:color="auto" w:fill="FFFFFF"/>
        <w:suppressAutoHyphens/>
        <w:autoSpaceDE w:val="0"/>
        <w:spacing w:after="0" w:line="240" w:lineRule="auto"/>
        <w:rPr>
          <w:rFonts w:ascii="Times New Roman" w:eastAsia="Times New Roman" w:hAnsi="Times New Roman"/>
          <w:color w:val="000000"/>
          <w:lang w:val="it-IT" w:eastAsia="ar-SA"/>
        </w:rPr>
      </w:pPr>
      <w:r>
        <w:rPr>
          <w:rFonts w:ascii="Times New Roman" w:eastAsia="Times New Roman" w:hAnsi="Times New Roman"/>
          <w:color w:val="000000"/>
          <w:lang w:val="it-IT" w:eastAsia="ar-SA"/>
        </w:rPr>
        <w:t>In aggiunta all'esperienza degli studi clinici, sono state segnalate spontaneamente reazioni avverse.</w:t>
      </w:r>
    </w:p>
    <w:p>
      <w:pPr>
        <w:widowControl w:val="0"/>
        <w:shd w:val="clear" w:color="auto" w:fill="FFFFFF"/>
        <w:tabs>
          <w:tab w:val="left" w:pos="226"/>
        </w:tabs>
        <w:suppressAutoHyphens/>
        <w:autoSpaceDE w:val="0"/>
        <w:spacing w:after="0" w:line="240" w:lineRule="auto"/>
        <w:rPr>
          <w:rFonts w:ascii="Times New Roman" w:eastAsia="Times New Roman" w:hAnsi="Times New Roman"/>
          <w:color w:val="000000"/>
          <w:spacing w:val="-11"/>
          <w:lang w:val="it-IT" w:eastAsia="ar-SA"/>
        </w:rPr>
      </w:pPr>
    </w:p>
    <w:p>
      <w:pPr>
        <w:widowControl w:val="0"/>
        <w:shd w:val="clear" w:color="auto" w:fill="FFFFFF"/>
        <w:tabs>
          <w:tab w:val="left" w:pos="226"/>
        </w:tabs>
        <w:suppressAutoHyphens/>
        <w:autoSpaceDE w:val="0"/>
        <w:spacing w:after="0" w:line="240" w:lineRule="auto"/>
        <w:rPr>
          <w:rFonts w:ascii="Times New Roman" w:eastAsia="Times New Roman" w:hAnsi="Times New Roman"/>
          <w:color w:val="000000"/>
          <w:lang w:val="it-IT" w:eastAsia="ar-SA"/>
        </w:rPr>
      </w:pPr>
      <w:r>
        <w:rPr>
          <w:rFonts w:ascii="Times New Roman" w:eastAsia="Times New Roman" w:hAnsi="Times New Roman"/>
          <w:color w:val="000000"/>
          <w:spacing w:val="-11"/>
          <w:lang w:val="it-IT" w:eastAsia="ar-SA"/>
        </w:rPr>
        <w:t>Il</w:t>
      </w:r>
      <w:r>
        <w:rPr>
          <w:rFonts w:ascii="Times New Roman" w:eastAsia="Times New Roman" w:hAnsi="Times New Roman"/>
          <w:color w:val="000000"/>
          <w:lang w:val="it-IT" w:eastAsia="ar-SA"/>
        </w:rPr>
        <w:tab/>
      </w:r>
      <w:r>
        <w:rPr>
          <w:rFonts w:ascii="Times New Roman" w:eastAsia="Times New Roman" w:hAnsi="Times New Roman"/>
          <w:color w:val="000000"/>
          <w:spacing w:val="-1"/>
          <w:lang w:val="it-IT" w:eastAsia="ar-SA"/>
        </w:rPr>
        <w:t xml:space="preserve">sanguinamento è la reazione più comunemente segnalata sia negli studi clinici che nell'esperienza </w:t>
      </w:r>
      <w:r>
        <w:rPr>
          <w:rFonts w:ascii="Times New Roman" w:eastAsia="Times New Roman" w:hAnsi="Times New Roman"/>
          <w:color w:val="000000"/>
          <w:lang w:val="it-IT" w:eastAsia="ar-SA"/>
        </w:rPr>
        <w:t xml:space="preserve">post-marketing, in cui è stato </w:t>
      </w:r>
      <w:r>
        <w:rPr>
          <w:rFonts w:ascii="Times New Roman" w:eastAsia="Times New Roman" w:hAnsi="Times New Roman"/>
          <w:lang w:val="it-IT" w:eastAsia="ar-SA"/>
        </w:rPr>
        <w:t xml:space="preserve">segnalato principalmente </w:t>
      </w:r>
      <w:r>
        <w:rPr>
          <w:rFonts w:ascii="Times New Roman" w:eastAsia="Times New Roman" w:hAnsi="Times New Roman"/>
          <w:color w:val="000000"/>
          <w:lang w:val="it-IT" w:eastAsia="ar-SA"/>
        </w:rPr>
        <w:t>durante il primo mese di trattamento.</w:t>
      </w:r>
    </w:p>
    <w:p>
      <w:pPr>
        <w:widowControl w:val="0"/>
        <w:shd w:val="clear" w:color="auto" w:fill="FFFFFF"/>
        <w:suppressAutoHyphens/>
        <w:autoSpaceDE w:val="0"/>
        <w:spacing w:after="0" w:line="240" w:lineRule="auto"/>
        <w:rPr>
          <w:rFonts w:ascii="Times New Roman" w:eastAsia="Times New Roman" w:hAnsi="Times New Roman"/>
          <w:color w:val="000000"/>
          <w:lang w:val="it-IT" w:eastAsia="ar-SA"/>
        </w:rPr>
      </w:pPr>
    </w:p>
    <w:p>
      <w:pPr>
        <w:widowControl w:val="0"/>
        <w:suppressAutoHyphens/>
        <w:autoSpaceDE w:val="0"/>
        <w:spacing w:after="0" w:line="240" w:lineRule="auto"/>
        <w:rPr>
          <w:rFonts w:ascii="Times New Roman" w:eastAsia="Times New Roman" w:hAnsi="Times New Roman"/>
          <w:lang w:val="it-IT" w:eastAsia="ar-SA"/>
        </w:rPr>
      </w:pPr>
      <w:r>
        <w:rPr>
          <w:rFonts w:ascii="Times New Roman" w:eastAsia="Times New Roman" w:hAnsi="Times New Roman"/>
          <w:lang w:val="it-IT" w:eastAsia="ar-SA"/>
        </w:rPr>
        <w:t>Nello studio CAPRIE tanto nei pazienti trattati con clopidogrel che in quelli trattati con ASA, l’incidenza complessiva di ogni tipo di sanguinamento è stata del 9,3%. L’incidenza dei casi gravi è stata simile per clopidogrel e per ASA.</w:t>
      </w:r>
    </w:p>
    <w:p>
      <w:pPr>
        <w:widowControl w:val="0"/>
        <w:suppressAutoHyphens/>
        <w:autoSpaceDE w:val="0"/>
        <w:spacing w:after="0" w:line="240" w:lineRule="auto"/>
        <w:rPr>
          <w:rFonts w:ascii="Times New Roman" w:eastAsia="Times New Roman" w:hAnsi="Times New Roman"/>
          <w:lang w:val="it-IT" w:eastAsia="ar-SA"/>
        </w:rPr>
      </w:pPr>
    </w:p>
    <w:p>
      <w:pPr>
        <w:widowControl w:val="0"/>
        <w:suppressAutoHyphens/>
        <w:autoSpaceDE w:val="0"/>
        <w:spacing w:after="0" w:line="240" w:lineRule="auto"/>
        <w:rPr>
          <w:rFonts w:ascii="Times New Roman" w:eastAsia="Times New Roman" w:hAnsi="Times New Roman"/>
          <w:lang w:val="it-IT" w:eastAsia="ar-SA"/>
        </w:rPr>
      </w:pPr>
      <w:r>
        <w:rPr>
          <w:rFonts w:ascii="Times New Roman" w:eastAsia="Times New Roman" w:hAnsi="Times New Roman"/>
          <w:lang w:val="it-IT" w:eastAsia="ar-SA"/>
        </w:rPr>
        <w:t>Nello studio CURE,</w:t>
      </w:r>
      <w:r>
        <w:rPr>
          <w:rFonts w:ascii="Times New Roman" w:eastAsia="Times New Roman" w:hAnsi="Times New Roman"/>
          <w:u w:val="single"/>
          <w:lang w:val="it-IT" w:eastAsia="ar-SA"/>
        </w:rPr>
        <w:t xml:space="preserve"> </w:t>
      </w:r>
      <w:r>
        <w:rPr>
          <w:rFonts w:ascii="Times New Roman" w:eastAsia="Times New Roman" w:hAnsi="Times New Roman"/>
          <w:lang w:val="it-IT" w:eastAsia="ar-SA"/>
        </w:rPr>
        <w:t>non si è verificato eccesso di sanguinamenti maggiori con clopidogrel più ASA nei 7 giorni successivi ad intervento di bypass coronarico nei pazienti che hanno interrotto la terapia per più di 5 giorni prima dell’intervento. Nei pazienti invece che sono rimasti in terapia nei 5 giorni precedenti l’intervento di bypass, l’incidenza è stata del 9,6% per clopidogrel più ASA e del 6,3% per placebo più ASA.</w:t>
      </w:r>
    </w:p>
    <w:p>
      <w:pPr>
        <w:widowControl w:val="0"/>
        <w:shd w:val="clear" w:color="auto" w:fill="FFFFFF"/>
        <w:suppressAutoHyphens/>
        <w:autoSpaceDE w:val="0"/>
        <w:spacing w:after="0" w:line="240" w:lineRule="auto"/>
        <w:rPr>
          <w:rFonts w:ascii="Times New Roman" w:eastAsia="Times New Roman" w:hAnsi="Times New Roman"/>
          <w:lang w:val="it-IT" w:eastAsia="ar-SA"/>
        </w:rPr>
      </w:pPr>
    </w:p>
    <w:p>
      <w:pPr>
        <w:widowControl w:val="0"/>
        <w:shd w:val="clear" w:color="auto" w:fill="FFFFFF"/>
        <w:suppressAutoHyphens/>
        <w:autoSpaceDE w:val="0"/>
        <w:spacing w:after="0" w:line="240" w:lineRule="auto"/>
        <w:rPr>
          <w:rFonts w:ascii="Times New Roman" w:eastAsia="Times New Roman" w:hAnsi="Times New Roman"/>
          <w:lang w:val="it-IT" w:eastAsia="ar-SA"/>
        </w:rPr>
      </w:pPr>
      <w:r>
        <w:rPr>
          <w:rFonts w:ascii="Times New Roman" w:eastAsia="Times New Roman" w:hAnsi="Times New Roman"/>
          <w:lang w:val="it-IT" w:eastAsia="ar-SA"/>
        </w:rPr>
        <w:t>Nello studio CLARITY, si è verificato un aumento complessivo di sanguinamenti nel gruppo trattato con clopidogrel più ASA rispetto al gruppo placebo più ASA. L’incidenza di sanguinamenti maggiori è risultata simile nei gruppi. Questo risultato è stato coerente nei sottogruppi di pazienti definiti sulla base delle caratteristiche al basale e per tipo di terapia fibrinolitica o eparinica.</w:t>
      </w:r>
    </w:p>
    <w:p>
      <w:pPr>
        <w:widowControl w:val="0"/>
        <w:shd w:val="clear" w:color="auto" w:fill="FFFFFF"/>
        <w:suppressAutoHyphens/>
        <w:autoSpaceDE w:val="0"/>
        <w:spacing w:after="0" w:line="240" w:lineRule="auto"/>
        <w:rPr>
          <w:rFonts w:ascii="Times New Roman" w:eastAsia="Times New Roman" w:hAnsi="Times New Roman"/>
          <w:lang w:val="it-IT" w:eastAsia="ar-SA"/>
        </w:rPr>
      </w:pPr>
    </w:p>
    <w:p>
      <w:pPr>
        <w:widowControl w:val="0"/>
        <w:shd w:val="clear" w:color="auto" w:fill="FFFFFF"/>
        <w:suppressAutoHyphens/>
        <w:autoSpaceDE w:val="0"/>
        <w:spacing w:after="0" w:line="240" w:lineRule="auto"/>
        <w:rPr>
          <w:rFonts w:ascii="Times New Roman" w:eastAsia="Times New Roman" w:hAnsi="Times New Roman"/>
          <w:position w:val="6"/>
          <w:lang w:val="it-IT" w:eastAsia="ar-SA"/>
        </w:rPr>
      </w:pPr>
      <w:r>
        <w:rPr>
          <w:rFonts w:ascii="Times New Roman" w:eastAsia="Times New Roman" w:hAnsi="Times New Roman"/>
          <w:lang w:val="it-IT" w:eastAsia="ar-SA"/>
        </w:rPr>
        <w:t>Nello studio COMMIT, il tasso complessivo di sanguinamenti maggiori non cerebrali o di sanguinamenti cerebrali è risultato basso e simile nei due gruppi.</w:t>
      </w:r>
    </w:p>
    <w:p>
      <w:pPr>
        <w:widowControl w:val="0"/>
        <w:shd w:val="clear" w:color="auto" w:fill="FFFFFF"/>
        <w:suppressAutoHyphens/>
        <w:autoSpaceDE w:val="0"/>
        <w:spacing w:after="0" w:line="240" w:lineRule="auto"/>
        <w:rPr>
          <w:rFonts w:ascii="Times New Roman" w:eastAsia="Times New Roman" w:hAnsi="Times New Roman"/>
          <w:color w:val="000000"/>
          <w:spacing w:val="-1"/>
          <w:lang w:val="it-IT" w:eastAsia="ar-SA"/>
        </w:rPr>
      </w:pPr>
    </w:p>
    <w:p>
      <w:pPr>
        <w:widowControl w:val="0"/>
        <w:shd w:val="clear" w:color="auto" w:fill="FFFFFF"/>
        <w:suppressAutoHyphens/>
        <w:autoSpaceDE w:val="0"/>
        <w:spacing w:after="0" w:line="240" w:lineRule="auto"/>
        <w:rPr>
          <w:rFonts w:ascii="Times New Roman" w:eastAsia="Times New Roman" w:hAnsi="Times New Roman"/>
          <w:color w:val="000000"/>
          <w:spacing w:val="-1"/>
          <w:lang w:val="it-IT" w:eastAsia="ar-SA"/>
        </w:rPr>
      </w:pPr>
      <w:r>
        <w:rPr>
          <w:rFonts w:ascii="Times New Roman" w:eastAsia="Times New Roman" w:hAnsi="Times New Roman"/>
          <w:lang w:val="it-IT" w:eastAsia="ar-SA"/>
        </w:rPr>
        <w:t>Nello studio ACTIVE-A, il tasso complessivo di sanguinamenti maggiori è risultato superiore nel gruppo trattato con clopidogrel + ASA rispetto al gruppo in trattamento con placebo + ASA (6.7% vs 4.3%). I sanguinamenti maggiori erano principalmente di origine extracraniale in entrambi i gruppi (5.3% nel gruppo clopidogrel + ASA; 3.5% nel gruppo placebo + ASA), manifestatisi per lo più nel tratto gastrointestinale (3.5% vs 1.8%). Nel gruppo trattato con clopidogrel + ASA è stato osservato un eccesso di sanguinamenti intracranici rispetto al gruppo trattato con placebo + ASA (1.4% vs 0.8% rispettivamente). Non sono state riscontrate differenze statisticamente significative tra i gruppi relativamente al tasso di emorragia fatale (1.1% nel gruppo clopidogrel + ASA e 0.7% nel gruppo placebo + ASA) e di ictus emorragico (0.8% e 0.6% rispettivamente).</w:t>
      </w:r>
    </w:p>
    <w:p>
      <w:pPr>
        <w:widowControl w:val="0"/>
        <w:shd w:val="clear" w:color="auto" w:fill="FFFFFF"/>
        <w:suppressAutoHyphens/>
        <w:autoSpaceDE w:val="0"/>
        <w:spacing w:after="0" w:line="240" w:lineRule="auto"/>
        <w:rPr>
          <w:rFonts w:ascii="Times New Roman" w:eastAsia="Times New Roman" w:hAnsi="Times New Roman"/>
          <w:color w:val="000000"/>
          <w:spacing w:val="-1"/>
          <w:lang w:val="it-IT" w:eastAsia="ar-SA"/>
        </w:rPr>
      </w:pPr>
    </w:p>
    <w:p>
      <w:pPr>
        <w:widowControl w:val="0"/>
        <w:shd w:val="clear" w:color="auto" w:fill="FFFFFF"/>
        <w:suppressAutoHyphens/>
        <w:autoSpaceDE w:val="0"/>
        <w:spacing w:after="0" w:line="240" w:lineRule="auto"/>
        <w:rPr>
          <w:rFonts w:ascii="Times New Roman" w:eastAsia="Times New Roman" w:hAnsi="Times New Roman"/>
          <w:color w:val="000000"/>
          <w:spacing w:val="-1"/>
          <w:lang w:val="it-IT" w:eastAsia="ar-SA"/>
        </w:rPr>
      </w:pPr>
      <w:r>
        <w:rPr>
          <w:rFonts w:ascii="Times New Roman" w:eastAsia="Times New Roman" w:hAnsi="Times New Roman"/>
          <w:color w:val="000000"/>
          <w:spacing w:val="-1"/>
          <w:lang w:val="it-IT" w:eastAsia="ar-SA"/>
        </w:rPr>
        <w:t>Nello studio TARDIS, i pazienti con recente ictus ischemico sottoposti a terapia antipiastrinica intensiva con tre farmaci (ASA + clopidogrel + dipiridamolo) hanno manifestato più sanguinamenti e sanguinamenti di severità maggiore rispetto a clopidogrel in monoterapia o ASA e dipiridamolo combinati (OR comune aggiustato 2,54, IC al 95% 2,05-3,16, p&lt;0,0001).</w:t>
      </w:r>
    </w:p>
    <w:p>
      <w:pPr>
        <w:widowControl w:val="0"/>
        <w:shd w:val="clear" w:color="auto" w:fill="FFFFFF"/>
        <w:suppressAutoHyphens/>
        <w:autoSpaceDE w:val="0"/>
        <w:spacing w:after="0" w:line="240" w:lineRule="auto"/>
        <w:rPr>
          <w:rFonts w:ascii="Times New Roman" w:eastAsia="Times New Roman" w:hAnsi="Times New Roman"/>
          <w:color w:val="000000"/>
          <w:spacing w:val="-1"/>
          <w:lang w:val="it-IT" w:eastAsia="ar-SA"/>
        </w:rPr>
      </w:pPr>
    </w:p>
    <w:p>
      <w:pPr>
        <w:spacing w:after="0" w:line="240" w:lineRule="auto"/>
        <w:rPr>
          <w:rFonts w:ascii="Times New Roman" w:eastAsia="Times New Roman" w:hAnsi="Times New Roman"/>
          <w:i/>
          <w:lang w:val="it-IT"/>
        </w:rPr>
      </w:pPr>
      <w:r>
        <w:rPr>
          <w:rFonts w:ascii="Times New Roman" w:eastAsia="Times New Roman" w:hAnsi="Times New Roman"/>
          <w:i/>
          <w:lang w:val="it-IT"/>
        </w:rPr>
        <w:t>Tabella delle reazioni avverse</w:t>
      </w:r>
    </w:p>
    <w:p>
      <w:pPr>
        <w:shd w:val="clear" w:color="auto" w:fill="FFFFFF"/>
        <w:tabs>
          <w:tab w:val="left" w:pos="567"/>
        </w:tabs>
        <w:spacing w:after="0" w:line="240" w:lineRule="auto"/>
        <w:rPr>
          <w:rFonts w:ascii="Times New Roman" w:eastAsia="Times New Roman" w:hAnsi="Times New Roman"/>
          <w:color w:val="000000"/>
          <w:lang w:val="it-IT"/>
        </w:rPr>
      </w:pPr>
      <w:r>
        <w:rPr>
          <w:rFonts w:ascii="Times New Roman" w:eastAsia="Times New Roman" w:hAnsi="Times New Roman"/>
          <w:color w:val="000000"/>
          <w:spacing w:val="-1"/>
          <w:lang w:val="it-IT"/>
        </w:rPr>
        <w:t xml:space="preserve">Reazioni avverse osservate negli studi clinici o che sono state segnalate spontaneamente sono riportate </w:t>
      </w:r>
      <w:r>
        <w:rPr>
          <w:rFonts w:ascii="Times New Roman" w:eastAsia="Times New Roman" w:hAnsi="Times New Roman"/>
          <w:color w:val="000000"/>
          <w:lang w:val="it-IT"/>
        </w:rPr>
        <w:t>nella tabella sottostante. La loro frequenza è definita utilizzando le seguenti convenzioni:</w:t>
      </w:r>
    </w:p>
    <w:p>
      <w:pPr>
        <w:tabs>
          <w:tab w:val="left" w:pos="567"/>
        </w:tabs>
        <w:spacing w:after="0" w:line="240" w:lineRule="auto"/>
        <w:rPr>
          <w:rFonts w:ascii="Times New Roman" w:eastAsia="Times New Roman" w:hAnsi="Times New Roman"/>
          <w:b/>
          <w:color w:val="000000"/>
          <w:spacing w:val="-1"/>
          <w:lang w:val="it-IT"/>
        </w:rPr>
      </w:pPr>
      <w:r>
        <w:rPr>
          <w:rFonts w:ascii="Times New Roman" w:eastAsia="Times New Roman" w:hAnsi="Times New Roman"/>
          <w:lang w:val="it-IT"/>
        </w:rPr>
        <w:t>comune (≥1/100, &lt;1/10); non comune (≥1/1.000, &lt;1/100); raro (≥1/10.000, &lt;1/1.000); molto raro (&lt;1/10.000); non nota (la frequenza non può essere definita sulla base dei dati disponibili).</w:t>
      </w:r>
    </w:p>
    <w:p>
      <w:pPr>
        <w:shd w:val="clear" w:color="auto" w:fill="FFFFFF"/>
        <w:tabs>
          <w:tab w:val="left" w:pos="567"/>
        </w:tabs>
        <w:spacing w:after="0" w:line="240" w:lineRule="auto"/>
        <w:rPr>
          <w:rFonts w:ascii="Times New Roman" w:eastAsia="Times New Roman" w:hAnsi="Times New Roman"/>
          <w:color w:val="000000"/>
          <w:spacing w:val="-1"/>
          <w:lang w:val="it-IT"/>
        </w:rPr>
      </w:pPr>
      <w:r>
        <w:rPr>
          <w:rFonts w:ascii="Times New Roman" w:eastAsia="Times New Roman" w:hAnsi="Times New Roman"/>
          <w:color w:val="000000"/>
          <w:lang w:val="it-IT"/>
        </w:rPr>
        <w:t xml:space="preserve">All'interno di ciascuna classe di frequenza, gli effetti indesiderati sono riportati in ordine decrescente </w:t>
      </w:r>
      <w:r>
        <w:rPr>
          <w:rFonts w:ascii="Times New Roman" w:eastAsia="Times New Roman" w:hAnsi="Times New Roman"/>
          <w:color w:val="000000"/>
          <w:spacing w:val="-1"/>
          <w:lang w:val="it-IT"/>
        </w:rPr>
        <w:t>di gravità.</w:t>
      </w:r>
    </w:p>
    <w:p>
      <w:pPr>
        <w:widowControl w:val="0"/>
        <w:suppressAutoHyphens/>
        <w:autoSpaceDE w:val="0"/>
        <w:spacing w:after="0" w:line="240" w:lineRule="auto"/>
        <w:rPr>
          <w:rFonts w:ascii="Times New Roman" w:eastAsia="Times New Roman" w:hAnsi="Times New Roman"/>
          <w:lang w:val="it-IT" w:eastAsia="ar-SA"/>
        </w:rPr>
      </w:pPr>
    </w:p>
    <w:tbl>
      <w:tblPr>
        <w:tblW w:w="9538" w:type="dxa"/>
        <w:tblLayout w:type="fixed"/>
        <w:tblCellMar>
          <w:left w:w="40" w:type="dxa"/>
          <w:right w:w="40" w:type="dxa"/>
        </w:tblCellMar>
        <w:tblLook w:val="0000" w:firstRow="0" w:lastRow="0" w:firstColumn="0" w:lastColumn="0" w:noHBand="0" w:noVBand="0"/>
      </w:tblPr>
      <w:tblGrid>
        <w:gridCol w:w="1930"/>
        <w:gridCol w:w="1709"/>
        <w:gridCol w:w="1795"/>
        <w:gridCol w:w="1603"/>
        <w:gridCol w:w="2501"/>
      </w:tblGrid>
      <w:tr>
        <w:trPr>
          <w:trHeight w:hRule="exact" w:val="666"/>
        </w:trPr>
        <w:tc>
          <w:tcPr>
            <w:tcW w:w="1930" w:type="dxa"/>
            <w:tcBorders>
              <w:top w:val="single" w:sz="4" w:space="0" w:color="000000"/>
              <w:left w:val="single" w:sz="4" w:space="0" w:color="000000"/>
              <w:bottom w:val="single" w:sz="4" w:space="0" w:color="000000"/>
            </w:tcBorders>
            <w:shd w:val="clear" w:color="auto" w:fill="FFFFFF"/>
          </w:tcPr>
          <w:p>
            <w:pPr>
              <w:widowControl w:val="0"/>
              <w:shd w:val="clear" w:color="auto" w:fill="FFFFFF"/>
              <w:suppressAutoHyphens/>
              <w:autoSpaceDE w:val="0"/>
              <w:snapToGrid w:val="0"/>
              <w:spacing w:after="0" w:line="240" w:lineRule="auto"/>
              <w:rPr>
                <w:rFonts w:ascii="Times New Roman" w:eastAsia="Times New Roman" w:hAnsi="Times New Roman"/>
                <w:b/>
                <w:bCs/>
                <w:color w:val="000000"/>
                <w:lang w:val="it-IT" w:eastAsia="ar-SA"/>
              </w:rPr>
            </w:pPr>
            <w:r>
              <w:rPr>
                <w:rFonts w:ascii="Times New Roman" w:eastAsia="Times New Roman" w:hAnsi="Times New Roman"/>
                <w:b/>
                <w:bCs/>
                <w:color w:val="000000"/>
                <w:spacing w:val="-1"/>
                <w:lang w:val="it-IT" w:eastAsia="ar-SA"/>
              </w:rPr>
              <w:t xml:space="preserve">Classificazione </w:t>
            </w:r>
            <w:r>
              <w:rPr>
                <w:rFonts w:ascii="Times New Roman" w:eastAsia="Times New Roman" w:hAnsi="Times New Roman"/>
                <w:b/>
                <w:bCs/>
                <w:color w:val="000000"/>
                <w:lang w:val="it-IT" w:eastAsia="ar-SA"/>
              </w:rPr>
              <w:t>per Sistemi e Organi</w:t>
            </w:r>
          </w:p>
        </w:tc>
        <w:tc>
          <w:tcPr>
            <w:tcW w:w="1709" w:type="dxa"/>
            <w:tcBorders>
              <w:top w:val="single" w:sz="4" w:space="0" w:color="000000"/>
              <w:left w:val="single" w:sz="4" w:space="0" w:color="000000"/>
              <w:bottom w:val="single" w:sz="4" w:space="0" w:color="000000"/>
            </w:tcBorders>
            <w:shd w:val="clear" w:color="auto" w:fill="FFFFFF"/>
          </w:tcPr>
          <w:p>
            <w:pPr>
              <w:widowControl w:val="0"/>
              <w:shd w:val="clear" w:color="auto" w:fill="FFFFFF"/>
              <w:suppressAutoHyphens/>
              <w:autoSpaceDE w:val="0"/>
              <w:snapToGrid w:val="0"/>
              <w:spacing w:after="0" w:line="240" w:lineRule="auto"/>
              <w:rPr>
                <w:rFonts w:ascii="Times New Roman" w:eastAsia="Times New Roman" w:hAnsi="Times New Roman"/>
                <w:b/>
                <w:bCs/>
                <w:color w:val="000000"/>
                <w:spacing w:val="-3"/>
                <w:lang w:val="it-IT" w:eastAsia="ar-SA"/>
              </w:rPr>
            </w:pPr>
            <w:r>
              <w:rPr>
                <w:rFonts w:ascii="Times New Roman" w:eastAsia="Times New Roman" w:hAnsi="Times New Roman"/>
                <w:b/>
                <w:bCs/>
                <w:color w:val="000000"/>
                <w:spacing w:val="-3"/>
                <w:lang w:val="it-IT" w:eastAsia="ar-SA"/>
              </w:rPr>
              <w:t>Comune</w:t>
            </w:r>
          </w:p>
        </w:tc>
        <w:tc>
          <w:tcPr>
            <w:tcW w:w="1795" w:type="dxa"/>
            <w:tcBorders>
              <w:top w:val="single" w:sz="4" w:space="0" w:color="000000"/>
              <w:left w:val="single" w:sz="4" w:space="0" w:color="000000"/>
              <w:bottom w:val="single" w:sz="4" w:space="0" w:color="000000"/>
            </w:tcBorders>
            <w:shd w:val="clear" w:color="auto" w:fill="FFFFFF"/>
          </w:tcPr>
          <w:p>
            <w:pPr>
              <w:widowControl w:val="0"/>
              <w:shd w:val="clear" w:color="auto" w:fill="FFFFFF"/>
              <w:suppressAutoHyphens/>
              <w:autoSpaceDE w:val="0"/>
              <w:snapToGrid w:val="0"/>
              <w:spacing w:after="0" w:line="240" w:lineRule="auto"/>
              <w:rPr>
                <w:rFonts w:ascii="Times New Roman" w:eastAsia="Times New Roman" w:hAnsi="Times New Roman"/>
                <w:b/>
                <w:bCs/>
                <w:color w:val="000000"/>
                <w:spacing w:val="-2"/>
                <w:lang w:val="it-IT" w:eastAsia="ar-SA"/>
              </w:rPr>
            </w:pPr>
            <w:r>
              <w:rPr>
                <w:rFonts w:ascii="Times New Roman" w:eastAsia="Times New Roman" w:hAnsi="Times New Roman"/>
                <w:b/>
                <w:bCs/>
                <w:color w:val="000000"/>
                <w:spacing w:val="-2"/>
                <w:lang w:val="it-IT" w:eastAsia="ar-SA"/>
              </w:rPr>
              <w:t>Non comune</w:t>
            </w:r>
          </w:p>
        </w:tc>
        <w:tc>
          <w:tcPr>
            <w:tcW w:w="1603" w:type="dxa"/>
            <w:tcBorders>
              <w:top w:val="single" w:sz="4" w:space="0" w:color="000000"/>
              <w:left w:val="single" w:sz="4" w:space="0" w:color="000000"/>
              <w:bottom w:val="single" w:sz="4" w:space="0" w:color="000000"/>
            </w:tcBorders>
            <w:shd w:val="clear" w:color="auto" w:fill="FFFFFF"/>
          </w:tcPr>
          <w:p>
            <w:pPr>
              <w:widowControl w:val="0"/>
              <w:shd w:val="clear" w:color="auto" w:fill="FFFFFF"/>
              <w:suppressAutoHyphens/>
              <w:autoSpaceDE w:val="0"/>
              <w:snapToGrid w:val="0"/>
              <w:spacing w:after="0" w:line="240" w:lineRule="auto"/>
              <w:rPr>
                <w:rFonts w:ascii="Times New Roman" w:eastAsia="Times New Roman" w:hAnsi="Times New Roman"/>
                <w:b/>
                <w:bCs/>
                <w:color w:val="000000"/>
                <w:spacing w:val="-2"/>
                <w:lang w:val="it-IT" w:eastAsia="ar-SA"/>
              </w:rPr>
            </w:pPr>
            <w:r>
              <w:rPr>
                <w:rFonts w:ascii="Times New Roman" w:eastAsia="Times New Roman" w:hAnsi="Times New Roman"/>
                <w:b/>
                <w:bCs/>
                <w:color w:val="000000"/>
                <w:spacing w:val="-2"/>
                <w:lang w:val="it-IT" w:eastAsia="ar-SA"/>
              </w:rPr>
              <w:t>Raro</w:t>
            </w:r>
          </w:p>
        </w:tc>
        <w:tc>
          <w:tcPr>
            <w:tcW w:w="2501" w:type="dxa"/>
            <w:tcBorders>
              <w:top w:val="single" w:sz="4" w:space="0" w:color="000000"/>
              <w:left w:val="single" w:sz="4" w:space="0" w:color="000000"/>
              <w:bottom w:val="single" w:sz="4" w:space="0" w:color="000000"/>
              <w:right w:val="single" w:sz="4" w:space="0" w:color="000000"/>
            </w:tcBorders>
            <w:shd w:val="clear" w:color="auto" w:fill="FFFFFF"/>
          </w:tcPr>
          <w:p>
            <w:pPr>
              <w:widowControl w:val="0"/>
              <w:shd w:val="clear" w:color="auto" w:fill="FFFFFF"/>
              <w:suppressAutoHyphens/>
              <w:autoSpaceDE w:val="0"/>
              <w:snapToGrid w:val="0"/>
              <w:spacing w:after="0" w:line="240" w:lineRule="auto"/>
              <w:rPr>
                <w:rFonts w:ascii="Times New Roman" w:eastAsia="Times New Roman" w:hAnsi="Times New Roman"/>
                <w:b/>
                <w:bCs/>
                <w:color w:val="000000"/>
                <w:spacing w:val="-3"/>
                <w:lang w:val="it-IT" w:eastAsia="ar-SA"/>
              </w:rPr>
            </w:pPr>
            <w:r>
              <w:rPr>
                <w:rFonts w:ascii="Times New Roman" w:eastAsia="Times New Roman" w:hAnsi="Times New Roman"/>
                <w:b/>
                <w:bCs/>
                <w:color w:val="000000"/>
                <w:spacing w:val="-3"/>
                <w:lang w:val="it-IT" w:eastAsia="ar-SA"/>
              </w:rPr>
              <w:t>Molto raro</w:t>
            </w:r>
            <w:r>
              <w:rPr>
                <w:rFonts w:ascii="Times New Roman" w:eastAsia="Times New Roman" w:hAnsi="Times New Roman"/>
                <w:b/>
                <w:bCs/>
                <w:color w:val="000000"/>
                <w:lang w:val="it-IT" w:eastAsia="ar-SA"/>
              </w:rPr>
              <w:t>, non nota*</w:t>
            </w:r>
          </w:p>
        </w:tc>
      </w:tr>
      <w:tr>
        <w:trPr>
          <w:trHeight w:hRule="exact" w:val="2564"/>
        </w:trPr>
        <w:tc>
          <w:tcPr>
            <w:tcW w:w="1930" w:type="dxa"/>
            <w:tcBorders>
              <w:top w:val="single" w:sz="4" w:space="0" w:color="auto"/>
              <w:left w:val="single" w:sz="4" w:space="0" w:color="000000"/>
              <w:bottom w:val="single" w:sz="4" w:space="0" w:color="000000"/>
            </w:tcBorders>
            <w:shd w:val="clear" w:color="auto" w:fill="FFFFFF"/>
          </w:tcPr>
          <w:p>
            <w:pPr>
              <w:widowControl w:val="0"/>
              <w:shd w:val="clear" w:color="auto" w:fill="FFFFFF"/>
              <w:suppressAutoHyphens/>
              <w:autoSpaceDE w:val="0"/>
              <w:snapToGrid w:val="0"/>
              <w:spacing w:after="0" w:line="240" w:lineRule="auto"/>
              <w:ind w:hanging="5"/>
              <w:rPr>
                <w:rFonts w:ascii="Times New Roman" w:eastAsia="Times New Roman" w:hAnsi="Times New Roman"/>
                <w:color w:val="000000"/>
                <w:spacing w:val="-1"/>
                <w:lang w:val="it-IT" w:eastAsia="ar-SA"/>
              </w:rPr>
            </w:pPr>
            <w:r>
              <w:rPr>
                <w:rFonts w:ascii="Times New Roman" w:eastAsia="Times New Roman" w:hAnsi="Times New Roman"/>
                <w:color w:val="000000"/>
                <w:lang w:val="it-IT" w:eastAsia="ar-SA"/>
              </w:rPr>
              <w:t xml:space="preserve">Patologie del </w:t>
            </w:r>
            <w:r>
              <w:rPr>
                <w:rFonts w:ascii="Times New Roman" w:eastAsia="Times New Roman" w:hAnsi="Times New Roman"/>
                <w:color w:val="000000"/>
                <w:spacing w:val="-1"/>
                <w:lang w:val="it-IT" w:eastAsia="ar-SA"/>
              </w:rPr>
              <w:t>sistema emolinfopoietico</w:t>
            </w:r>
          </w:p>
        </w:tc>
        <w:tc>
          <w:tcPr>
            <w:tcW w:w="1709" w:type="dxa"/>
            <w:tcBorders>
              <w:top w:val="single" w:sz="4" w:space="0" w:color="auto"/>
              <w:left w:val="single" w:sz="4" w:space="0" w:color="000000"/>
              <w:bottom w:val="single" w:sz="4" w:space="0" w:color="000000"/>
            </w:tcBorders>
            <w:shd w:val="clear" w:color="auto" w:fill="FFFFFF"/>
          </w:tcPr>
          <w:p>
            <w:pPr>
              <w:widowControl w:val="0"/>
              <w:shd w:val="clear" w:color="auto" w:fill="FFFFFF"/>
              <w:suppressAutoHyphens/>
              <w:autoSpaceDE w:val="0"/>
              <w:snapToGrid w:val="0"/>
              <w:spacing w:after="0" w:line="240" w:lineRule="auto"/>
              <w:rPr>
                <w:rFonts w:ascii="Times New Roman" w:eastAsia="Times New Roman" w:hAnsi="Times New Roman"/>
                <w:lang w:val="it-IT" w:eastAsia="ar-SA"/>
              </w:rPr>
            </w:pPr>
          </w:p>
        </w:tc>
        <w:tc>
          <w:tcPr>
            <w:tcW w:w="1795" w:type="dxa"/>
            <w:tcBorders>
              <w:top w:val="single" w:sz="4" w:space="0" w:color="auto"/>
              <w:left w:val="single" w:sz="4" w:space="0" w:color="000000"/>
              <w:bottom w:val="single" w:sz="4" w:space="0" w:color="000000"/>
            </w:tcBorders>
            <w:shd w:val="clear" w:color="auto" w:fill="FFFFFF"/>
          </w:tcPr>
          <w:p>
            <w:pPr>
              <w:widowControl w:val="0"/>
              <w:shd w:val="clear" w:color="auto" w:fill="FFFFFF"/>
              <w:suppressAutoHyphens/>
              <w:autoSpaceDE w:val="0"/>
              <w:snapToGrid w:val="0"/>
              <w:spacing w:after="0" w:line="240" w:lineRule="auto"/>
              <w:rPr>
                <w:rFonts w:ascii="Times New Roman" w:eastAsia="Times New Roman" w:hAnsi="Times New Roman"/>
                <w:color w:val="000000"/>
                <w:lang w:val="it-IT" w:eastAsia="ar-SA"/>
              </w:rPr>
            </w:pPr>
            <w:r>
              <w:rPr>
                <w:rFonts w:ascii="Times New Roman" w:eastAsia="Times New Roman" w:hAnsi="Times New Roman"/>
                <w:color w:val="000000"/>
                <w:spacing w:val="-2"/>
                <w:lang w:val="it-IT" w:eastAsia="ar-SA"/>
              </w:rPr>
              <w:t xml:space="preserve">Trombocitopenia, </w:t>
            </w:r>
            <w:r>
              <w:rPr>
                <w:rFonts w:ascii="Times New Roman" w:eastAsia="Times New Roman" w:hAnsi="Times New Roman"/>
                <w:color w:val="000000"/>
                <w:spacing w:val="-1"/>
                <w:lang w:val="it-IT" w:eastAsia="ar-SA"/>
              </w:rPr>
              <w:t xml:space="preserve">leucopenia, </w:t>
            </w:r>
            <w:r>
              <w:rPr>
                <w:rFonts w:ascii="Times New Roman" w:eastAsia="Times New Roman" w:hAnsi="Times New Roman"/>
                <w:color w:val="000000"/>
                <w:lang w:val="it-IT" w:eastAsia="ar-SA"/>
              </w:rPr>
              <w:t>eosinofilia</w:t>
            </w:r>
          </w:p>
        </w:tc>
        <w:tc>
          <w:tcPr>
            <w:tcW w:w="1603" w:type="dxa"/>
            <w:tcBorders>
              <w:top w:val="single" w:sz="4" w:space="0" w:color="auto"/>
              <w:left w:val="single" w:sz="4" w:space="0" w:color="000000"/>
              <w:bottom w:val="single" w:sz="4" w:space="0" w:color="000000"/>
            </w:tcBorders>
            <w:shd w:val="clear" w:color="auto" w:fill="FFFFFF"/>
          </w:tcPr>
          <w:p>
            <w:pPr>
              <w:widowControl w:val="0"/>
              <w:shd w:val="clear" w:color="auto" w:fill="FFFFFF"/>
              <w:suppressAutoHyphens/>
              <w:autoSpaceDE w:val="0"/>
              <w:snapToGrid w:val="0"/>
              <w:spacing w:after="0" w:line="240" w:lineRule="auto"/>
              <w:ind w:hanging="5"/>
              <w:rPr>
                <w:rFonts w:ascii="Times New Roman" w:eastAsia="Times New Roman" w:hAnsi="Times New Roman"/>
                <w:color w:val="000000"/>
                <w:spacing w:val="-2"/>
                <w:lang w:val="it-IT" w:eastAsia="ar-SA"/>
              </w:rPr>
            </w:pPr>
            <w:r>
              <w:rPr>
                <w:rFonts w:ascii="Times New Roman" w:eastAsia="Times New Roman" w:hAnsi="Times New Roman"/>
                <w:color w:val="000000"/>
                <w:spacing w:val="-1"/>
                <w:lang w:val="it-IT" w:eastAsia="ar-SA"/>
              </w:rPr>
              <w:t xml:space="preserve">Neutropenia, inclusa </w:t>
            </w:r>
            <w:r>
              <w:rPr>
                <w:rFonts w:ascii="Times New Roman" w:eastAsia="Times New Roman" w:hAnsi="Times New Roman"/>
                <w:color w:val="000000"/>
                <w:lang w:val="it-IT" w:eastAsia="ar-SA"/>
              </w:rPr>
              <w:t xml:space="preserve">neutropenia </w:t>
            </w:r>
            <w:r>
              <w:rPr>
                <w:rFonts w:ascii="Times New Roman" w:eastAsia="Times New Roman" w:hAnsi="Times New Roman"/>
                <w:color w:val="000000"/>
                <w:spacing w:val="-2"/>
                <w:lang w:val="it-IT" w:eastAsia="ar-SA"/>
              </w:rPr>
              <w:t>grave</w:t>
            </w:r>
          </w:p>
        </w:tc>
        <w:tc>
          <w:tcPr>
            <w:tcW w:w="2501" w:type="dxa"/>
            <w:tcBorders>
              <w:top w:val="single" w:sz="4" w:space="0" w:color="auto"/>
              <w:left w:val="single" w:sz="4" w:space="0" w:color="000000"/>
              <w:bottom w:val="single" w:sz="4" w:space="0" w:color="000000"/>
              <w:right w:val="single" w:sz="4" w:space="0" w:color="000000"/>
            </w:tcBorders>
            <w:shd w:val="clear" w:color="auto" w:fill="FFFFFF"/>
          </w:tcPr>
          <w:p>
            <w:pPr>
              <w:widowControl w:val="0"/>
              <w:shd w:val="clear" w:color="auto" w:fill="FFFFFF"/>
              <w:suppressAutoHyphens/>
              <w:autoSpaceDE w:val="0"/>
              <w:snapToGrid w:val="0"/>
              <w:spacing w:after="0" w:line="240" w:lineRule="auto"/>
              <w:ind w:hanging="5"/>
              <w:rPr>
                <w:rFonts w:ascii="Times New Roman" w:eastAsia="Times New Roman" w:hAnsi="Times New Roman"/>
                <w:color w:val="000000"/>
                <w:spacing w:val="-1"/>
                <w:lang w:val="it-IT" w:eastAsia="ar-SA"/>
              </w:rPr>
            </w:pPr>
            <w:r>
              <w:rPr>
                <w:rFonts w:ascii="Times New Roman" w:eastAsia="Times New Roman" w:hAnsi="Times New Roman"/>
                <w:color w:val="000000"/>
                <w:lang w:val="it-IT" w:eastAsia="ar-SA"/>
              </w:rPr>
              <w:t xml:space="preserve">Porpora trombotica trombocitopenica (PTT) </w:t>
            </w:r>
            <w:r>
              <w:rPr>
                <w:rFonts w:ascii="Times New Roman" w:eastAsia="Times New Roman" w:hAnsi="Times New Roman"/>
                <w:color w:val="000000"/>
                <w:spacing w:val="-1"/>
                <w:lang w:val="it-IT" w:eastAsia="ar-SA"/>
              </w:rPr>
              <w:t xml:space="preserve">(vedere paragrafo 4.4), anemia aplastica, pancitopenia, agranulocitosi, trombocitopenia grave, </w:t>
            </w:r>
            <w:r>
              <w:rPr>
                <w:rFonts w:ascii="Times New Roman" w:hAnsi="Times New Roman"/>
                <w:bCs/>
                <w:color w:val="000000"/>
                <w:lang w:val="it-IT"/>
              </w:rPr>
              <w:t xml:space="preserve">emofilia A acquisita, </w:t>
            </w:r>
            <w:r>
              <w:rPr>
                <w:rFonts w:ascii="Times New Roman" w:eastAsia="Times New Roman" w:hAnsi="Times New Roman"/>
                <w:color w:val="000000"/>
                <w:spacing w:val="-1"/>
                <w:lang w:val="it-IT" w:eastAsia="ar-SA"/>
              </w:rPr>
              <w:t>granulocitopenia, anemia</w:t>
            </w:r>
          </w:p>
        </w:tc>
      </w:tr>
      <w:tr>
        <w:trPr>
          <w:trHeight w:hRule="exact" w:val="1787"/>
        </w:trPr>
        <w:tc>
          <w:tcPr>
            <w:tcW w:w="1930" w:type="dxa"/>
            <w:tcBorders>
              <w:top w:val="single" w:sz="4" w:space="0" w:color="000000"/>
              <w:left w:val="single" w:sz="4" w:space="0" w:color="000000"/>
              <w:bottom w:val="single" w:sz="4" w:space="0" w:color="000000"/>
            </w:tcBorders>
            <w:shd w:val="clear" w:color="auto" w:fill="FFFFFF"/>
          </w:tcPr>
          <w:p>
            <w:pPr>
              <w:widowControl w:val="0"/>
              <w:shd w:val="clear" w:color="auto" w:fill="FFFFFF"/>
              <w:suppressAutoHyphens/>
              <w:autoSpaceDE w:val="0"/>
              <w:snapToGrid w:val="0"/>
              <w:spacing w:after="0" w:line="240" w:lineRule="auto"/>
              <w:ind w:hanging="5"/>
              <w:rPr>
                <w:rFonts w:ascii="Times New Roman" w:eastAsia="Times New Roman" w:hAnsi="Times New Roman"/>
                <w:color w:val="000000"/>
                <w:lang w:val="it-IT" w:eastAsia="ar-SA"/>
              </w:rPr>
            </w:pPr>
            <w:r>
              <w:rPr>
                <w:rFonts w:ascii="Times New Roman" w:hAnsi="Times New Roman"/>
                <w:bCs/>
                <w:color w:val="000000"/>
                <w:lang w:val="it-IT"/>
              </w:rPr>
              <w:t>Patologie cardiache</w:t>
            </w:r>
          </w:p>
        </w:tc>
        <w:tc>
          <w:tcPr>
            <w:tcW w:w="1709" w:type="dxa"/>
            <w:tcBorders>
              <w:top w:val="single" w:sz="4" w:space="0" w:color="000000"/>
              <w:left w:val="single" w:sz="4" w:space="0" w:color="000000"/>
              <w:bottom w:val="single" w:sz="4" w:space="0" w:color="000000"/>
            </w:tcBorders>
            <w:shd w:val="clear" w:color="auto" w:fill="FFFFFF"/>
          </w:tcPr>
          <w:p>
            <w:pPr>
              <w:widowControl w:val="0"/>
              <w:shd w:val="clear" w:color="auto" w:fill="FFFFFF"/>
              <w:suppressAutoHyphens/>
              <w:autoSpaceDE w:val="0"/>
              <w:snapToGrid w:val="0"/>
              <w:spacing w:after="0" w:line="240" w:lineRule="auto"/>
              <w:rPr>
                <w:rFonts w:ascii="Times New Roman" w:eastAsia="Times New Roman" w:hAnsi="Times New Roman"/>
                <w:lang w:val="it-IT" w:eastAsia="ar-SA"/>
              </w:rPr>
            </w:pPr>
          </w:p>
        </w:tc>
        <w:tc>
          <w:tcPr>
            <w:tcW w:w="1795" w:type="dxa"/>
            <w:tcBorders>
              <w:top w:val="single" w:sz="4" w:space="0" w:color="000000"/>
              <w:left w:val="single" w:sz="4" w:space="0" w:color="000000"/>
              <w:bottom w:val="single" w:sz="4" w:space="0" w:color="000000"/>
            </w:tcBorders>
            <w:shd w:val="clear" w:color="auto" w:fill="FFFFFF"/>
          </w:tcPr>
          <w:p>
            <w:pPr>
              <w:widowControl w:val="0"/>
              <w:shd w:val="clear" w:color="auto" w:fill="FFFFFF"/>
              <w:suppressAutoHyphens/>
              <w:autoSpaceDE w:val="0"/>
              <w:snapToGrid w:val="0"/>
              <w:spacing w:after="0" w:line="240" w:lineRule="auto"/>
              <w:rPr>
                <w:rFonts w:ascii="Times New Roman" w:eastAsia="Times New Roman" w:hAnsi="Times New Roman"/>
                <w:lang w:val="it-IT" w:eastAsia="ar-SA"/>
              </w:rPr>
            </w:pPr>
          </w:p>
        </w:tc>
        <w:tc>
          <w:tcPr>
            <w:tcW w:w="1603" w:type="dxa"/>
            <w:tcBorders>
              <w:top w:val="single" w:sz="4" w:space="0" w:color="000000"/>
              <w:left w:val="single" w:sz="4" w:space="0" w:color="000000"/>
              <w:bottom w:val="single" w:sz="4" w:space="0" w:color="000000"/>
            </w:tcBorders>
            <w:shd w:val="clear" w:color="auto" w:fill="FFFFFF"/>
          </w:tcPr>
          <w:p>
            <w:pPr>
              <w:widowControl w:val="0"/>
              <w:shd w:val="clear" w:color="auto" w:fill="FFFFFF"/>
              <w:suppressAutoHyphens/>
              <w:autoSpaceDE w:val="0"/>
              <w:snapToGrid w:val="0"/>
              <w:spacing w:after="0" w:line="240" w:lineRule="auto"/>
              <w:rPr>
                <w:rFonts w:ascii="Times New Roman" w:eastAsia="Times New Roman" w:hAnsi="Times New Roman"/>
                <w:lang w:val="it-IT" w:eastAsia="ar-SA"/>
              </w:rPr>
            </w:pPr>
          </w:p>
        </w:tc>
        <w:tc>
          <w:tcPr>
            <w:tcW w:w="2501" w:type="dxa"/>
            <w:tcBorders>
              <w:top w:val="single" w:sz="4" w:space="0" w:color="000000"/>
              <w:left w:val="single" w:sz="4" w:space="0" w:color="000000"/>
              <w:bottom w:val="single" w:sz="4" w:space="0" w:color="000000"/>
              <w:right w:val="single" w:sz="4" w:space="0" w:color="000000"/>
            </w:tcBorders>
            <w:shd w:val="clear" w:color="auto" w:fill="FFFFFF"/>
          </w:tcPr>
          <w:p>
            <w:pPr>
              <w:widowControl w:val="0"/>
              <w:shd w:val="clear" w:color="auto" w:fill="FFFFFF"/>
              <w:suppressAutoHyphens/>
              <w:autoSpaceDE w:val="0"/>
              <w:snapToGrid w:val="0"/>
              <w:spacing w:after="0" w:line="240" w:lineRule="auto"/>
              <w:ind w:hanging="5"/>
              <w:rPr>
                <w:rFonts w:ascii="Times New Roman" w:eastAsia="Times New Roman" w:hAnsi="Times New Roman"/>
                <w:color w:val="000000"/>
                <w:spacing w:val="-1"/>
                <w:lang w:val="it-IT" w:eastAsia="ar-SA"/>
              </w:rPr>
            </w:pPr>
            <w:r>
              <w:rPr>
                <w:rFonts w:ascii="Times New Roman" w:hAnsi="Times New Roman"/>
                <w:bCs/>
                <w:color w:val="000000"/>
                <w:lang w:val="it-IT"/>
              </w:rPr>
              <w:t>Sindrome di Kounis (angina allergica vasospastica / infarto miocardico allergico) nel contesto di una reazione di ipersensibilità dovuta a  clopidogrel *</w:t>
            </w:r>
          </w:p>
        </w:tc>
      </w:tr>
      <w:tr>
        <w:trPr>
          <w:trHeight w:hRule="exact" w:val="3845"/>
        </w:trPr>
        <w:tc>
          <w:tcPr>
            <w:tcW w:w="1930" w:type="dxa"/>
            <w:tcBorders>
              <w:top w:val="single" w:sz="4" w:space="0" w:color="000000"/>
              <w:left w:val="single" w:sz="4" w:space="0" w:color="000000"/>
              <w:bottom w:val="single" w:sz="4" w:space="0" w:color="000000"/>
            </w:tcBorders>
            <w:shd w:val="clear" w:color="auto" w:fill="FFFFFF"/>
          </w:tcPr>
          <w:p>
            <w:pPr>
              <w:widowControl w:val="0"/>
              <w:shd w:val="clear" w:color="auto" w:fill="FFFFFF"/>
              <w:suppressAutoHyphens/>
              <w:autoSpaceDE w:val="0"/>
              <w:snapToGrid w:val="0"/>
              <w:spacing w:after="0" w:line="240" w:lineRule="auto"/>
              <w:ind w:hanging="5"/>
              <w:rPr>
                <w:rFonts w:ascii="Times New Roman" w:eastAsia="Times New Roman" w:hAnsi="Times New Roman"/>
                <w:color w:val="000000"/>
                <w:spacing w:val="-2"/>
                <w:lang w:val="it-IT" w:eastAsia="ar-SA"/>
              </w:rPr>
            </w:pPr>
            <w:r>
              <w:rPr>
                <w:rFonts w:ascii="Times New Roman" w:eastAsia="Times New Roman" w:hAnsi="Times New Roman"/>
                <w:color w:val="000000"/>
                <w:lang w:val="it-IT" w:eastAsia="ar-SA"/>
              </w:rPr>
              <w:t xml:space="preserve">Disturbi del </w:t>
            </w:r>
            <w:r>
              <w:rPr>
                <w:rFonts w:ascii="Times New Roman" w:eastAsia="Times New Roman" w:hAnsi="Times New Roman"/>
                <w:color w:val="000000"/>
                <w:spacing w:val="-1"/>
                <w:lang w:val="it-IT" w:eastAsia="ar-SA"/>
              </w:rPr>
              <w:t xml:space="preserve">sistema </w:t>
            </w:r>
            <w:r>
              <w:rPr>
                <w:rFonts w:ascii="Times New Roman" w:eastAsia="Times New Roman" w:hAnsi="Times New Roman"/>
                <w:color w:val="000000"/>
                <w:spacing w:val="-2"/>
                <w:lang w:val="it-IT" w:eastAsia="ar-SA"/>
              </w:rPr>
              <w:t>immunitario</w:t>
            </w:r>
          </w:p>
        </w:tc>
        <w:tc>
          <w:tcPr>
            <w:tcW w:w="1709" w:type="dxa"/>
            <w:tcBorders>
              <w:top w:val="single" w:sz="4" w:space="0" w:color="000000"/>
              <w:left w:val="single" w:sz="4" w:space="0" w:color="000000"/>
              <w:bottom w:val="single" w:sz="4" w:space="0" w:color="000000"/>
            </w:tcBorders>
            <w:shd w:val="clear" w:color="auto" w:fill="FFFFFF"/>
          </w:tcPr>
          <w:p>
            <w:pPr>
              <w:widowControl w:val="0"/>
              <w:shd w:val="clear" w:color="auto" w:fill="FFFFFF"/>
              <w:suppressAutoHyphens/>
              <w:autoSpaceDE w:val="0"/>
              <w:snapToGrid w:val="0"/>
              <w:spacing w:after="0" w:line="240" w:lineRule="auto"/>
              <w:rPr>
                <w:rFonts w:ascii="Times New Roman" w:eastAsia="Times New Roman" w:hAnsi="Times New Roman"/>
                <w:lang w:val="it-IT" w:eastAsia="ar-SA"/>
              </w:rPr>
            </w:pPr>
          </w:p>
        </w:tc>
        <w:tc>
          <w:tcPr>
            <w:tcW w:w="1795" w:type="dxa"/>
            <w:tcBorders>
              <w:top w:val="single" w:sz="4" w:space="0" w:color="000000"/>
              <w:left w:val="single" w:sz="4" w:space="0" w:color="000000"/>
              <w:bottom w:val="single" w:sz="4" w:space="0" w:color="000000"/>
            </w:tcBorders>
            <w:shd w:val="clear" w:color="auto" w:fill="FFFFFF"/>
          </w:tcPr>
          <w:p>
            <w:pPr>
              <w:widowControl w:val="0"/>
              <w:shd w:val="clear" w:color="auto" w:fill="FFFFFF"/>
              <w:suppressAutoHyphens/>
              <w:autoSpaceDE w:val="0"/>
              <w:snapToGrid w:val="0"/>
              <w:spacing w:after="0" w:line="240" w:lineRule="auto"/>
              <w:rPr>
                <w:rFonts w:ascii="Times New Roman" w:eastAsia="Times New Roman" w:hAnsi="Times New Roman"/>
                <w:lang w:val="it-IT" w:eastAsia="ar-SA"/>
              </w:rPr>
            </w:pPr>
          </w:p>
        </w:tc>
        <w:tc>
          <w:tcPr>
            <w:tcW w:w="1603" w:type="dxa"/>
            <w:tcBorders>
              <w:top w:val="single" w:sz="4" w:space="0" w:color="000000"/>
              <w:left w:val="single" w:sz="4" w:space="0" w:color="000000"/>
              <w:bottom w:val="single" w:sz="4" w:space="0" w:color="000000"/>
            </w:tcBorders>
            <w:shd w:val="clear" w:color="auto" w:fill="FFFFFF"/>
          </w:tcPr>
          <w:p>
            <w:pPr>
              <w:widowControl w:val="0"/>
              <w:shd w:val="clear" w:color="auto" w:fill="FFFFFF"/>
              <w:suppressAutoHyphens/>
              <w:autoSpaceDE w:val="0"/>
              <w:snapToGrid w:val="0"/>
              <w:spacing w:after="0" w:line="240" w:lineRule="auto"/>
              <w:rPr>
                <w:rFonts w:ascii="Times New Roman" w:eastAsia="Times New Roman" w:hAnsi="Times New Roman"/>
                <w:lang w:val="it-IT" w:eastAsia="ar-SA"/>
              </w:rPr>
            </w:pPr>
          </w:p>
        </w:tc>
        <w:tc>
          <w:tcPr>
            <w:tcW w:w="2501" w:type="dxa"/>
            <w:tcBorders>
              <w:top w:val="single" w:sz="4" w:space="0" w:color="000000"/>
              <w:left w:val="single" w:sz="4" w:space="0" w:color="000000"/>
              <w:bottom w:val="single" w:sz="4" w:space="0" w:color="000000"/>
              <w:right w:val="single" w:sz="4" w:space="0" w:color="000000"/>
            </w:tcBorders>
            <w:shd w:val="clear" w:color="auto" w:fill="FFFFFF"/>
          </w:tcPr>
          <w:p>
            <w:pPr>
              <w:widowControl w:val="0"/>
              <w:shd w:val="clear" w:color="auto" w:fill="FFFFFF"/>
              <w:suppressAutoHyphens/>
              <w:autoSpaceDE w:val="0"/>
              <w:snapToGrid w:val="0"/>
              <w:spacing w:after="0" w:line="240" w:lineRule="auto"/>
              <w:ind w:hanging="5"/>
              <w:rPr>
                <w:rFonts w:ascii="Times New Roman" w:eastAsia="Times New Roman" w:hAnsi="Times New Roman"/>
                <w:color w:val="000000"/>
                <w:spacing w:val="-1"/>
                <w:lang w:val="it-IT" w:eastAsia="ar-SA"/>
              </w:rPr>
            </w:pPr>
            <w:r>
              <w:rPr>
                <w:rFonts w:ascii="Times New Roman" w:eastAsia="Times New Roman" w:hAnsi="Times New Roman"/>
                <w:color w:val="000000"/>
                <w:spacing w:val="-1"/>
                <w:lang w:val="it-IT" w:eastAsia="ar-SA"/>
              </w:rPr>
              <w:t>Malattia da siero, reazioni anafilattoidi,</w:t>
            </w:r>
            <w:r>
              <w:rPr>
                <w:rFonts w:ascii="Times New Roman" w:eastAsia="Times New Roman" w:hAnsi="Times New Roman"/>
                <w:bCs/>
                <w:color w:val="000000"/>
                <w:lang w:val="it-IT" w:eastAsia="ar-SA"/>
              </w:rPr>
              <w:t xml:space="preserve"> reazione crociata di ipersensibilità tra le tienopiridine (come ticlopidina, prasugrel) (vedere paragrafo 4.4)*, </w:t>
            </w:r>
            <w:r>
              <w:rPr>
                <w:rFonts w:ascii="Times New Roman" w:hAnsi="Times New Roman"/>
                <w:bCs/>
                <w:color w:val="000000"/>
                <w:lang w:val="it-IT"/>
              </w:rPr>
              <w:t>sindrome insulinica autoimmune, che può portare a grave ipoglicemia, in particolare nei pazienti con sottotipo HLA DRA4 (più frequente nella popolazione giapponese)*</w:t>
            </w:r>
          </w:p>
        </w:tc>
      </w:tr>
      <w:tr>
        <w:trPr>
          <w:trHeight w:hRule="exact" w:val="689"/>
        </w:trPr>
        <w:tc>
          <w:tcPr>
            <w:tcW w:w="1930" w:type="dxa"/>
            <w:tcBorders>
              <w:left w:val="single" w:sz="4" w:space="0" w:color="000000"/>
              <w:bottom w:val="single" w:sz="4" w:space="0" w:color="000000"/>
            </w:tcBorders>
            <w:shd w:val="clear" w:color="auto" w:fill="FFFFFF"/>
          </w:tcPr>
          <w:p>
            <w:pPr>
              <w:widowControl w:val="0"/>
              <w:shd w:val="clear" w:color="auto" w:fill="FFFFFF"/>
              <w:suppressAutoHyphens/>
              <w:autoSpaceDE w:val="0"/>
              <w:snapToGrid w:val="0"/>
              <w:spacing w:after="0" w:line="240" w:lineRule="auto"/>
              <w:ind w:hanging="5"/>
              <w:rPr>
                <w:rFonts w:ascii="Times New Roman" w:eastAsia="Times New Roman" w:hAnsi="Times New Roman"/>
                <w:color w:val="000000"/>
                <w:spacing w:val="-1"/>
                <w:lang w:val="it-IT" w:eastAsia="ar-SA"/>
              </w:rPr>
            </w:pPr>
            <w:r>
              <w:rPr>
                <w:rFonts w:ascii="Times New Roman" w:eastAsia="Times New Roman" w:hAnsi="Times New Roman"/>
                <w:color w:val="000000"/>
                <w:lang w:val="it-IT" w:eastAsia="ar-SA"/>
              </w:rPr>
              <w:t xml:space="preserve">Disturbi </w:t>
            </w:r>
            <w:r>
              <w:rPr>
                <w:rFonts w:ascii="Times New Roman" w:eastAsia="Times New Roman" w:hAnsi="Times New Roman"/>
                <w:color w:val="000000"/>
                <w:spacing w:val="-1"/>
                <w:lang w:val="it-IT" w:eastAsia="ar-SA"/>
              </w:rPr>
              <w:t>psichiatrici</w:t>
            </w:r>
          </w:p>
        </w:tc>
        <w:tc>
          <w:tcPr>
            <w:tcW w:w="1709" w:type="dxa"/>
            <w:tcBorders>
              <w:left w:val="single" w:sz="4" w:space="0" w:color="000000"/>
              <w:bottom w:val="single" w:sz="4" w:space="0" w:color="000000"/>
            </w:tcBorders>
            <w:shd w:val="clear" w:color="auto" w:fill="FFFFFF"/>
          </w:tcPr>
          <w:p>
            <w:pPr>
              <w:widowControl w:val="0"/>
              <w:shd w:val="clear" w:color="auto" w:fill="FFFFFF"/>
              <w:suppressAutoHyphens/>
              <w:autoSpaceDE w:val="0"/>
              <w:snapToGrid w:val="0"/>
              <w:spacing w:after="0" w:line="240" w:lineRule="auto"/>
              <w:rPr>
                <w:rFonts w:ascii="Times New Roman" w:eastAsia="Times New Roman" w:hAnsi="Times New Roman"/>
                <w:lang w:val="it-IT" w:eastAsia="ar-SA"/>
              </w:rPr>
            </w:pPr>
          </w:p>
        </w:tc>
        <w:tc>
          <w:tcPr>
            <w:tcW w:w="1795" w:type="dxa"/>
            <w:tcBorders>
              <w:left w:val="single" w:sz="4" w:space="0" w:color="000000"/>
              <w:bottom w:val="single" w:sz="4" w:space="0" w:color="000000"/>
            </w:tcBorders>
            <w:shd w:val="clear" w:color="auto" w:fill="FFFFFF"/>
          </w:tcPr>
          <w:p>
            <w:pPr>
              <w:widowControl w:val="0"/>
              <w:shd w:val="clear" w:color="auto" w:fill="FFFFFF"/>
              <w:suppressAutoHyphens/>
              <w:autoSpaceDE w:val="0"/>
              <w:snapToGrid w:val="0"/>
              <w:spacing w:after="0" w:line="240" w:lineRule="auto"/>
              <w:rPr>
                <w:rFonts w:ascii="Times New Roman" w:eastAsia="Times New Roman" w:hAnsi="Times New Roman"/>
                <w:lang w:val="it-IT" w:eastAsia="ar-SA"/>
              </w:rPr>
            </w:pPr>
          </w:p>
        </w:tc>
        <w:tc>
          <w:tcPr>
            <w:tcW w:w="1603" w:type="dxa"/>
            <w:tcBorders>
              <w:left w:val="single" w:sz="4" w:space="0" w:color="000000"/>
              <w:bottom w:val="single" w:sz="4" w:space="0" w:color="000000"/>
            </w:tcBorders>
            <w:shd w:val="clear" w:color="auto" w:fill="FFFFFF"/>
          </w:tcPr>
          <w:p>
            <w:pPr>
              <w:widowControl w:val="0"/>
              <w:shd w:val="clear" w:color="auto" w:fill="FFFFFF"/>
              <w:suppressAutoHyphens/>
              <w:autoSpaceDE w:val="0"/>
              <w:snapToGrid w:val="0"/>
              <w:spacing w:after="0" w:line="240" w:lineRule="auto"/>
              <w:rPr>
                <w:rFonts w:ascii="Times New Roman" w:eastAsia="Times New Roman" w:hAnsi="Times New Roman"/>
                <w:lang w:val="it-IT" w:eastAsia="ar-SA"/>
              </w:rPr>
            </w:pPr>
          </w:p>
        </w:tc>
        <w:tc>
          <w:tcPr>
            <w:tcW w:w="2501" w:type="dxa"/>
            <w:tcBorders>
              <w:left w:val="single" w:sz="4" w:space="0" w:color="000000"/>
              <w:bottom w:val="single" w:sz="4" w:space="0" w:color="000000"/>
              <w:right w:val="single" w:sz="4" w:space="0" w:color="000000"/>
            </w:tcBorders>
            <w:shd w:val="clear" w:color="auto" w:fill="FFFFFF"/>
          </w:tcPr>
          <w:p>
            <w:pPr>
              <w:widowControl w:val="0"/>
              <w:shd w:val="clear" w:color="auto" w:fill="FFFFFF"/>
              <w:suppressAutoHyphens/>
              <w:autoSpaceDE w:val="0"/>
              <w:snapToGrid w:val="0"/>
              <w:spacing w:after="0" w:line="240" w:lineRule="auto"/>
              <w:rPr>
                <w:rFonts w:ascii="Times New Roman" w:eastAsia="Times New Roman" w:hAnsi="Times New Roman"/>
                <w:color w:val="000000"/>
                <w:spacing w:val="-1"/>
                <w:lang w:val="it-IT" w:eastAsia="ar-SA"/>
              </w:rPr>
            </w:pPr>
            <w:r>
              <w:rPr>
                <w:rFonts w:ascii="Times New Roman" w:eastAsia="Times New Roman" w:hAnsi="Times New Roman"/>
                <w:color w:val="000000"/>
                <w:spacing w:val="-1"/>
                <w:lang w:val="it-IT" w:eastAsia="ar-SA"/>
              </w:rPr>
              <w:t>Allucinazioni, confusione</w:t>
            </w:r>
          </w:p>
        </w:tc>
      </w:tr>
      <w:tr>
        <w:trPr>
          <w:trHeight w:hRule="exact" w:val="1783"/>
        </w:trPr>
        <w:tc>
          <w:tcPr>
            <w:tcW w:w="1930" w:type="dxa"/>
            <w:tcBorders>
              <w:top w:val="single" w:sz="4" w:space="0" w:color="000000"/>
              <w:left w:val="single" w:sz="4" w:space="0" w:color="000000"/>
              <w:bottom w:val="single" w:sz="4" w:space="0" w:color="000000"/>
            </w:tcBorders>
            <w:shd w:val="clear" w:color="auto" w:fill="FFFFFF"/>
          </w:tcPr>
          <w:p>
            <w:pPr>
              <w:widowControl w:val="0"/>
              <w:shd w:val="clear" w:color="auto" w:fill="FFFFFF"/>
              <w:suppressAutoHyphens/>
              <w:autoSpaceDE w:val="0"/>
              <w:snapToGrid w:val="0"/>
              <w:spacing w:after="0" w:line="240" w:lineRule="auto"/>
              <w:ind w:hanging="5"/>
              <w:rPr>
                <w:rFonts w:ascii="Times New Roman" w:eastAsia="Times New Roman" w:hAnsi="Times New Roman"/>
                <w:color w:val="000000"/>
                <w:spacing w:val="-2"/>
                <w:lang w:val="it-IT" w:eastAsia="ar-SA"/>
              </w:rPr>
            </w:pPr>
            <w:r>
              <w:rPr>
                <w:rFonts w:ascii="Times New Roman" w:eastAsia="Times New Roman" w:hAnsi="Times New Roman"/>
                <w:color w:val="000000"/>
                <w:lang w:val="it-IT" w:eastAsia="ar-SA"/>
              </w:rPr>
              <w:t xml:space="preserve">Patologie del </w:t>
            </w:r>
            <w:r>
              <w:rPr>
                <w:rFonts w:ascii="Times New Roman" w:eastAsia="Times New Roman" w:hAnsi="Times New Roman"/>
                <w:color w:val="000000"/>
                <w:spacing w:val="-2"/>
                <w:lang w:val="it-IT" w:eastAsia="ar-SA"/>
              </w:rPr>
              <w:t>sistema nervoso</w:t>
            </w:r>
          </w:p>
        </w:tc>
        <w:tc>
          <w:tcPr>
            <w:tcW w:w="1709" w:type="dxa"/>
            <w:tcBorders>
              <w:top w:val="single" w:sz="4" w:space="0" w:color="000000"/>
              <w:left w:val="single" w:sz="4" w:space="0" w:color="000000"/>
              <w:bottom w:val="single" w:sz="4" w:space="0" w:color="000000"/>
            </w:tcBorders>
            <w:shd w:val="clear" w:color="auto" w:fill="FFFFFF"/>
          </w:tcPr>
          <w:p>
            <w:pPr>
              <w:widowControl w:val="0"/>
              <w:shd w:val="clear" w:color="auto" w:fill="FFFFFF"/>
              <w:suppressAutoHyphens/>
              <w:autoSpaceDE w:val="0"/>
              <w:snapToGrid w:val="0"/>
              <w:spacing w:after="0" w:line="240" w:lineRule="auto"/>
              <w:rPr>
                <w:rFonts w:ascii="Times New Roman" w:eastAsia="Times New Roman" w:hAnsi="Times New Roman"/>
                <w:lang w:val="it-IT" w:eastAsia="ar-SA"/>
              </w:rPr>
            </w:pPr>
          </w:p>
        </w:tc>
        <w:tc>
          <w:tcPr>
            <w:tcW w:w="1795" w:type="dxa"/>
            <w:tcBorders>
              <w:top w:val="single" w:sz="4" w:space="0" w:color="000000"/>
              <w:left w:val="single" w:sz="4" w:space="0" w:color="000000"/>
              <w:bottom w:val="single" w:sz="4" w:space="0" w:color="000000"/>
            </w:tcBorders>
            <w:shd w:val="clear" w:color="auto" w:fill="FFFFFF"/>
          </w:tcPr>
          <w:p>
            <w:pPr>
              <w:widowControl w:val="0"/>
              <w:shd w:val="clear" w:color="auto" w:fill="FFFFFF"/>
              <w:suppressAutoHyphens/>
              <w:autoSpaceDE w:val="0"/>
              <w:snapToGrid w:val="0"/>
              <w:spacing w:after="0" w:line="240" w:lineRule="auto"/>
              <w:ind w:firstLine="5"/>
              <w:rPr>
                <w:rFonts w:ascii="Times New Roman" w:eastAsia="Times New Roman" w:hAnsi="Times New Roman"/>
                <w:color w:val="000000"/>
                <w:spacing w:val="-1"/>
                <w:lang w:val="it-IT" w:eastAsia="ar-SA"/>
              </w:rPr>
            </w:pPr>
            <w:r>
              <w:rPr>
                <w:rFonts w:ascii="Times New Roman" w:eastAsia="Times New Roman" w:hAnsi="Times New Roman"/>
                <w:color w:val="000000"/>
                <w:spacing w:val="-3"/>
                <w:lang w:val="it-IT" w:eastAsia="ar-SA"/>
              </w:rPr>
              <w:t xml:space="preserve">Sanguinamento </w:t>
            </w:r>
            <w:r>
              <w:rPr>
                <w:rFonts w:ascii="Times New Roman" w:eastAsia="Times New Roman" w:hAnsi="Times New Roman"/>
                <w:color w:val="000000"/>
                <w:spacing w:val="-1"/>
                <w:lang w:val="it-IT" w:eastAsia="ar-SA"/>
              </w:rPr>
              <w:t xml:space="preserve">intracranico (sono stati </w:t>
            </w:r>
            <w:r>
              <w:rPr>
                <w:rFonts w:ascii="Times New Roman" w:eastAsia="Times New Roman" w:hAnsi="Times New Roman"/>
                <w:color w:val="000000"/>
                <w:spacing w:val="-2"/>
                <w:lang w:val="it-IT" w:eastAsia="ar-SA"/>
              </w:rPr>
              <w:t xml:space="preserve">segnalati alcuni </w:t>
            </w:r>
            <w:r>
              <w:rPr>
                <w:rFonts w:ascii="Times New Roman" w:eastAsia="Times New Roman" w:hAnsi="Times New Roman"/>
                <w:color w:val="000000"/>
                <w:spacing w:val="-1"/>
                <w:lang w:val="it-IT" w:eastAsia="ar-SA"/>
              </w:rPr>
              <w:t xml:space="preserve">casi ad esito fatale), cefalea, </w:t>
            </w:r>
            <w:r>
              <w:rPr>
                <w:rFonts w:ascii="Times New Roman" w:eastAsia="Times New Roman" w:hAnsi="Times New Roman"/>
                <w:color w:val="000000"/>
                <w:lang w:val="it-IT" w:eastAsia="ar-SA"/>
              </w:rPr>
              <w:t xml:space="preserve">parestesia, </w:t>
            </w:r>
            <w:r>
              <w:rPr>
                <w:rFonts w:ascii="Times New Roman" w:eastAsia="Times New Roman" w:hAnsi="Times New Roman"/>
                <w:color w:val="000000"/>
                <w:spacing w:val="-1"/>
                <w:lang w:val="it-IT" w:eastAsia="ar-SA"/>
              </w:rPr>
              <w:t>capogiro</w:t>
            </w:r>
          </w:p>
        </w:tc>
        <w:tc>
          <w:tcPr>
            <w:tcW w:w="1603" w:type="dxa"/>
            <w:tcBorders>
              <w:top w:val="single" w:sz="4" w:space="0" w:color="000000"/>
              <w:left w:val="single" w:sz="4" w:space="0" w:color="000000"/>
              <w:bottom w:val="single" w:sz="4" w:space="0" w:color="000000"/>
            </w:tcBorders>
            <w:shd w:val="clear" w:color="auto" w:fill="FFFFFF"/>
          </w:tcPr>
          <w:p>
            <w:pPr>
              <w:widowControl w:val="0"/>
              <w:shd w:val="clear" w:color="auto" w:fill="FFFFFF"/>
              <w:suppressAutoHyphens/>
              <w:autoSpaceDE w:val="0"/>
              <w:snapToGrid w:val="0"/>
              <w:spacing w:after="0" w:line="240" w:lineRule="auto"/>
              <w:rPr>
                <w:rFonts w:ascii="Times New Roman" w:eastAsia="Times New Roman" w:hAnsi="Times New Roman"/>
                <w:lang w:val="it-IT" w:eastAsia="ar-SA"/>
              </w:rPr>
            </w:pPr>
          </w:p>
        </w:tc>
        <w:tc>
          <w:tcPr>
            <w:tcW w:w="2501" w:type="dxa"/>
            <w:tcBorders>
              <w:top w:val="single" w:sz="4" w:space="0" w:color="000000"/>
              <w:left w:val="single" w:sz="4" w:space="0" w:color="000000"/>
              <w:bottom w:val="single" w:sz="4" w:space="0" w:color="000000"/>
              <w:right w:val="single" w:sz="4" w:space="0" w:color="000000"/>
            </w:tcBorders>
            <w:shd w:val="clear" w:color="auto" w:fill="FFFFFF"/>
          </w:tcPr>
          <w:p>
            <w:pPr>
              <w:widowControl w:val="0"/>
              <w:shd w:val="clear" w:color="auto" w:fill="FFFFFF"/>
              <w:suppressAutoHyphens/>
              <w:autoSpaceDE w:val="0"/>
              <w:snapToGrid w:val="0"/>
              <w:spacing w:after="0" w:line="240" w:lineRule="auto"/>
              <w:rPr>
                <w:rFonts w:ascii="Times New Roman" w:eastAsia="Times New Roman" w:hAnsi="Times New Roman"/>
                <w:color w:val="000000"/>
                <w:lang w:val="it-IT" w:eastAsia="ar-SA"/>
              </w:rPr>
            </w:pPr>
            <w:r>
              <w:rPr>
                <w:rFonts w:ascii="Times New Roman" w:eastAsia="Times New Roman" w:hAnsi="Times New Roman"/>
                <w:color w:val="000000"/>
                <w:lang w:val="it-IT" w:eastAsia="ar-SA"/>
              </w:rPr>
              <w:t xml:space="preserve">Alterazioni del gusto, </w:t>
            </w:r>
            <w:r>
              <w:rPr>
                <w:rFonts w:ascii="Times New Roman" w:eastAsia="Times New Roman" w:hAnsi="Times New Roman"/>
                <w:bCs/>
                <w:color w:val="000000"/>
                <w:lang w:val="it-IT" w:eastAsia="ar-SA"/>
              </w:rPr>
              <w:t>ageusia</w:t>
            </w:r>
          </w:p>
        </w:tc>
      </w:tr>
      <w:tr>
        <w:trPr>
          <w:trHeight w:hRule="exact" w:val="989"/>
        </w:trPr>
        <w:tc>
          <w:tcPr>
            <w:tcW w:w="1930" w:type="dxa"/>
            <w:tcBorders>
              <w:left w:val="single" w:sz="4" w:space="0" w:color="000000"/>
              <w:bottom w:val="single" w:sz="4" w:space="0" w:color="000000"/>
            </w:tcBorders>
            <w:shd w:val="clear" w:color="auto" w:fill="FFFFFF"/>
          </w:tcPr>
          <w:p>
            <w:pPr>
              <w:widowControl w:val="0"/>
              <w:shd w:val="clear" w:color="auto" w:fill="FFFFFF"/>
              <w:suppressAutoHyphens/>
              <w:autoSpaceDE w:val="0"/>
              <w:snapToGrid w:val="0"/>
              <w:spacing w:after="0" w:line="240" w:lineRule="auto"/>
              <w:ind w:hanging="5"/>
              <w:rPr>
                <w:rFonts w:ascii="Times New Roman" w:eastAsia="Times New Roman" w:hAnsi="Times New Roman"/>
                <w:color w:val="000000"/>
                <w:spacing w:val="2"/>
                <w:lang w:val="it-IT" w:eastAsia="ar-SA"/>
              </w:rPr>
            </w:pPr>
            <w:r>
              <w:rPr>
                <w:rFonts w:ascii="Times New Roman" w:eastAsia="Times New Roman" w:hAnsi="Times New Roman"/>
                <w:color w:val="000000"/>
                <w:lang w:val="it-IT" w:eastAsia="ar-SA"/>
              </w:rPr>
              <w:t xml:space="preserve">Patologie </w:t>
            </w:r>
            <w:r>
              <w:rPr>
                <w:rFonts w:ascii="Times New Roman" w:eastAsia="Times New Roman" w:hAnsi="Times New Roman"/>
                <w:color w:val="000000"/>
                <w:spacing w:val="2"/>
                <w:lang w:val="it-IT" w:eastAsia="ar-SA"/>
              </w:rPr>
              <w:t>dell'occhio</w:t>
            </w:r>
          </w:p>
        </w:tc>
        <w:tc>
          <w:tcPr>
            <w:tcW w:w="1709" w:type="dxa"/>
            <w:tcBorders>
              <w:left w:val="single" w:sz="4" w:space="0" w:color="000000"/>
              <w:bottom w:val="single" w:sz="4" w:space="0" w:color="000000"/>
            </w:tcBorders>
            <w:shd w:val="clear" w:color="auto" w:fill="FFFFFF"/>
          </w:tcPr>
          <w:p>
            <w:pPr>
              <w:widowControl w:val="0"/>
              <w:shd w:val="clear" w:color="auto" w:fill="FFFFFF"/>
              <w:suppressAutoHyphens/>
              <w:autoSpaceDE w:val="0"/>
              <w:snapToGrid w:val="0"/>
              <w:spacing w:after="0" w:line="240" w:lineRule="auto"/>
              <w:rPr>
                <w:rFonts w:ascii="Times New Roman" w:eastAsia="Times New Roman" w:hAnsi="Times New Roman"/>
                <w:lang w:val="it-IT" w:eastAsia="ar-SA"/>
              </w:rPr>
            </w:pPr>
          </w:p>
        </w:tc>
        <w:tc>
          <w:tcPr>
            <w:tcW w:w="1795" w:type="dxa"/>
            <w:tcBorders>
              <w:left w:val="single" w:sz="4" w:space="0" w:color="000000"/>
              <w:bottom w:val="single" w:sz="4" w:space="0" w:color="000000"/>
            </w:tcBorders>
            <w:shd w:val="clear" w:color="auto" w:fill="FFFFFF"/>
          </w:tcPr>
          <w:p>
            <w:pPr>
              <w:widowControl w:val="0"/>
              <w:shd w:val="clear" w:color="auto" w:fill="FFFFFF"/>
              <w:suppressAutoHyphens/>
              <w:autoSpaceDE w:val="0"/>
              <w:snapToGrid w:val="0"/>
              <w:spacing w:after="0" w:line="240" w:lineRule="auto"/>
              <w:ind w:firstLine="5"/>
              <w:rPr>
                <w:rFonts w:ascii="Times New Roman" w:eastAsia="Times New Roman" w:hAnsi="Times New Roman"/>
                <w:color w:val="000000"/>
                <w:spacing w:val="-2"/>
                <w:lang w:val="it-IT" w:eastAsia="ar-SA"/>
              </w:rPr>
            </w:pPr>
            <w:r>
              <w:rPr>
                <w:rFonts w:ascii="Times New Roman" w:eastAsia="Times New Roman" w:hAnsi="Times New Roman"/>
                <w:color w:val="000000"/>
                <w:spacing w:val="-1"/>
                <w:lang w:val="it-IT" w:eastAsia="ar-SA"/>
              </w:rPr>
              <w:t xml:space="preserve">Sanguinamento </w:t>
            </w:r>
            <w:r>
              <w:rPr>
                <w:rFonts w:ascii="Times New Roman" w:eastAsia="Times New Roman" w:hAnsi="Times New Roman"/>
                <w:color w:val="000000"/>
                <w:lang w:val="it-IT" w:eastAsia="ar-SA"/>
              </w:rPr>
              <w:t xml:space="preserve">intraoculare </w:t>
            </w:r>
            <w:r>
              <w:rPr>
                <w:rFonts w:ascii="Times New Roman" w:eastAsia="Times New Roman" w:hAnsi="Times New Roman"/>
                <w:color w:val="000000"/>
                <w:spacing w:val="-1"/>
                <w:lang w:val="it-IT" w:eastAsia="ar-SA"/>
              </w:rPr>
              <w:t xml:space="preserve">(congiuntivale, </w:t>
            </w:r>
            <w:r>
              <w:rPr>
                <w:rFonts w:ascii="Times New Roman" w:eastAsia="Times New Roman" w:hAnsi="Times New Roman"/>
                <w:color w:val="000000"/>
                <w:spacing w:val="-2"/>
                <w:lang w:val="it-IT" w:eastAsia="ar-SA"/>
              </w:rPr>
              <w:t>oculare, retinico)</w:t>
            </w:r>
          </w:p>
        </w:tc>
        <w:tc>
          <w:tcPr>
            <w:tcW w:w="1603" w:type="dxa"/>
            <w:tcBorders>
              <w:left w:val="single" w:sz="4" w:space="0" w:color="000000"/>
              <w:bottom w:val="single" w:sz="4" w:space="0" w:color="000000"/>
            </w:tcBorders>
            <w:shd w:val="clear" w:color="auto" w:fill="FFFFFF"/>
          </w:tcPr>
          <w:p>
            <w:pPr>
              <w:widowControl w:val="0"/>
              <w:shd w:val="clear" w:color="auto" w:fill="FFFFFF"/>
              <w:suppressAutoHyphens/>
              <w:autoSpaceDE w:val="0"/>
              <w:snapToGrid w:val="0"/>
              <w:spacing w:after="0" w:line="240" w:lineRule="auto"/>
              <w:rPr>
                <w:rFonts w:ascii="Times New Roman" w:eastAsia="Times New Roman" w:hAnsi="Times New Roman"/>
                <w:lang w:val="it-IT" w:eastAsia="ar-SA"/>
              </w:rPr>
            </w:pPr>
          </w:p>
        </w:tc>
        <w:tc>
          <w:tcPr>
            <w:tcW w:w="2501" w:type="dxa"/>
            <w:tcBorders>
              <w:left w:val="single" w:sz="4" w:space="0" w:color="000000"/>
              <w:bottom w:val="single" w:sz="4" w:space="0" w:color="000000"/>
              <w:right w:val="single" w:sz="4" w:space="0" w:color="000000"/>
            </w:tcBorders>
            <w:shd w:val="clear" w:color="auto" w:fill="FFFFFF"/>
          </w:tcPr>
          <w:p>
            <w:pPr>
              <w:widowControl w:val="0"/>
              <w:shd w:val="clear" w:color="auto" w:fill="FFFFFF"/>
              <w:suppressAutoHyphens/>
              <w:autoSpaceDE w:val="0"/>
              <w:snapToGrid w:val="0"/>
              <w:spacing w:after="0" w:line="240" w:lineRule="auto"/>
              <w:rPr>
                <w:rFonts w:ascii="Times New Roman" w:eastAsia="Times New Roman" w:hAnsi="Times New Roman"/>
                <w:lang w:val="it-IT" w:eastAsia="ar-SA"/>
              </w:rPr>
            </w:pPr>
          </w:p>
        </w:tc>
      </w:tr>
      <w:tr>
        <w:trPr>
          <w:trHeight w:hRule="exact" w:val="739"/>
        </w:trPr>
        <w:tc>
          <w:tcPr>
            <w:tcW w:w="1930" w:type="dxa"/>
            <w:tcBorders>
              <w:left w:val="single" w:sz="4" w:space="0" w:color="000000"/>
              <w:bottom w:val="single" w:sz="4" w:space="0" w:color="000000"/>
            </w:tcBorders>
            <w:shd w:val="clear" w:color="auto" w:fill="FFFFFF"/>
          </w:tcPr>
          <w:p>
            <w:pPr>
              <w:widowControl w:val="0"/>
              <w:shd w:val="clear" w:color="auto" w:fill="FFFFFF"/>
              <w:suppressAutoHyphens/>
              <w:autoSpaceDE w:val="0"/>
              <w:snapToGrid w:val="0"/>
              <w:spacing w:after="0" w:line="240" w:lineRule="auto"/>
              <w:ind w:hanging="5"/>
              <w:rPr>
                <w:rFonts w:ascii="Times New Roman" w:eastAsia="Times New Roman" w:hAnsi="Times New Roman"/>
                <w:color w:val="000000"/>
                <w:spacing w:val="-1"/>
                <w:lang w:val="it-IT" w:eastAsia="ar-SA"/>
              </w:rPr>
            </w:pPr>
            <w:r>
              <w:rPr>
                <w:rFonts w:ascii="Times New Roman" w:eastAsia="Times New Roman" w:hAnsi="Times New Roman"/>
                <w:color w:val="000000"/>
                <w:lang w:val="it-IT" w:eastAsia="ar-SA"/>
              </w:rPr>
              <w:t xml:space="preserve">Patologie dell'orecchio e del </w:t>
            </w:r>
            <w:r>
              <w:rPr>
                <w:rFonts w:ascii="Times New Roman" w:eastAsia="Times New Roman" w:hAnsi="Times New Roman"/>
                <w:color w:val="000000"/>
                <w:spacing w:val="-1"/>
                <w:lang w:val="it-IT" w:eastAsia="ar-SA"/>
              </w:rPr>
              <w:t>labirinto</w:t>
            </w:r>
          </w:p>
        </w:tc>
        <w:tc>
          <w:tcPr>
            <w:tcW w:w="1709" w:type="dxa"/>
            <w:tcBorders>
              <w:left w:val="single" w:sz="4" w:space="0" w:color="000000"/>
              <w:bottom w:val="single" w:sz="4" w:space="0" w:color="000000"/>
            </w:tcBorders>
            <w:shd w:val="clear" w:color="auto" w:fill="FFFFFF"/>
          </w:tcPr>
          <w:p>
            <w:pPr>
              <w:widowControl w:val="0"/>
              <w:shd w:val="clear" w:color="auto" w:fill="FFFFFF"/>
              <w:suppressAutoHyphens/>
              <w:autoSpaceDE w:val="0"/>
              <w:snapToGrid w:val="0"/>
              <w:spacing w:after="0" w:line="240" w:lineRule="auto"/>
              <w:rPr>
                <w:rFonts w:ascii="Times New Roman" w:eastAsia="Times New Roman" w:hAnsi="Times New Roman"/>
                <w:lang w:val="it-IT" w:eastAsia="ar-SA"/>
              </w:rPr>
            </w:pPr>
          </w:p>
        </w:tc>
        <w:tc>
          <w:tcPr>
            <w:tcW w:w="1795" w:type="dxa"/>
            <w:tcBorders>
              <w:left w:val="single" w:sz="4" w:space="0" w:color="000000"/>
              <w:bottom w:val="single" w:sz="4" w:space="0" w:color="000000"/>
            </w:tcBorders>
            <w:shd w:val="clear" w:color="auto" w:fill="FFFFFF"/>
          </w:tcPr>
          <w:p>
            <w:pPr>
              <w:widowControl w:val="0"/>
              <w:shd w:val="clear" w:color="auto" w:fill="FFFFFF"/>
              <w:suppressAutoHyphens/>
              <w:autoSpaceDE w:val="0"/>
              <w:snapToGrid w:val="0"/>
              <w:spacing w:after="0" w:line="240" w:lineRule="auto"/>
              <w:rPr>
                <w:rFonts w:ascii="Times New Roman" w:eastAsia="Times New Roman" w:hAnsi="Times New Roman"/>
                <w:lang w:val="it-IT" w:eastAsia="ar-SA"/>
              </w:rPr>
            </w:pPr>
          </w:p>
        </w:tc>
        <w:tc>
          <w:tcPr>
            <w:tcW w:w="1603" w:type="dxa"/>
            <w:tcBorders>
              <w:left w:val="single" w:sz="4" w:space="0" w:color="000000"/>
              <w:bottom w:val="single" w:sz="4" w:space="0" w:color="000000"/>
            </w:tcBorders>
            <w:shd w:val="clear" w:color="auto" w:fill="FFFFFF"/>
          </w:tcPr>
          <w:p>
            <w:pPr>
              <w:widowControl w:val="0"/>
              <w:shd w:val="clear" w:color="auto" w:fill="FFFFFF"/>
              <w:suppressAutoHyphens/>
              <w:autoSpaceDE w:val="0"/>
              <w:snapToGrid w:val="0"/>
              <w:spacing w:after="0" w:line="240" w:lineRule="auto"/>
              <w:rPr>
                <w:rFonts w:ascii="Times New Roman" w:eastAsia="Times New Roman" w:hAnsi="Times New Roman"/>
                <w:color w:val="000000"/>
                <w:spacing w:val="-2"/>
                <w:lang w:val="it-IT" w:eastAsia="ar-SA"/>
              </w:rPr>
            </w:pPr>
            <w:r>
              <w:rPr>
                <w:rFonts w:ascii="Times New Roman" w:eastAsia="Times New Roman" w:hAnsi="Times New Roman"/>
                <w:color w:val="000000"/>
                <w:spacing w:val="-2"/>
                <w:lang w:val="it-IT" w:eastAsia="ar-SA"/>
              </w:rPr>
              <w:t>Vertigine</w:t>
            </w:r>
          </w:p>
        </w:tc>
        <w:tc>
          <w:tcPr>
            <w:tcW w:w="2501" w:type="dxa"/>
            <w:tcBorders>
              <w:left w:val="single" w:sz="4" w:space="0" w:color="000000"/>
              <w:bottom w:val="single" w:sz="4" w:space="0" w:color="000000"/>
              <w:right w:val="single" w:sz="4" w:space="0" w:color="000000"/>
            </w:tcBorders>
            <w:shd w:val="clear" w:color="auto" w:fill="FFFFFF"/>
          </w:tcPr>
          <w:p>
            <w:pPr>
              <w:widowControl w:val="0"/>
              <w:shd w:val="clear" w:color="auto" w:fill="FFFFFF"/>
              <w:suppressAutoHyphens/>
              <w:autoSpaceDE w:val="0"/>
              <w:snapToGrid w:val="0"/>
              <w:spacing w:after="0" w:line="240" w:lineRule="auto"/>
              <w:rPr>
                <w:rFonts w:ascii="Times New Roman" w:eastAsia="Times New Roman" w:hAnsi="Times New Roman"/>
                <w:lang w:val="it-IT" w:eastAsia="ar-SA"/>
              </w:rPr>
            </w:pPr>
          </w:p>
        </w:tc>
      </w:tr>
      <w:tr>
        <w:trPr>
          <w:trHeight w:hRule="exact" w:val="758"/>
        </w:trPr>
        <w:tc>
          <w:tcPr>
            <w:tcW w:w="1930" w:type="dxa"/>
            <w:tcBorders>
              <w:left w:val="single" w:sz="4" w:space="0" w:color="000000"/>
              <w:bottom w:val="single" w:sz="4" w:space="0" w:color="000000"/>
            </w:tcBorders>
            <w:shd w:val="clear" w:color="auto" w:fill="FFFFFF"/>
          </w:tcPr>
          <w:p>
            <w:pPr>
              <w:widowControl w:val="0"/>
              <w:shd w:val="clear" w:color="auto" w:fill="FFFFFF"/>
              <w:suppressAutoHyphens/>
              <w:autoSpaceDE w:val="0"/>
              <w:snapToGrid w:val="0"/>
              <w:spacing w:after="0" w:line="240" w:lineRule="auto"/>
              <w:rPr>
                <w:rFonts w:ascii="Times New Roman" w:eastAsia="Times New Roman" w:hAnsi="Times New Roman"/>
                <w:color w:val="000000"/>
                <w:spacing w:val="-1"/>
                <w:lang w:val="it-IT" w:eastAsia="ar-SA"/>
              </w:rPr>
            </w:pPr>
            <w:r>
              <w:rPr>
                <w:rFonts w:ascii="Times New Roman" w:eastAsia="Times New Roman" w:hAnsi="Times New Roman"/>
                <w:color w:val="000000"/>
                <w:spacing w:val="-1"/>
                <w:lang w:val="it-IT" w:eastAsia="ar-SA"/>
              </w:rPr>
              <w:t>Patologie vascolari</w:t>
            </w:r>
          </w:p>
        </w:tc>
        <w:tc>
          <w:tcPr>
            <w:tcW w:w="1709" w:type="dxa"/>
            <w:tcBorders>
              <w:left w:val="single" w:sz="4" w:space="0" w:color="000000"/>
              <w:bottom w:val="single" w:sz="4" w:space="0" w:color="000000"/>
            </w:tcBorders>
            <w:shd w:val="clear" w:color="auto" w:fill="FFFFFF"/>
          </w:tcPr>
          <w:p>
            <w:pPr>
              <w:widowControl w:val="0"/>
              <w:shd w:val="clear" w:color="auto" w:fill="FFFFFF"/>
              <w:suppressAutoHyphens/>
              <w:autoSpaceDE w:val="0"/>
              <w:snapToGrid w:val="0"/>
              <w:spacing w:after="0" w:line="240" w:lineRule="auto"/>
              <w:rPr>
                <w:rFonts w:ascii="Times New Roman" w:eastAsia="Times New Roman" w:hAnsi="Times New Roman"/>
                <w:color w:val="000000"/>
                <w:spacing w:val="-1"/>
                <w:lang w:val="it-IT" w:eastAsia="ar-SA"/>
              </w:rPr>
            </w:pPr>
            <w:r>
              <w:rPr>
                <w:rFonts w:ascii="Times New Roman" w:eastAsia="Times New Roman" w:hAnsi="Times New Roman"/>
                <w:color w:val="000000"/>
                <w:spacing w:val="-1"/>
                <w:lang w:val="it-IT" w:eastAsia="ar-SA"/>
              </w:rPr>
              <w:t>Ematoma</w:t>
            </w:r>
          </w:p>
        </w:tc>
        <w:tc>
          <w:tcPr>
            <w:tcW w:w="1795" w:type="dxa"/>
            <w:tcBorders>
              <w:left w:val="single" w:sz="4" w:space="0" w:color="000000"/>
              <w:bottom w:val="single" w:sz="4" w:space="0" w:color="000000"/>
            </w:tcBorders>
            <w:shd w:val="clear" w:color="auto" w:fill="FFFFFF"/>
          </w:tcPr>
          <w:p>
            <w:pPr>
              <w:widowControl w:val="0"/>
              <w:shd w:val="clear" w:color="auto" w:fill="FFFFFF"/>
              <w:suppressAutoHyphens/>
              <w:autoSpaceDE w:val="0"/>
              <w:snapToGrid w:val="0"/>
              <w:spacing w:after="0" w:line="240" w:lineRule="auto"/>
              <w:rPr>
                <w:rFonts w:ascii="Times New Roman" w:eastAsia="Times New Roman" w:hAnsi="Times New Roman"/>
                <w:lang w:val="it-IT" w:eastAsia="ar-SA"/>
              </w:rPr>
            </w:pPr>
          </w:p>
        </w:tc>
        <w:tc>
          <w:tcPr>
            <w:tcW w:w="1603" w:type="dxa"/>
            <w:tcBorders>
              <w:left w:val="single" w:sz="4" w:space="0" w:color="000000"/>
              <w:bottom w:val="single" w:sz="4" w:space="0" w:color="000000"/>
            </w:tcBorders>
            <w:shd w:val="clear" w:color="auto" w:fill="FFFFFF"/>
          </w:tcPr>
          <w:p>
            <w:pPr>
              <w:widowControl w:val="0"/>
              <w:shd w:val="clear" w:color="auto" w:fill="FFFFFF"/>
              <w:suppressAutoHyphens/>
              <w:autoSpaceDE w:val="0"/>
              <w:snapToGrid w:val="0"/>
              <w:spacing w:after="0" w:line="240" w:lineRule="auto"/>
              <w:rPr>
                <w:rFonts w:ascii="Times New Roman" w:eastAsia="Times New Roman" w:hAnsi="Times New Roman"/>
                <w:lang w:val="it-IT" w:eastAsia="ar-SA"/>
              </w:rPr>
            </w:pPr>
          </w:p>
        </w:tc>
        <w:tc>
          <w:tcPr>
            <w:tcW w:w="2501" w:type="dxa"/>
            <w:tcBorders>
              <w:left w:val="single" w:sz="4" w:space="0" w:color="000000"/>
              <w:bottom w:val="single" w:sz="4" w:space="0" w:color="000000"/>
              <w:right w:val="single" w:sz="4" w:space="0" w:color="000000"/>
            </w:tcBorders>
            <w:shd w:val="clear" w:color="auto" w:fill="FFFFFF"/>
          </w:tcPr>
          <w:p>
            <w:pPr>
              <w:widowControl w:val="0"/>
              <w:shd w:val="clear" w:color="auto" w:fill="FFFFFF"/>
              <w:suppressAutoHyphens/>
              <w:autoSpaceDE w:val="0"/>
              <w:snapToGrid w:val="0"/>
              <w:spacing w:after="0" w:line="240" w:lineRule="auto"/>
              <w:ind w:hanging="5"/>
              <w:rPr>
                <w:rFonts w:ascii="Times New Roman" w:eastAsia="Times New Roman" w:hAnsi="Times New Roman"/>
                <w:color w:val="000000"/>
                <w:spacing w:val="-1"/>
                <w:lang w:val="it-IT" w:eastAsia="ar-SA"/>
              </w:rPr>
            </w:pPr>
            <w:r>
              <w:rPr>
                <w:rFonts w:ascii="Times New Roman" w:eastAsia="Times New Roman" w:hAnsi="Times New Roman"/>
                <w:color w:val="000000"/>
                <w:spacing w:val="-1"/>
                <w:lang w:val="it-IT" w:eastAsia="ar-SA"/>
              </w:rPr>
              <w:t>Emorragia grave, emorragia da ferita chirurgica, vasculite, ipotensione</w:t>
            </w:r>
          </w:p>
        </w:tc>
      </w:tr>
      <w:tr>
        <w:trPr>
          <w:trHeight w:hRule="exact" w:val="1559"/>
        </w:trPr>
        <w:tc>
          <w:tcPr>
            <w:tcW w:w="1930" w:type="dxa"/>
            <w:tcBorders>
              <w:left w:val="single" w:sz="4" w:space="0" w:color="000000"/>
              <w:bottom w:val="single" w:sz="4" w:space="0" w:color="000000"/>
            </w:tcBorders>
            <w:shd w:val="clear" w:color="auto" w:fill="FFFFFF"/>
          </w:tcPr>
          <w:p>
            <w:pPr>
              <w:widowControl w:val="0"/>
              <w:shd w:val="clear" w:color="auto" w:fill="FFFFFF"/>
              <w:suppressAutoHyphens/>
              <w:autoSpaceDE w:val="0"/>
              <w:snapToGrid w:val="0"/>
              <w:spacing w:after="0" w:line="240" w:lineRule="auto"/>
              <w:rPr>
                <w:rFonts w:ascii="Times New Roman" w:eastAsia="Times New Roman" w:hAnsi="Times New Roman"/>
                <w:color w:val="000000"/>
                <w:spacing w:val="-1"/>
                <w:lang w:val="it-IT" w:eastAsia="ar-SA"/>
              </w:rPr>
            </w:pPr>
            <w:r>
              <w:rPr>
                <w:rFonts w:ascii="Times New Roman" w:eastAsia="Times New Roman" w:hAnsi="Times New Roman"/>
                <w:color w:val="000000"/>
                <w:spacing w:val="-1"/>
                <w:lang w:val="it-IT" w:eastAsia="ar-SA"/>
              </w:rPr>
              <w:t>Patologie respiratorie, toraciche e mediastiniche</w:t>
            </w:r>
          </w:p>
        </w:tc>
        <w:tc>
          <w:tcPr>
            <w:tcW w:w="1709" w:type="dxa"/>
            <w:tcBorders>
              <w:left w:val="single" w:sz="4" w:space="0" w:color="000000"/>
              <w:bottom w:val="single" w:sz="4" w:space="0" w:color="000000"/>
            </w:tcBorders>
            <w:shd w:val="clear" w:color="auto" w:fill="FFFFFF"/>
          </w:tcPr>
          <w:p>
            <w:pPr>
              <w:widowControl w:val="0"/>
              <w:shd w:val="clear" w:color="auto" w:fill="FFFFFF"/>
              <w:suppressAutoHyphens/>
              <w:autoSpaceDE w:val="0"/>
              <w:snapToGrid w:val="0"/>
              <w:spacing w:after="0" w:line="240" w:lineRule="auto"/>
              <w:rPr>
                <w:rFonts w:ascii="Times New Roman" w:eastAsia="Times New Roman" w:hAnsi="Times New Roman"/>
                <w:color w:val="000000"/>
                <w:spacing w:val="-1"/>
                <w:lang w:val="it-IT" w:eastAsia="ar-SA"/>
              </w:rPr>
            </w:pPr>
            <w:r>
              <w:rPr>
                <w:rFonts w:ascii="Times New Roman" w:eastAsia="Times New Roman" w:hAnsi="Times New Roman"/>
                <w:color w:val="000000"/>
                <w:spacing w:val="-1"/>
                <w:lang w:val="it-IT" w:eastAsia="ar-SA"/>
              </w:rPr>
              <w:t>Epistassi</w:t>
            </w:r>
          </w:p>
        </w:tc>
        <w:tc>
          <w:tcPr>
            <w:tcW w:w="1795" w:type="dxa"/>
            <w:tcBorders>
              <w:left w:val="single" w:sz="4" w:space="0" w:color="000000"/>
              <w:bottom w:val="single" w:sz="4" w:space="0" w:color="000000"/>
            </w:tcBorders>
            <w:shd w:val="clear" w:color="auto" w:fill="FFFFFF"/>
          </w:tcPr>
          <w:p>
            <w:pPr>
              <w:widowControl w:val="0"/>
              <w:shd w:val="clear" w:color="auto" w:fill="FFFFFF"/>
              <w:suppressAutoHyphens/>
              <w:autoSpaceDE w:val="0"/>
              <w:snapToGrid w:val="0"/>
              <w:spacing w:after="0" w:line="240" w:lineRule="auto"/>
              <w:rPr>
                <w:rFonts w:ascii="Times New Roman" w:eastAsia="Times New Roman" w:hAnsi="Times New Roman"/>
                <w:lang w:val="it-IT" w:eastAsia="ar-SA"/>
              </w:rPr>
            </w:pPr>
          </w:p>
        </w:tc>
        <w:tc>
          <w:tcPr>
            <w:tcW w:w="1603" w:type="dxa"/>
            <w:tcBorders>
              <w:left w:val="single" w:sz="4" w:space="0" w:color="000000"/>
              <w:bottom w:val="single" w:sz="4" w:space="0" w:color="000000"/>
            </w:tcBorders>
            <w:shd w:val="clear" w:color="auto" w:fill="FFFFFF"/>
          </w:tcPr>
          <w:p>
            <w:pPr>
              <w:widowControl w:val="0"/>
              <w:shd w:val="clear" w:color="auto" w:fill="FFFFFF"/>
              <w:suppressAutoHyphens/>
              <w:autoSpaceDE w:val="0"/>
              <w:snapToGrid w:val="0"/>
              <w:spacing w:after="0" w:line="240" w:lineRule="auto"/>
              <w:rPr>
                <w:rFonts w:ascii="Times New Roman" w:eastAsia="Times New Roman" w:hAnsi="Times New Roman"/>
                <w:lang w:val="it-IT" w:eastAsia="ar-SA"/>
              </w:rPr>
            </w:pPr>
          </w:p>
        </w:tc>
        <w:tc>
          <w:tcPr>
            <w:tcW w:w="2501" w:type="dxa"/>
            <w:tcBorders>
              <w:left w:val="single" w:sz="4" w:space="0" w:color="000000"/>
              <w:bottom w:val="single" w:sz="4" w:space="0" w:color="000000"/>
              <w:right w:val="single" w:sz="4" w:space="0" w:color="000000"/>
            </w:tcBorders>
            <w:shd w:val="clear" w:color="auto" w:fill="FFFFFF"/>
          </w:tcPr>
          <w:p>
            <w:pPr>
              <w:widowControl w:val="0"/>
              <w:shd w:val="clear" w:color="auto" w:fill="FFFFFF"/>
              <w:suppressAutoHyphens/>
              <w:autoSpaceDE w:val="0"/>
              <w:snapToGrid w:val="0"/>
              <w:spacing w:after="0" w:line="240" w:lineRule="auto"/>
              <w:ind w:hanging="5"/>
              <w:rPr>
                <w:rFonts w:ascii="Times New Roman" w:eastAsia="Times New Roman" w:hAnsi="Times New Roman"/>
                <w:color w:val="000000"/>
                <w:spacing w:val="-1"/>
                <w:lang w:val="it-IT" w:eastAsia="ar-SA"/>
              </w:rPr>
            </w:pPr>
            <w:r>
              <w:rPr>
                <w:rFonts w:ascii="Times New Roman" w:eastAsia="Times New Roman" w:hAnsi="Times New Roman"/>
                <w:color w:val="000000"/>
                <w:spacing w:val="-1"/>
                <w:lang w:val="it-IT" w:eastAsia="ar-SA"/>
              </w:rPr>
              <w:t>Sanguinamento del tratto respiratorio (emottisi, emorragia polmonare), broncospasmo, polmonite interstiziale</w:t>
            </w:r>
            <w:r>
              <w:rPr>
                <w:rFonts w:ascii="Times New Roman" w:hAnsi="Times New Roman"/>
                <w:bCs/>
                <w:color w:val="000000"/>
                <w:lang w:val="it-IT"/>
              </w:rPr>
              <w:t>, polmonite eosinofila</w:t>
            </w:r>
            <w:r>
              <w:rPr>
                <w:rFonts w:ascii="Times New Roman" w:eastAsia="Times New Roman" w:hAnsi="Times New Roman"/>
                <w:color w:val="000000"/>
                <w:spacing w:val="-1"/>
                <w:lang w:val="it-IT" w:eastAsia="ar-SA"/>
              </w:rPr>
              <w:t>.</w:t>
            </w:r>
          </w:p>
        </w:tc>
      </w:tr>
      <w:tr>
        <w:trPr>
          <w:trHeight w:hRule="exact" w:val="1921"/>
        </w:trPr>
        <w:tc>
          <w:tcPr>
            <w:tcW w:w="1930" w:type="dxa"/>
            <w:tcBorders>
              <w:top w:val="single" w:sz="4" w:space="0" w:color="000000"/>
              <w:left w:val="single" w:sz="4" w:space="0" w:color="000000"/>
              <w:bottom w:val="single" w:sz="4" w:space="0" w:color="000000"/>
            </w:tcBorders>
            <w:shd w:val="clear" w:color="auto" w:fill="FFFFFF"/>
          </w:tcPr>
          <w:p>
            <w:pPr>
              <w:widowControl w:val="0"/>
              <w:shd w:val="clear" w:color="auto" w:fill="FFFFFF"/>
              <w:suppressAutoHyphens/>
              <w:autoSpaceDE w:val="0"/>
              <w:snapToGrid w:val="0"/>
              <w:spacing w:after="0" w:line="240" w:lineRule="auto"/>
              <w:rPr>
                <w:rFonts w:ascii="Times New Roman" w:eastAsia="Times New Roman" w:hAnsi="Times New Roman"/>
                <w:color w:val="000000"/>
                <w:spacing w:val="-1"/>
                <w:lang w:val="it-IT" w:eastAsia="ar-SA"/>
              </w:rPr>
            </w:pPr>
            <w:r>
              <w:rPr>
                <w:rFonts w:ascii="Times New Roman" w:eastAsia="Times New Roman" w:hAnsi="Times New Roman"/>
                <w:color w:val="000000"/>
                <w:spacing w:val="-1"/>
                <w:lang w:val="it-IT" w:eastAsia="ar-SA"/>
              </w:rPr>
              <w:t>Patologie gastrointestinali</w:t>
            </w:r>
          </w:p>
        </w:tc>
        <w:tc>
          <w:tcPr>
            <w:tcW w:w="1709" w:type="dxa"/>
            <w:tcBorders>
              <w:top w:val="single" w:sz="4" w:space="0" w:color="000000"/>
              <w:left w:val="single" w:sz="4" w:space="0" w:color="000000"/>
              <w:bottom w:val="single" w:sz="4" w:space="0" w:color="000000"/>
            </w:tcBorders>
            <w:shd w:val="clear" w:color="auto" w:fill="FFFFFF"/>
          </w:tcPr>
          <w:p>
            <w:pPr>
              <w:widowControl w:val="0"/>
              <w:shd w:val="clear" w:color="auto" w:fill="FFFFFF"/>
              <w:suppressAutoHyphens/>
              <w:autoSpaceDE w:val="0"/>
              <w:snapToGrid w:val="0"/>
              <w:spacing w:after="0" w:line="240" w:lineRule="auto"/>
              <w:rPr>
                <w:rFonts w:ascii="Times New Roman" w:eastAsia="Times New Roman" w:hAnsi="Times New Roman"/>
                <w:color w:val="000000"/>
                <w:spacing w:val="-1"/>
                <w:lang w:val="it-IT" w:eastAsia="ar-SA"/>
              </w:rPr>
            </w:pPr>
            <w:r>
              <w:rPr>
                <w:rFonts w:ascii="Times New Roman" w:eastAsia="Times New Roman" w:hAnsi="Times New Roman"/>
                <w:color w:val="000000"/>
                <w:spacing w:val="-1"/>
                <w:lang w:val="it-IT" w:eastAsia="ar-SA"/>
              </w:rPr>
              <w:t>Emorragia gastrointestinale, diarrea, dolore addominale, dispepsia</w:t>
            </w:r>
          </w:p>
        </w:tc>
        <w:tc>
          <w:tcPr>
            <w:tcW w:w="1795" w:type="dxa"/>
            <w:tcBorders>
              <w:top w:val="single" w:sz="4" w:space="0" w:color="000000"/>
              <w:left w:val="single" w:sz="4" w:space="0" w:color="000000"/>
              <w:bottom w:val="single" w:sz="4" w:space="0" w:color="000000"/>
            </w:tcBorders>
            <w:shd w:val="clear" w:color="auto" w:fill="FFFFFF"/>
          </w:tcPr>
          <w:p>
            <w:pPr>
              <w:widowControl w:val="0"/>
              <w:shd w:val="clear" w:color="auto" w:fill="FFFFFF"/>
              <w:suppressAutoHyphens/>
              <w:autoSpaceDE w:val="0"/>
              <w:snapToGrid w:val="0"/>
              <w:spacing w:after="0" w:line="240" w:lineRule="auto"/>
              <w:rPr>
                <w:rFonts w:ascii="Times New Roman" w:eastAsia="Times New Roman" w:hAnsi="Times New Roman"/>
                <w:lang w:val="it-IT" w:eastAsia="ar-SA"/>
              </w:rPr>
            </w:pPr>
            <w:r>
              <w:rPr>
                <w:rFonts w:ascii="Times New Roman" w:eastAsia="Times New Roman" w:hAnsi="Times New Roman"/>
                <w:lang w:val="it-IT" w:eastAsia="ar-SA"/>
              </w:rPr>
              <w:t>Ulcera gastrica e ulcera duodenale, gastrite, vomito, nausea, costipazione, flatulenza</w:t>
            </w:r>
          </w:p>
        </w:tc>
        <w:tc>
          <w:tcPr>
            <w:tcW w:w="1603" w:type="dxa"/>
            <w:tcBorders>
              <w:top w:val="single" w:sz="4" w:space="0" w:color="000000"/>
              <w:left w:val="single" w:sz="4" w:space="0" w:color="000000"/>
              <w:bottom w:val="single" w:sz="4" w:space="0" w:color="000000"/>
            </w:tcBorders>
            <w:shd w:val="clear" w:color="auto" w:fill="FFFFFF"/>
          </w:tcPr>
          <w:p>
            <w:pPr>
              <w:widowControl w:val="0"/>
              <w:shd w:val="clear" w:color="auto" w:fill="FFFFFF"/>
              <w:suppressAutoHyphens/>
              <w:autoSpaceDE w:val="0"/>
              <w:snapToGrid w:val="0"/>
              <w:spacing w:after="0" w:line="240" w:lineRule="auto"/>
              <w:rPr>
                <w:rFonts w:ascii="Times New Roman" w:eastAsia="Times New Roman" w:hAnsi="Times New Roman"/>
                <w:lang w:val="it-IT" w:eastAsia="ar-SA"/>
              </w:rPr>
            </w:pPr>
            <w:r>
              <w:rPr>
                <w:rFonts w:ascii="Times New Roman" w:eastAsia="Times New Roman" w:hAnsi="Times New Roman"/>
                <w:lang w:val="it-IT" w:eastAsia="ar-SA"/>
              </w:rPr>
              <w:t>Emorragia retroperitoneale</w:t>
            </w:r>
          </w:p>
        </w:tc>
        <w:tc>
          <w:tcPr>
            <w:tcW w:w="2501" w:type="dxa"/>
            <w:tcBorders>
              <w:top w:val="single" w:sz="4" w:space="0" w:color="000000"/>
              <w:left w:val="single" w:sz="4" w:space="0" w:color="000000"/>
              <w:bottom w:val="single" w:sz="4" w:space="0" w:color="000000"/>
              <w:right w:val="single" w:sz="4" w:space="0" w:color="000000"/>
            </w:tcBorders>
            <w:shd w:val="clear" w:color="auto" w:fill="FFFFFF"/>
          </w:tcPr>
          <w:p>
            <w:pPr>
              <w:widowControl w:val="0"/>
              <w:shd w:val="clear" w:color="auto" w:fill="FFFFFF"/>
              <w:suppressAutoHyphens/>
              <w:autoSpaceDE w:val="0"/>
              <w:snapToGrid w:val="0"/>
              <w:spacing w:after="0" w:line="240" w:lineRule="auto"/>
              <w:ind w:hanging="5"/>
              <w:rPr>
                <w:rFonts w:ascii="Times New Roman" w:eastAsia="Times New Roman" w:hAnsi="Times New Roman"/>
                <w:color w:val="000000"/>
                <w:spacing w:val="-1"/>
                <w:lang w:val="it-IT" w:eastAsia="ar-SA"/>
              </w:rPr>
            </w:pPr>
            <w:r>
              <w:rPr>
                <w:rFonts w:ascii="Times New Roman" w:eastAsia="Times New Roman" w:hAnsi="Times New Roman"/>
                <w:color w:val="000000"/>
                <w:spacing w:val="-1"/>
                <w:lang w:val="it-IT" w:eastAsia="ar-SA"/>
              </w:rPr>
              <w:t>Emorragia gastrointestinale e retroperitoneale ad esito fatale, pancreatite, colite (compresa colite ulcerosa o linfocitica), stomatite</w:t>
            </w:r>
          </w:p>
        </w:tc>
      </w:tr>
      <w:tr>
        <w:trPr>
          <w:trHeight w:hRule="exact" w:val="841"/>
        </w:trPr>
        <w:tc>
          <w:tcPr>
            <w:tcW w:w="1930" w:type="dxa"/>
            <w:tcBorders>
              <w:left w:val="single" w:sz="4" w:space="0" w:color="000000"/>
              <w:bottom w:val="single" w:sz="4" w:space="0" w:color="000000"/>
            </w:tcBorders>
            <w:shd w:val="clear" w:color="auto" w:fill="FFFFFF"/>
          </w:tcPr>
          <w:p>
            <w:pPr>
              <w:widowControl w:val="0"/>
              <w:shd w:val="clear" w:color="auto" w:fill="FFFFFF"/>
              <w:suppressAutoHyphens/>
              <w:autoSpaceDE w:val="0"/>
              <w:snapToGrid w:val="0"/>
              <w:spacing w:after="0" w:line="240" w:lineRule="auto"/>
              <w:rPr>
                <w:rFonts w:ascii="Times New Roman" w:eastAsia="Times New Roman" w:hAnsi="Times New Roman"/>
                <w:color w:val="000000"/>
                <w:spacing w:val="-1"/>
                <w:lang w:val="it-IT" w:eastAsia="ar-SA"/>
              </w:rPr>
            </w:pPr>
            <w:r>
              <w:rPr>
                <w:rFonts w:ascii="Times New Roman" w:eastAsia="Times New Roman" w:hAnsi="Times New Roman"/>
                <w:color w:val="000000"/>
                <w:spacing w:val="-1"/>
                <w:lang w:val="it-IT" w:eastAsia="ar-SA"/>
              </w:rPr>
              <w:t>Patologie epatobiliari</w:t>
            </w:r>
          </w:p>
        </w:tc>
        <w:tc>
          <w:tcPr>
            <w:tcW w:w="1709" w:type="dxa"/>
            <w:tcBorders>
              <w:left w:val="single" w:sz="4" w:space="0" w:color="000000"/>
              <w:bottom w:val="single" w:sz="4" w:space="0" w:color="000000"/>
            </w:tcBorders>
            <w:shd w:val="clear" w:color="auto" w:fill="FFFFFF"/>
          </w:tcPr>
          <w:p>
            <w:pPr>
              <w:widowControl w:val="0"/>
              <w:shd w:val="clear" w:color="auto" w:fill="FFFFFF"/>
              <w:suppressAutoHyphens/>
              <w:autoSpaceDE w:val="0"/>
              <w:snapToGrid w:val="0"/>
              <w:spacing w:after="0" w:line="240" w:lineRule="auto"/>
              <w:rPr>
                <w:rFonts w:ascii="Times New Roman" w:eastAsia="Times New Roman" w:hAnsi="Times New Roman"/>
                <w:color w:val="000000"/>
                <w:spacing w:val="-1"/>
                <w:lang w:val="it-IT" w:eastAsia="ar-SA"/>
              </w:rPr>
            </w:pPr>
          </w:p>
        </w:tc>
        <w:tc>
          <w:tcPr>
            <w:tcW w:w="1795" w:type="dxa"/>
            <w:tcBorders>
              <w:left w:val="single" w:sz="4" w:space="0" w:color="000000"/>
              <w:bottom w:val="single" w:sz="4" w:space="0" w:color="000000"/>
            </w:tcBorders>
            <w:shd w:val="clear" w:color="auto" w:fill="FFFFFF"/>
          </w:tcPr>
          <w:p>
            <w:pPr>
              <w:widowControl w:val="0"/>
              <w:shd w:val="clear" w:color="auto" w:fill="FFFFFF"/>
              <w:suppressAutoHyphens/>
              <w:autoSpaceDE w:val="0"/>
              <w:snapToGrid w:val="0"/>
              <w:spacing w:after="0" w:line="240" w:lineRule="auto"/>
              <w:rPr>
                <w:rFonts w:ascii="Times New Roman" w:eastAsia="Times New Roman" w:hAnsi="Times New Roman"/>
                <w:lang w:val="it-IT" w:eastAsia="ar-SA"/>
              </w:rPr>
            </w:pPr>
          </w:p>
        </w:tc>
        <w:tc>
          <w:tcPr>
            <w:tcW w:w="1603" w:type="dxa"/>
            <w:tcBorders>
              <w:left w:val="single" w:sz="4" w:space="0" w:color="000000"/>
              <w:bottom w:val="single" w:sz="4" w:space="0" w:color="000000"/>
            </w:tcBorders>
            <w:shd w:val="clear" w:color="auto" w:fill="FFFFFF"/>
          </w:tcPr>
          <w:p>
            <w:pPr>
              <w:widowControl w:val="0"/>
              <w:shd w:val="clear" w:color="auto" w:fill="FFFFFF"/>
              <w:suppressAutoHyphens/>
              <w:autoSpaceDE w:val="0"/>
              <w:snapToGrid w:val="0"/>
              <w:spacing w:after="0" w:line="240" w:lineRule="auto"/>
              <w:rPr>
                <w:rFonts w:ascii="Times New Roman" w:eastAsia="Times New Roman" w:hAnsi="Times New Roman"/>
                <w:lang w:val="it-IT" w:eastAsia="ar-SA"/>
              </w:rPr>
            </w:pPr>
          </w:p>
        </w:tc>
        <w:tc>
          <w:tcPr>
            <w:tcW w:w="2501" w:type="dxa"/>
            <w:tcBorders>
              <w:left w:val="single" w:sz="4" w:space="0" w:color="000000"/>
              <w:bottom w:val="single" w:sz="4" w:space="0" w:color="000000"/>
              <w:right w:val="single" w:sz="4" w:space="0" w:color="000000"/>
            </w:tcBorders>
            <w:shd w:val="clear" w:color="auto" w:fill="FFFFFF"/>
          </w:tcPr>
          <w:p>
            <w:pPr>
              <w:widowControl w:val="0"/>
              <w:shd w:val="clear" w:color="auto" w:fill="FFFFFF"/>
              <w:suppressAutoHyphens/>
              <w:autoSpaceDE w:val="0"/>
              <w:snapToGrid w:val="0"/>
              <w:spacing w:after="0" w:line="240" w:lineRule="auto"/>
              <w:ind w:hanging="5"/>
              <w:rPr>
                <w:rFonts w:ascii="Times New Roman" w:eastAsia="Times New Roman" w:hAnsi="Times New Roman"/>
                <w:color w:val="000000"/>
                <w:spacing w:val="-1"/>
                <w:lang w:val="it-IT" w:eastAsia="ar-SA"/>
              </w:rPr>
            </w:pPr>
            <w:r>
              <w:rPr>
                <w:rFonts w:ascii="Times New Roman" w:eastAsia="Times New Roman" w:hAnsi="Times New Roman"/>
                <w:color w:val="000000"/>
                <w:spacing w:val="-1"/>
                <w:lang w:val="it-IT" w:eastAsia="ar-SA"/>
              </w:rPr>
              <w:t>Insufficienza epatica acuta, epatite, test di funzionalità epatica anormale</w:t>
            </w:r>
          </w:p>
        </w:tc>
      </w:tr>
      <w:tr>
        <w:trPr>
          <w:trHeight w:hRule="exact" w:val="4117"/>
        </w:trPr>
        <w:tc>
          <w:tcPr>
            <w:tcW w:w="1930" w:type="dxa"/>
            <w:tcBorders>
              <w:left w:val="single" w:sz="4" w:space="0" w:color="000000"/>
              <w:bottom w:val="single" w:sz="4" w:space="0" w:color="000000"/>
            </w:tcBorders>
            <w:shd w:val="clear" w:color="auto" w:fill="FFFFFF"/>
          </w:tcPr>
          <w:p>
            <w:pPr>
              <w:widowControl w:val="0"/>
              <w:shd w:val="clear" w:color="auto" w:fill="FFFFFF"/>
              <w:suppressAutoHyphens/>
              <w:autoSpaceDE w:val="0"/>
              <w:snapToGrid w:val="0"/>
              <w:spacing w:after="0" w:line="240" w:lineRule="auto"/>
              <w:rPr>
                <w:rFonts w:ascii="Times New Roman" w:eastAsia="Times New Roman" w:hAnsi="Times New Roman"/>
                <w:color w:val="000000"/>
                <w:spacing w:val="-1"/>
                <w:lang w:val="it-IT" w:eastAsia="ar-SA"/>
              </w:rPr>
            </w:pPr>
            <w:r>
              <w:rPr>
                <w:rFonts w:ascii="Times New Roman" w:eastAsia="Times New Roman" w:hAnsi="Times New Roman"/>
                <w:color w:val="000000"/>
                <w:spacing w:val="-1"/>
                <w:lang w:val="it-IT" w:eastAsia="ar-SA"/>
              </w:rPr>
              <w:t>Patologie della cute e del tessuto sottocutaneo</w:t>
            </w:r>
          </w:p>
        </w:tc>
        <w:tc>
          <w:tcPr>
            <w:tcW w:w="1709" w:type="dxa"/>
            <w:tcBorders>
              <w:left w:val="single" w:sz="4" w:space="0" w:color="000000"/>
              <w:bottom w:val="single" w:sz="4" w:space="0" w:color="000000"/>
            </w:tcBorders>
            <w:shd w:val="clear" w:color="auto" w:fill="FFFFFF"/>
          </w:tcPr>
          <w:p>
            <w:pPr>
              <w:widowControl w:val="0"/>
              <w:shd w:val="clear" w:color="auto" w:fill="FFFFFF"/>
              <w:suppressAutoHyphens/>
              <w:autoSpaceDE w:val="0"/>
              <w:snapToGrid w:val="0"/>
              <w:spacing w:after="0" w:line="240" w:lineRule="auto"/>
              <w:rPr>
                <w:rFonts w:ascii="Times New Roman" w:eastAsia="Times New Roman" w:hAnsi="Times New Roman"/>
                <w:color w:val="000000"/>
                <w:spacing w:val="-1"/>
                <w:lang w:val="it-IT" w:eastAsia="ar-SA"/>
              </w:rPr>
            </w:pPr>
            <w:r>
              <w:rPr>
                <w:rFonts w:ascii="Times New Roman" w:eastAsia="Times New Roman" w:hAnsi="Times New Roman"/>
                <w:color w:val="000000"/>
                <w:spacing w:val="-1"/>
                <w:lang w:val="it-IT" w:eastAsia="ar-SA"/>
              </w:rPr>
              <w:t>Contusioni</w:t>
            </w:r>
          </w:p>
        </w:tc>
        <w:tc>
          <w:tcPr>
            <w:tcW w:w="1795" w:type="dxa"/>
            <w:tcBorders>
              <w:left w:val="single" w:sz="4" w:space="0" w:color="000000"/>
              <w:bottom w:val="single" w:sz="4" w:space="0" w:color="000000"/>
            </w:tcBorders>
            <w:shd w:val="clear" w:color="auto" w:fill="FFFFFF"/>
          </w:tcPr>
          <w:p>
            <w:pPr>
              <w:widowControl w:val="0"/>
              <w:shd w:val="clear" w:color="auto" w:fill="FFFFFF"/>
              <w:suppressAutoHyphens/>
              <w:autoSpaceDE w:val="0"/>
              <w:snapToGrid w:val="0"/>
              <w:spacing w:after="0" w:line="240" w:lineRule="auto"/>
              <w:rPr>
                <w:rFonts w:ascii="Times New Roman" w:eastAsia="Times New Roman" w:hAnsi="Times New Roman"/>
                <w:lang w:val="it-IT" w:eastAsia="ar-SA"/>
              </w:rPr>
            </w:pPr>
            <w:r>
              <w:rPr>
                <w:rFonts w:ascii="Times New Roman" w:eastAsia="Times New Roman" w:hAnsi="Times New Roman"/>
                <w:lang w:val="it-IT" w:eastAsia="ar-SA"/>
              </w:rPr>
              <w:t>Rash, prurito, sanguinamento cutaneo (porpora)</w:t>
            </w:r>
          </w:p>
        </w:tc>
        <w:tc>
          <w:tcPr>
            <w:tcW w:w="1603" w:type="dxa"/>
            <w:tcBorders>
              <w:left w:val="single" w:sz="4" w:space="0" w:color="000000"/>
              <w:bottom w:val="single" w:sz="4" w:space="0" w:color="000000"/>
            </w:tcBorders>
            <w:shd w:val="clear" w:color="auto" w:fill="FFFFFF"/>
          </w:tcPr>
          <w:p>
            <w:pPr>
              <w:widowControl w:val="0"/>
              <w:shd w:val="clear" w:color="auto" w:fill="FFFFFF"/>
              <w:suppressAutoHyphens/>
              <w:autoSpaceDE w:val="0"/>
              <w:snapToGrid w:val="0"/>
              <w:spacing w:after="0" w:line="240" w:lineRule="auto"/>
              <w:rPr>
                <w:rFonts w:ascii="Times New Roman" w:eastAsia="Times New Roman" w:hAnsi="Times New Roman"/>
                <w:lang w:val="it-IT" w:eastAsia="ar-SA"/>
              </w:rPr>
            </w:pPr>
          </w:p>
        </w:tc>
        <w:tc>
          <w:tcPr>
            <w:tcW w:w="2501" w:type="dxa"/>
            <w:tcBorders>
              <w:left w:val="single" w:sz="4" w:space="0" w:color="000000"/>
              <w:bottom w:val="single" w:sz="4" w:space="0" w:color="000000"/>
              <w:right w:val="single" w:sz="4" w:space="0" w:color="000000"/>
            </w:tcBorders>
            <w:shd w:val="clear" w:color="auto" w:fill="FFFFFF"/>
          </w:tcPr>
          <w:p>
            <w:pPr>
              <w:widowControl w:val="0"/>
              <w:shd w:val="clear" w:color="auto" w:fill="FFFFFF"/>
              <w:suppressAutoHyphens/>
              <w:autoSpaceDE w:val="0"/>
              <w:snapToGrid w:val="0"/>
              <w:spacing w:after="0" w:line="240" w:lineRule="auto"/>
              <w:ind w:hanging="5"/>
              <w:rPr>
                <w:rFonts w:ascii="Times New Roman" w:eastAsia="Times New Roman" w:hAnsi="Times New Roman"/>
                <w:color w:val="000000"/>
                <w:spacing w:val="-1"/>
                <w:lang w:val="it-IT" w:eastAsia="ar-SA"/>
              </w:rPr>
            </w:pPr>
            <w:r>
              <w:rPr>
                <w:rFonts w:ascii="Times New Roman" w:eastAsia="Times New Roman" w:hAnsi="Times New Roman"/>
                <w:color w:val="000000"/>
                <w:spacing w:val="-1"/>
                <w:lang w:val="it-IT" w:eastAsia="ar-SA"/>
              </w:rPr>
              <w:t>Dermatite bollosa (necrolisi epidermica tossica, sindrome di Stevens Johnson, eritema multiforme</w:t>
            </w:r>
            <w:r>
              <w:rPr>
                <w:rFonts w:ascii="Times New Roman" w:hAnsi="Times New Roman"/>
                <w:bCs/>
                <w:color w:val="000000"/>
                <w:lang w:val="it-IT"/>
              </w:rPr>
              <w:t xml:space="preserve">, </w:t>
            </w:r>
            <w:r>
              <w:rPr>
                <w:rFonts w:ascii="Times New Roman" w:hAnsi="Times New Roman"/>
                <w:lang w:val="it-IT"/>
              </w:rPr>
              <w:t>pustolosi esantematosa generalizzata acuta (AGEP)</w:t>
            </w:r>
            <w:r>
              <w:rPr>
                <w:rFonts w:ascii="Times New Roman" w:eastAsia="Times New Roman" w:hAnsi="Times New Roman"/>
                <w:color w:val="000000"/>
                <w:spacing w:val="-1"/>
                <w:lang w:val="it-IT" w:eastAsia="ar-SA"/>
              </w:rPr>
              <w:t xml:space="preserve">), angioedema, </w:t>
            </w:r>
            <w:r>
              <w:rPr>
                <w:rFonts w:ascii="Times New Roman" w:eastAsia="Times New Roman" w:hAnsi="Times New Roman"/>
                <w:bCs/>
                <w:color w:val="000000"/>
                <w:lang w:val="it-IT" w:eastAsia="ar-SA"/>
              </w:rPr>
              <w:t>sindrome di ipersensibilità indotta da farmaci, rash da farmaci con eosinofilia e sintomi sistemici (DRESS),</w:t>
            </w:r>
            <w:r>
              <w:rPr>
                <w:rFonts w:ascii="Times New Roman" w:eastAsia="Times New Roman" w:hAnsi="Times New Roman"/>
                <w:b/>
                <w:bCs/>
                <w:color w:val="000000"/>
                <w:lang w:val="it-IT" w:eastAsia="ar-SA"/>
              </w:rPr>
              <w:t xml:space="preserve"> </w:t>
            </w:r>
            <w:r>
              <w:rPr>
                <w:rFonts w:ascii="Times New Roman" w:eastAsia="Times New Roman" w:hAnsi="Times New Roman"/>
                <w:color w:val="000000"/>
                <w:spacing w:val="-1"/>
                <w:lang w:val="it-IT" w:eastAsia="ar-SA"/>
              </w:rPr>
              <w:t>rash eritematoso</w:t>
            </w:r>
            <w:r>
              <w:rPr>
                <w:rFonts w:ascii="Times New Roman" w:hAnsi="Times New Roman"/>
                <w:bCs/>
                <w:color w:val="000000"/>
                <w:lang w:val="it-IT"/>
              </w:rPr>
              <w:t xml:space="preserve"> o esfoliativo</w:t>
            </w:r>
            <w:r>
              <w:rPr>
                <w:rFonts w:ascii="Times New Roman" w:eastAsia="Times New Roman" w:hAnsi="Times New Roman"/>
                <w:color w:val="000000"/>
                <w:spacing w:val="-1"/>
                <w:lang w:val="it-IT" w:eastAsia="ar-SA"/>
              </w:rPr>
              <w:t>, orticaria, eczema, lichen planus.</w:t>
            </w:r>
          </w:p>
        </w:tc>
      </w:tr>
      <w:tr>
        <w:trPr>
          <w:trHeight w:hRule="exact" w:val="1146"/>
        </w:trPr>
        <w:tc>
          <w:tcPr>
            <w:tcW w:w="1930" w:type="dxa"/>
            <w:tcBorders>
              <w:left w:val="single" w:sz="4" w:space="0" w:color="000000"/>
              <w:bottom w:val="single" w:sz="4" w:space="0" w:color="000000"/>
            </w:tcBorders>
            <w:shd w:val="clear" w:color="auto" w:fill="FFFFFF"/>
          </w:tcPr>
          <w:p>
            <w:pPr>
              <w:tabs>
                <w:tab w:val="left" w:pos="540"/>
              </w:tabs>
              <w:autoSpaceDE w:val="0"/>
              <w:autoSpaceDN w:val="0"/>
              <w:adjustRightInd w:val="0"/>
              <w:spacing w:line="240" w:lineRule="auto"/>
              <w:rPr>
                <w:rFonts w:ascii="Times New Roman" w:hAnsi="Times New Roman"/>
                <w:bCs/>
                <w:color w:val="000000"/>
                <w:lang w:val="it-IT"/>
              </w:rPr>
            </w:pPr>
            <w:r>
              <w:rPr>
                <w:rFonts w:ascii="Times New Roman" w:hAnsi="Times New Roman"/>
                <w:bCs/>
                <w:color w:val="000000"/>
                <w:lang w:val="it-IT"/>
              </w:rPr>
              <w:t>Patologie dell’apparato riproduttivo e della mammella</w:t>
            </w:r>
          </w:p>
        </w:tc>
        <w:tc>
          <w:tcPr>
            <w:tcW w:w="1709" w:type="dxa"/>
            <w:tcBorders>
              <w:left w:val="single" w:sz="4" w:space="0" w:color="000000"/>
              <w:bottom w:val="single" w:sz="4" w:space="0" w:color="000000"/>
            </w:tcBorders>
            <w:shd w:val="clear" w:color="auto" w:fill="FFFFFF"/>
          </w:tcPr>
          <w:p>
            <w:pPr>
              <w:tabs>
                <w:tab w:val="left" w:pos="540"/>
              </w:tabs>
              <w:autoSpaceDE w:val="0"/>
              <w:autoSpaceDN w:val="0"/>
              <w:adjustRightInd w:val="0"/>
              <w:spacing w:line="240" w:lineRule="auto"/>
              <w:rPr>
                <w:rFonts w:ascii="Times New Roman" w:hAnsi="Times New Roman"/>
                <w:bCs/>
                <w:color w:val="000000"/>
                <w:lang w:val="it-IT"/>
              </w:rPr>
            </w:pPr>
          </w:p>
        </w:tc>
        <w:tc>
          <w:tcPr>
            <w:tcW w:w="1795" w:type="dxa"/>
            <w:tcBorders>
              <w:left w:val="single" w:sz="4" w:space="0" w:color="000000"/>
              <w:bottom w:val="single" w:sz="4" w:space="0" w:color="000000"/>
            </w:tcBorders>
            <w:shd w:val="clear" w:color="auto" w:fill="FFFFFF"/>
          </w:tcPr>
          <w:p>
            <w:pPr>
              <w:tabs>
                <w:tab w:val="left" w:pos="540"/>
              </w:tabs>
              <w:autoSpaceDE w:val="0"/>
              <w:autoSpaceDN w:val="0"/>
              <w:adjustRightInd w:val="0"/>
              <w:spacing w:line="240" w:lineRule="auto"/>
              <w:rPr>
                <w:rFonts w:ascii="Times New Roman" w:hAnsi="Times New Roman"/>
                <w:bCs/>
                <w:color w:val="000000"/>
                <w:lang w:val="it-IT"/>
              </w:rPr>
            </w:pPr>
          </w:p>
        </w:tc>
        <w:tc>
          <w:tcPr>
            <w:tcW w:w="1603" w:type="dxa"/>
            <w:tcBorders>
              <w:left w:val="single" w:sz="4" w:space="0" w:color="000000"/>
              <w:bottom w:val="single" w:sz="4" w:space="0" w:color="000000"/>
            </w:tcBorders>
            <w:shd w:val="clear" w:color="auto" w:fill="FFFFFF"/>
          </w:tcPr>
          <w:p>
            <w:pPr>
              <w:tabs>
                <w:tab w:val="left" w:pos="540"/>
              </w:tabs>
              <w:autoSpaceDE w:val="0"/>
              <w:autoSpaceDN w:val="0"/>
              <w:adjustRightInd w:val="0"/>
              <w:spacing w:line="240" w:lineRule="auto"/>
              <w:rPr>
                <w:rFonts w:ascii="Times New Roman" w:hAnsi="Times New Roman"/>
                <w:bCs/>
                <w:color w:val="000000"/>
                <w:lang w:val="it-IT"/>
              </w:rPr>
            </w:pPr>
            <w:r>
              <w:rPr>
                <w:rFonts w:ascii="Times New Roman" w:hAnsi="Times New Roman"/>
                <w:bCs/>
                <w:color w:val="000000"/>
                <w:lang w:val="it-IT"/>
              </w:rPr>
              <w:t>Ginecomastia</w:t>
            </w:r>
          </w:p>
        </w:tc>
        <w:tc>
          <w:tcPr>
            <w:tcW w:w="2501" w:type="dxa"/>
            <w:tcBorders>
              <w:left w:val="single" w:sz="4" w:space="0" w:color="000000"/>
              <w:bottom w:val="single" w:sz="4" w:space="0" w:color="000000"/>
              <w:right w:val="single" w:sz="4" w:space="0" w:color="000000"/>
            </w:tcBorders>
            <w:shd w:val="clear" w:color="auto" w:fill="FFFFFF"/>
          </w:tcPr>
          <w:p>
            <w:pPr>
              <w:tabs>
                <w:tab w:val="left" w:pos="540"/>
              </w:tabs>
              <w:autoSpaceDE w:val="0"/>
              <w:autoSpaceDN w:val="0"/>
              <w:adjustRightInd w:val="0"/>
              <w:spacing w:line="240" w:lineRule="auto"/>
              <w:rPr>
                <w:rFonts w:ascii="Times New Roman" w:hAnsi="Times New Roman"/>
                <w:bCs/>
                <w:color w:val="000000"/>
                <w:lang w:val="it-IT"/>
              </w:rPr>
            </w:pPr>
          </w:p>
        </w:tc>
      </w:tr>
      <w:tr>
        <w:trPr>
          <w:trHeight w:hRule="exact" w:val="1146"/>
        </w:trPr>
        <w:tc>
          <w:tcPr>
            <w:tcW w:w="1930" w:type="dxa"/>
            <w:tcBorders>
              <w:left w:val="single" w:sz="4" w:space="0" w:color="000000"/>
              <w:bottom w:val="single" w:sz="4" w:space="0" w:color="000000"/>
            </w:tcBorders>
            <w:shd w:val="clear" w:color="auto" w:fill="FFFFFF"/>
          </w:tcPr>
          <w:p>
            <w:pPr>
              <w:tabs>
                <w:tab w:val="left" w:pos="540"/>
              </w:tabs>
              <w:autoSpaceDE w:val="0"/>
              <w:autoSpaceDN w:val="0"/>
              <w:adjustRightInd w:val="0"/>
              <w:spacing w:line="240" w:lineRule="auto"/>
              <w:rPr>
                <w:rFonts w:ascii="Times New Roman" w:hAnsi="Times New Roman"/>
                <w:bCs/>
                <w:color w:val="000000"/>
                <w:lang w:val="it-IT"/>
              </w:rPr>
            </w:pPr>
            <w:r>
              <w:rPr>
                <w:rFonts w:ascii="Times New Roman" w:eastAsia="Times New Roman" w:hAnsi="Times New Roman"/>
                <w:color w:val="000000"/>
                <w:spacing w:val="-1"/>
                <w:lang w:val="it-IT"/>
              </w:rPr>
              <w:t>Patologie del sistema muscoloscheletrico e del tessuto connettivo</w:t>
            </w:r>
          </w:p>
        </w:tc>
        <w:tc>
          <w:tcPr>
            <w:tcW w:w="1709" w:type="dxa"/>
            <w:tcBorders>
              <w:left w:val="single" w:sz="4" w:space="0" w:color="000000"/>
              <w:bottom w:val="single" w:sz="4" w:space="0" w:color="000000"/>
            </w:tcBorders>
            <w:shd w:val="clear" w:color="auto" w:fill="FFFFFF"/>
          </w:tcPr>
          <w:p>
            <w:pPr>
              <w:tabs>
                <w:tab w:val="left" w:pos="540"/>
              </w:tabs>
              <w:autoSpaceDE w:val="0"/>
              <w:autoSpaceDN w:val="0"/>
              <w:adjustRightInd w:val="0"/>
              <w:spacing w:line="240" w:lineRule="auto"/>
              <w:rPr>
                <w:rFonts w:ascii="Times New Roman" w:hAnsi="Times New Roman"/>
                <w:bCs/>
                <w:color w:val="000000"/>
                <w:lang w:val="it-IT"/>
              </w:rPr>
            </w:pPr>
          </w:p>
        </w:tc>
        <w:tc>
          <w:tcPr>
            <w:tcW w:w="1795" w:type="dxa"/>
            <w:tcBorders>
              <w:left w:val="single" w:sz="4" w:space="0" w:color="000000"/>
              <w:bottom w:val="single" w:sz="4" w:space="0" w:color="000000"/>
            </w:tcBorders>
            <w:shd w:val="clear" w:color="auto" w:fill="FFFFFF"/>
          </w:tcPr>
          <w:p>
            <w:pPr>
              <w:tabs>
                <w:tab w:val="left" w:pos="540"/>
              </w:tabs>
              <w:autoSpaceDE w:val="0"/>
              <w:autoSpaceDN w:val="0"/>
              <w:adjustRightInd w:val="0"/>
              <w:spacing w:line="240" w:lineRule="auto"/>
              <w:rPr>
                <w:rFonts w:ascii="Times New Roman" w:hAnsi="Times New Roman"/>
                <w:bCs/>
                <w:color w:val="000000"/>
                <w:lang w:val="it-IT"/>
              </w:rPr>
            </w:pPr>
          </w:p>
        </w:tc>
        <w:tc>
          <w:tcPr>
            <w:tcW w:w="1603" w:type="dxa"/>
            <w:tcBorders>
              <w:left w:val="single" w:sz="4" w:space="0" w:color="000000"/>
              <w:bottom w:val="single" w:sz="4" w:space="0" w:color="000000"/>
            </w:tcBorders>
            <w:shd w:val="clear" w:color="auto" w:fill="FFFFFF"/>
          </w:tcPr>
          <w:p>
            <w:pPr>
              <w:tabs>
                <w:tab w:val="left" w:pos="540"/>
              </w:tabs>
              <w:autoSpaceDE w:val="0"/>
              <w:autoSpaceDN w:val="0"/>
              <w:adjustRightInd w:val="0"/>
              <w:spacing w:line="240" w:lineRule="auto"/>
              <w:rPr>
                <w:rFonts w:ascii="Times New Roman" w:hAnsi="Times New Roman"/>
                <w:bCs/>
                <w:color w:val="000000"/>
                <w:lang w:val="it-IT"/>
              </w:rPr>
            </w:pPr>
          </w:p>
        </w:tc>
        <w:tc>
          <w:tcPr>
            <w:tcW w:w="2501" w:type="dxa"/>
            <w:tcBorders>
              <w:left w:val="single" w:sz="4" w:space="0" w:color="000000"/>
              <w:bottom w:val="single" w:sz="4" w:space="0" w:color="000000"/>
              <w:right w:val="single" w:sz="4" w:space="0" w:color="000000"/>
            </w:tcBorders>
            <w:shd w:val="clear" w:color="auto" w:fill="FFFFFF"/>
          </w:tcPr>
          <w:p>
            <w:pPr>
              <w:tabs>
                <w:tab w:val="left" w:pos="540"/>
              </w:tabs>
              <w:autoSpaceDE w:val="0"/>
              <w:autoSpaceDN w:val="0"/>
              <w:adjustRightInd w:val="0"/>
              <w:spacing w:line="240" w:lineRule="auto"/>
              <w:rPr>
                <w:rFonts w:ascii="Times New Roman" w:hAnsi="Times New Roman"/>
                <w:bCs/>
                <w:color w:val="000000"/>
                <w:lang w:val="it-IT"/>
              </w:rPr>
            </w:pPr>
            <w:r>
              <w:rPr>
                <w:rFonts w:ascii="Times New Roman" w:eastAsia="Times New Roman" w:hAnsi="Times New Roman"/>
                <w:bCs/>
                <w:color w:val="000000"/>
                <w:lang w:val="it-IT" w:eastAsia="ar-SA"/>
              </w:rPr>
              <w:t>Sanguinamento muscoloscheletrico (emartro), artrite, artralgia, mialgia</w:t>
            </w:r>
          </w:p>
        </w:tc>
      </w:tr>
      <w:tr>
        <w:trPr>
          <w:trHeight w:hRule="exact" w:val="1146"/>
        </w:trPr>
        <w:tc>
          <w:tcPr>
            <w:tcW w:w="1930" w:type="dxa"/>
            <w:tcBorders>
              <w:left w:val="single" w:sz="4" w:space="0" w:color="000000"/>
              <w:bottom w:val="single" w:sz="4" w:space="0" w:color="000000"/>
            </w:tcBorders>
            <w:shd w:val="clear" w:color="auto" w:fill="FFFFFF"/>
          </w:tcPr>
          <w:p>
            <w:pPr>
              <w:widowControl w:val="0"/>
              <w:shd w:val="clear" w:color="auto" w:fill="FFFFFF"/>
              <w:suppressAutoHyphens/>
              <w:autoSpaceDE w:val="0"/>
              <w:snapToGrid w:val="0"/>
              <w:spacing w:after="0" w:line="240" w:lineRule="auto"/>
              <w:rPr>
                <w:rFonts w:ascii="Times New Roman" w:eastAsia="Times New Roman" w:hAnsi="Times New Roman"/>
                <w:color w:val="000000"/>
                <w:spacing w:val="-1"/>
                <w:lang w:val="it-IT" w:eastAsia="ar-SA"/>
              </w:rPr>
            </w:pPr>
            <w:r>
              <w:rPr>
                <w:rFonts w:ascii="Times New Roman" w:eastAsia="Times New Roman" w:hAnsi="Times New Roman"/>
                <w:color w:val="000000"/>
                <w:spacing w:val="-1"/>
                <w:lang w:val="it-IT" w:eastAsia="ar-SA"/>
              </w:rPr>
              <w:t>Patologie del sistema muscoloscheletrico e del tessuto connettivo</w:t>
            </w:r>
          </w:p>
        </w:tc>
        <w:tc>
          <w:tcPr>
            <w:tcW w:w="1709" w:type="dxa"/>
            <w:tcBorders>
              <w:left w:val="single" w:sz="4" w:space="0" w:color="000000"/>
              <w:bottom w:val="single" w:sz="4" w:space="0" w:color="000000"/>
            </w:tcBorders>
            <w:shd w:val="clear" w:color="auto" w:fill="FFFFFF"/>
          </w:tcPr>
          <w:p>
            <w:pPr>
              <w:widowControl w:val="0"/>
              <w:shd w:val="clear" w:color="auto" w:fill="FFFFFF"/>
              <w:suppressAutoHyphens/>
              <w:autoSpaceDE w:val="0"/>
              <w:snapToGrid w:val="0"/>
              <w:spacing w:after="0" w:line="240" w:lineRule="auto"/>
              <w:rPr>
                <w:rFonts w:ascii="Times New Roman" w:eastAsia="Times New Roman" w:hAnsi="Times New Roman"/>
                <w:color w:val="000000"/>
                <w:spacing w:val="-1"/>
                <w:lang w:val="it-IT" w:eastAsia="ar-SA"/>
              </w:rPr>
            </w:pPr>
          </w:p>
        </w:tc>
        <w:tc>
          <w:tcPr>
            <w:tcW w:w="1795" w:type="dxa"/>
            <w:tcBorders>
              <w:left w:val="single" w:sz="4" w:space="0" w:color="000000"/>
              <w:bottom w:val="single" w:sz="4" w:space="0" w:color="000000"/>
            </w:tcBorders>
            <w:shd w:val="clear" w:color="auto" w:fill="FFFFFF"/>
          </w:tcPr>
          <w:p>
            <w:pPr>
              <w:widowControl w:val="0"/>
              <w:shd w:val="clear" w:color="auto" w:fill="FFFFFF"/>
              <w:suppressAutoHyphens/>
              <w:autoSpaceDE w:val="0"/>
              <w:snapToGrid w:val="0"/>
              <w:spacing w:after="0" w:line="240" w:lineRule="auto"/>
              <w:rPr>
                <w:rFonts w:ascii="Times New Roman" w:eastAsia="Times New Roman" w:hAnsi="Times New Roman"/>
                <w:lang w:val="it-IT" w:eastAsia="ar-SA"/>
              </w:rPr>
            </w:pPr>
          </w:p>
        </w:tc>
        <w:tc>
          <w:tcPr>
            <w:tcW w:w="1603" w:type="dxa"/>
            <w:tcBorders>
              <w:left w:val="single" w:sz="4" w:space="0" w:color="000000"/>
              <w:bottom w:val="single" w:sz="4" w:space="0" w:color="000000"/>
            </w:tcBorders>
            <w:shd w:val="clear" w:color="auto" w:fill="FFFFFF"/>
          </w:tcPr>
          <w:p>
            <w:pPr>
              <w:widowControl w:val="0"/>
              <w:shd w:val="clear" w:color="auto" w:fill="FFFFFF"/>
              <w:suppressAutoHyphens/>
              <w:autoSpaceDE w:val="0"/>
              <w:snapToGrid w:val="0"/>
              <w:spacing w:after="0" w:line="240" w:lineRule="auto"/>
              <w:rPr>
                <w:rFonts w:ascii="Times New Roman" w:eastAsia="Times New Roman" w:hAnsi="Times New Roman"/>
                <w:lang w:val="it-IT" w:eastAsia="ar-SA"/>
              </w:rPr>
            </w:pPr>
          </w:p>
        </w:tc>
        <w:tc>
          <w:tcPr>
            <w:tcW w:w="2501" w:type="dxa"/>
            <w:tcBorders>
              <w:left w:val="single" w:sz="4" w:space="0" w:color="000000"/>
              <w:bottom w:val="single" w:sz="4" w:space="0" w:color="000000"/>
              <w:right w:val="single" w:sz="4" w:space="0" w:color="000000"/>
            </w:tcBorders>
            <w:shd w:val="clear" w:color="auto" w:fill="FFFFFF"/>
          </w:tcPr>
          <w:p>
            <w:pPr>
              <w:widowControl w:val="0"/>
              <w:shd w:val="clear" w:color="auto" w:fill="FFFFFF"/>
              <w:suppressAutoHyphens/>
              <w:autoSpaceDE w:val="0"/>
              <w:snapToGrid w:val="0"/>
              <w:spacing w:after="0" w:line="240" w:lineRule="auto"/>
              <w:ind w:hanging="5"/>
              <w:rPr>
                <w:rFonts w:ascii="Times New Roman" w:eastAsia="Times New Roman" w:hAnsi="Times New Roman"/>
                <w:color w:val="000000"/>
                <w:spacing w:val="-1"/>
                <w:lang w:val="it-IT" w:eastAsia="ar-SA"/>
              </w:rPr>
            </w:pPr>
            <w:r>
              <w:rPr>
                <w:rFonts w:ascii="Times New Roman" w:eastAsia="Times New Roman" w:hAnsi="Times New Roman"/>
                <w:color w:val="000000"/>
                <w:spacing w:val="-1"/>
                <w:lang w:val="it-IT" w:eastAsia="ar-SA"/>
              </w:rPr>
              <w:t>Sanguinamento muscoloscheletrico (emartro), artrite, artralgia, mialgia</w:t>
            </w:r>
          </w:p>
        </w:tc>
      </w:tr>
      <w:tr>
        <w:trPr>
          <w:trHeight w:hRule="exact" w:val="959"/>
        </w:trPr>
        <w:tc>
          <w:tcPr>
            <w:tcW w:w="1930" w:type="dxa"/>
            <w:tcBorders>
              <w:left w:val="single" w:sz="4" w:space="0" w:color="000000"/>
              <w:bottom w:val="single" w:sz="4" w:space="0" w:color="000000"/>
            </w:tcBorders>
            <w:shd w:val="clear" w:color="auto" w:fill="FFFFFF"/>
          </w:tcPr>
          <w:p>
            <w:pPr>
              <w:widowControl w:val="0"/>
              <w:shd w:val="clear" w:color="auto" w:fill="FFFFFF"/>
              <w:suppressAutoHyphens/>
              <w:autoSpaceDE w:val="0"/>
              <w:snapToGrid w:val="0"/>
              <w:spacing w:after="0" w:line="240" w:lineRule="auto"/>
              <w:rPr>
                <w:rFonts w:ascii="Times New Roman" w:eastAsia="Times New Roman" w:hAnsi="Times New Roman"/>
                <w:color w:val="000000"/>
                <w:spacing w:val="-1"/>
                <w:lang w:val="it-IT" w:eastAsia="ar-SA"/>
              </w:rPr>
            </w:pPr>
            <w:r>
              <w:rPr>
                <w:rFonts w:ascii="Times New Roman" w:eastAsia="Times New Roman" w:hAnsi="Times New Roman"/>
                <w:color w:val="000000"/>
                <w:spacing w:val="-1"/>
                <w:lang w:val="it-IT" w:eastAsia="ar-SA"/>
              </w:rPr>
              <w:t>Patologie renali e urinarie</w:t>
            </w:r>
          </w:p>
        </w:tc>
        <w:tc>
          <w:tcPr>
            <w:tcW w:w="1709" w:type="dxa"/>
            <w:tcBorders>
              <w:left w:val="single" w:sz="4" w:space="0" w:color="000000"/>
              <w:bottom w:val="single" w:sz="4" w:space="0" w:color="000000"/>
            </w:tcBorders>
            <w:shd w:val="clear" w:color="auto" w:fill="FFFFFF"/>
          </w:tcPr>
          <w:p>
            <w:pPr>
              <w:widowControl w:val="0"/>
              <w:shd w:val="clear" w:color="auto" w:fill="FFFFFF"/>
              <w:suppressAutoHyphens/>
              <w:autoSpaceDE w:val="0"/>
              <w:snapToGrid w:val="0"/>
              <w:spacing w:after="0" w:line="240" w:lineRule="auto"/>
              <w:rPr>
                <w:rFonts w:ascii="Times New Roman" w:eastAsia="Times New Roman" w:hAnsi="Times New Roman"/>
                <w:color w:val="000000"/>
                <w:spacing w:val="-1"/>
                <w:lang w:val="it-IT" w:eastAsia="ar-SA"/>
              </w:rPr>
            </w:pPr>
          </w:p>
        </w:tc>
        <w:tc>
          <w:tcPr>
            <w:tcW w:w="1795" w:type="dxa"/>
            <w:tcBorders>
              <w:left w:val="single" w:sz="4" w:space="0" w:color="000000"/>
              <w:bottom w:val="single" w:sz="4" w:space="0" w:color="000000"/>
            </w:tcBorders>
            <w:shd w:val="clear" w:color="auto" w:fill="FFFFFF"/>
          </w:tcPr>
          <w:p>
            <w:pPr>
              <w:widowControl w:val="0"/>
              <w:shd w:val="clear" w:color="auto" w:fill="FFFFFF"/>
              <w:suppressAutoHyphens/>
              <w:autoSpaceDE w:val="0"/>
              <w:snapToGrid w:val="0"/>
              <w:spacing w:after="0" w:line="240" w:lineRule="auto"/>
              <w:rPr>
                <w:rFonts w:ascii="Times New Roman" w:eastAsia="Times New Roman" w:hAnsi="Times New Roman"/>
                <w:lang w:val="it-IT" w:eastAsia="ar-SA"/>
              </w:rPr>
            </w:pPr>
            <w:r>
              <w:rPr>
                <w:rFonts w:ascii="Times New Roman" w:eastAsia="Times New Roman" w:hAnsi="Times New Roman"/>
                <w:lang w:val="it-IT" w:eastAsia="ar-SA"/>
              </w:rPr>
              <w:t>Ematuria</w:t>
            </w:r>
          </w:p>
        </w:tc>
        <w:tc>
          <w:tcPr>
            <w:tcW w:w="1603" w:type="dxa"/>
            <w:tcBorders>
              <w:left w:val="single" w:sz="4" w:space="0" w:color="000000"/>
              <w:bottom w:val="single" w:sz="4" w:space="0" w:color="000000"/>
            </w:tcBorders>
            <w:shd w:val="clear" w:color="auto" w:fill="FFFFFF"/>
          </w:tcPr>
          <w:p>
            <w:pPr>
              <w:widowControl w:val="0"/>
              <w:shd w:val="clear" w:color="auto" w:fill="FFFFFF"/>
              <w:suppressAutoHyphens/>
              <w:autoSpaceDE w:val="0"/>
              <w:snapToGrid w:val="0"/>
              <w:spacing w:after="0" w:line="240" w:lineRule="auto"/>
              <w:rPr>
                <w:rFonts w:ascii="Times New Roman" w:eastAsia="Times New Roman" w:hAnsi="Times New Roman"/>
                <w:lang w:val="it-IT" w:eastAsia="ar-SA"/>
              </w:rPr>
            </w:pPr>
          </w:p>
        </w:tc>
        <w:tc>
          <w:tcPr>
            <w:tcW w:w="2501" w:type="dxa"/>
            <w:tcBorders>
              <w:left w:val="single" w:sz="4" w:space="0" w:color="000000"/>
              <w:bottom w:val="single" w:sz="4" w:space="0" w:color="000000"/>
              <w:right w:val="single" w:sz="4" w:space="0" w:color="000000"/>
            </w:tcBorders>
            <w:shd w:val="clear" w:color="auto" w:fill="FFFFFF"/>
          </w:tcPr>
          <w:p>
            <w:pPr>
              <w:widowControl w:val="0"/>
              <w:shd w:val="clear" w:color="auto" w:fill="FFFFFF"/>
              <w:suppressAutoHyphens/>
              <w:autoSpaceDE w:val="0"/>
              <w:snapToGrid w:val="0"/>
              <w:spacing w:after="0" w:line="240" w:lineRule="auto"/>
              <w:ind w:hanging="5"/>
              <w:rPr>
                <w:rFonts w:ascii="Times New Roman" w:eastAsia="Times New Roman" w:hAnsi="Times New Roman"/>
                <w:color w:val="000000"/>
                <w:spacing w:val="-1"/>
                <w:lang w:val="it-IT" w:eastAsia="ar-SA"/>
              </w:rPr>
            </w:pPr>
            <w:r>
              <w:rPr>
                <w:rFonts w:ascii="Times New Roman" w:eastAsia="Times New Roman" w:hAnsi="Times New Roman"/>
                <w:color w:val="000000"/>
                <w:spacing w:val="-1"/>
                <w:lang w:val="it-IT" w:eastAsia="ar-SA"/>
              </w:rPr>
              <w:t>Glomerulonefrite, aumento della creatininemia.</w:t>
            </w:r>
          </w:p>
        </w:tc>
      </w:tr>
      <w:tr>
        <w:trPr>
          <w:trHeight w:hRule="exact" w:val="1124"/>
        </w:trPr>
        <w:tc>
          <w:tcPr>
            <w:tcW w:w="1930" w:type="dxa"/>
            <w:tcBorders>
              <w:top w:val="single" w:sz="4" w:space="0" w:color="auto"/>
              <w:left w:val="single" w:sz="4" w:space="0" w:color="000000"/>
              <w:bottom w:val="single" w:sz="4" w:space="0" w:color="000000"/>
            </w:tcBorders>
            <w:shd w:val="clear" w:color="auto" w:fill="FFFFFF"/>
          </w:tcPr>
          <w:p>
            <w:pPr>
              <w:widowControl w:val="0"/>
              <w:shd w:val="clear" w:color="auto" w:fill="FFFFFF"/>
              <w:suppressAutoHyphens/>
              <w:autoSpaceDE w:val="0"/>
              <w:snapToGrid w:val="0"/>
              <w:spacing w:after="0" w:line="240" w:lineRule="auto"/>
              <w:rPr>
                <w:rFonts w:ascii="Times New Roman" w:eastAsia="Times New Roman" w:hAnsi="Times New Roman"/>
                <w:color w:val="000000"/>
                <w:spacing w:val="-1"/>
                <w:lang w:val="it-IT" w:eastAsia="ar-SA"/>
              </w:rPr>
            </w:pPr>
            <w:r>
              <w:rPr>
                <w:rFonts w:ascii="Times New Roman" w:eastAsia="Times New Roman" w:hAnsi="Times New Roman"/>
                <w:color w:val="000000"/>
                <w:spacing w:val="-1"/>
                <w:lang w:val="it-IT" w:eastAsia="ar-SA"/>
              </w:rPr>
              <w:t>Patologie sistemiche e condizioni relative alla sede di somministrazione</w:t>
            </w:r>
          </w:p>
        </w:tc>
        <w:tc>
          <w:tcPr>
            <w:tcW w:w="1709" w:type="dxa"/>
            <w:tcBorders>
              <w:top w:val="single" w:sz="4" w:space="0" w:color="auto"/>
              <w:left w:val="single" w:sz="4" w:space="0" w:color="000000"/>
              <w:bottom w:val="single" w:sz="4" w:space="0" w:color="000000"/>
            </w:tcBorders>
            <w:shd w:val="clear" w:color="auto" w:fill="FFFFFF"/>
          </w:tcPr>
          <w:p>
            <w:pPr>
              <w:widowControl w:val="0"/>
              <w:shd w:val="clear" w:color="auto" w:fill="FFFFFF"/>
              <w:suppressAutoHyphens/>
              <w:autoSpaceDE w:val="0"/>
              <w:snapToGrid w:val="0"/>
              <w:spacing w:after="0" w:line="240" w:lineRule="auto"/>
              <w:rPr>
                <w:rFonts w:ascii="Times New Roman" w:eastAsia="Times New Roman" w:hAnsi="Times New Roman"/>
                <w:color w:val="000000"/>
                <w:spacing w:val="-1"/>
                <w:lang w:val="it-IT" w:eastAsia="ar-SA"/>
              </w:rPr>
            </w:pPr>
            <w:r>
              <w:rPr>
                <w:rFonts w:ascii="Times New Roman" w:eastAsia="Times New Roman" w:hAnsi="Times New Roman"/>
                <w:color w:val="000000"/>
                <w:spacing w:val="-1"/>
                <w:lang w:val="it-IT" w:eastAsia="ar-SA"/>
              </w:rPr>
              <w:t>Sanguinamento in sede di iniezione</w:t>
            </w:r>
          </w:p>
        </w:tc>
        <w:tc>
          <w:tcPr>
            <w:tcW w:w="1795" w:type="dxa"/>
            <w:tcBorders>
              <w:top w:val="single" w:sz="4" w:space="0" w:color="auto"/>
              <w:left w:val="single" w:sz="4" w:space="0" w:color="000000"/>
              <w:bottom w:val="single" w:sz="4" w:space="0" w:color="000000"/>
            </w:tcBorders>
            <w:shd w:val="clear" w:color="auto" w:fill="FFFFFF"/>
          </w:tcPr>
          <w:p>
            <w:pPr>
              <w:widowControl w:val="0"/>
              <w:shd w:val="clear" w:color="auto" w:fill="FFFFFF"/>
              <w:suppressAutoHyphens/>
              <w:autoSpaceDE w:val="0"/>
              <w:snapToGrid w:val="0"/>
              <w:spacing w:after="0" w:line="240" w:lineRule="auto"/>
              <w:rPr>
                <w:rFonts w:ascii="Times New Roman" w:eastAsia="Times New Roman" w:hAnsi="Times New Roman"/>
                <w:lang w:val="it-IT" w:eastAsia="ar-SA"/>
              </w:rPr>
            </w:pPr>
          </w:p>
        </w:tc>
        <w:tc>
          <w:tcPr>
            <w:tcW w:w="1603" w:type="dxa"/>
            <w:tcBorders>
              <w:top w:val="single" w:sz="4" w:space="0" w:color="auto"/>
              <w:left w:val="single" w:sz="4" w:space="0" w:color="000000"/>
              <w:bottom w:val="single" w:sz="4" w:space="0" w:color="000000"/>
            </w:tcBorders>
            <w:shd w:val="clear" w:color="auto" w:fill="FFFFFF"/>
          </w:tcPr>
          <w:p>
            <w:pPr>
              <w:widowControl w:val="0"/>
              <w:shd w:val="clear" w:color="auto" w:fill="FFFFFF"/>
              <w:suppressAutoHyphens/>
              <w:autoSpaceDE w:val="0"/>
              <w:snapToGrid w:val="0"/>
              <w:spacing w:after="0" w:line="240" w:lineRule="auto"/>
              <w:rPr>
                <w:rFonts w:ascii="Times New Roman" w:eastAsia="Times New Roman" w:hAnsi="Times New Roman"/>
                <w:lang w:val="it-IT" w:eastAsia="ar-SA"/>
              </w:rPr>
            </w:pPr>
          </w:p>
        </w:tc>
        <w:tc>
          <w:tcPr>
            <w:tcW w:w="2501" w:type="dxa"/>
            <w:tcBorders>
              <w:top w:val="single" w:sz="4" w:space="0" w:color="auto"/>
              <w:left w:val="single" w:sz="4" w:space="0" w:color="000000"/>
              <w:bottom w:val="single" w:sz="4" w:space="0" w:color="000000"/>
              <w:right w:val="single" w:sz="4" w:space="0" w:color="000000"/>
            </w:tcBorders>
            <w:shd w:val="clear" w:color="auto" w:fill="FFFFFF"/>
          </w:tcPr>
          <w:p>
            <w:pPr>
              <w:widowControl w:val="0"/>
              <w:shd w:val="clear" w:color="auto" w:fill="FFFFFF"/>
              <w:suppressAutoHyphens/>
              <w:autoSpaceDE w:val="0"/>
              <w:snapToGrid w:val="0"/>
              <w:spacing w:after="0" w:line="240" w:lineRule="auto"/>
              <w:ind w:hanging="5"/>
              <w:rPr>
                <w:rFonts w:ascii="Times New Roman" w:eastAsia="Times New Roman" w:hAnsi="Times New Roman"/>
                <w:color w:val="000000"/>
                <w:spacing w:val="-1"/>
                <w:lang w:val="it-IT" w:eastAsia="ar-SA"/>
              </w:rPr>
            </w:pPr>
            <w:r>
              <w:rPr>
                <w:rFonts w:ascii="Times New Roman" w:eastAsia="Times New Roman" w:hAnsi="Times New Roman"/>
                <w:color w:val="000000"/>
                <w:spacing w:val="-1"/>
                <w:lang w:val="it-IT" w:eastAsia="ar-SA"/>
              </w:rPr>
              <w:t>Febbre</w:t>
            </w:r>
          </w:p>
        </w:tc>
      </w:tr>
      <w:tr>
        <w:trPr>
          <w:trHeight w:hRule="exact" w:val="1854"/>
        </w:trPr>
        <w:tc>
          <w:tcPr>
            <w:tcW w:w="1930" w:type="dxa"/>
            <w:tcBorders>
              <w:top w:val="single" w:sz="4" w:space="0" w:color="000000"/>
              <w:left w:val="single" w:sz="4" w:space="0" w:color="000000"/>
              <w:bottom w:val="single" w:sz="4" w:space="0" w:color="000000"/>
            </w:tcBorders>
            <w:shd w:val="clear" w:color="auto" w:fill="FFFFFF"/>
          </w:tcPr>
          <w:p>
            <w:pPr>
              <w:widowControl w:val="0"/>
              <w:shd w:val="clear" w:color="auto" w:fill="FFFFFF"/>
              <w:suppressAutoHyphens/>
              <w:autoSpaceDE w:val="0"/>
              <w:snapToGrid w:val="0"/>
              <w:spacing w:after="0" w:line="240" w:lineRule="auto"/>
              <w:rPr>
                <w:rFonts w:ascii="Times New Roman" w:eastAsia="Times New Roman" w:hAnsi="Times New Roman"/>
                <w:color w:val="000000"/>
                <w:spacing w:val="-1"/>
                <w:lang w:val="it-IT" w:eastAsia="ar-SA"/>
              </w:rPr>
            </w:pPr>
            <w:r>
              <w:rPr>
                <w:rFonts w:ascii="Times New Roman" w:eastAsia="Times New Roman" w:hAnsi="Times New Roman"/>
                <w:color w:val="000000"/>
                <w:spacing w:val="-1"/>
                <w:lang w:val="it-IT" w:eastAsia="ar-SA"/>
              </w:rPr>
              <w:t>Esami diagnostici</w:t>
            </w:r>
          </w:p>
        </w:tc>
        <w:tc>
          <w:tcPr>
            <w:tcW w:w="1709" w:type="dxa"/>
            <w:tcBorders>
              <w:top w:val="single" w:sz="4" w:space="0" w:color="000000"/>
              <w:left w:val="single" w:sz="4" w:space="0" w:color="000000"/>
              <w:bottom w:val="single" w:sz="4" w:space="0" w:color="000000"/>
            </w:tcBorders>
            <w:shd w:val="clear" w:color="auto" w:fill="FFFFFF"/>
          </w:tcPr>
          <w:p>
            <w:pPr>
              <w:widowControl w:val="0"/>
              <w:shd w:val="clear" w:color="auto" w:fill="FFFFFF"/>
              <w:suppressAutoHyphens/>
              <w:autoSpaceDE w:val="0"/>
              <w:snapToGrid w:val="0"/>
              <w:spacing w:after="0" w:line="240" w:lineRule="auto"/>
              <w:rPr>
                <w:rFonts w:ascii="Times New Roman" w:eastAsia="Times New Roman" w:hAnsi="Times New Roman"/>
                <w:color w:val="000000"/>
                <w:spacing w:val="-1"/>
                <w:lang w:val="it-IT" w:eastAsia="ar-SA"/>
              </w:rPr>
            </w:pPr>
          </w:p>
        </w:tc>
        <w:tc>
          <w:tcPr>
            <w:tcW w:w="1795" w:type="dxa"/>
            <w:tcBorders>
              <w:top w:val="single" w:sz="4" w:space="0" w:color="000000"/>
              <w:left w:val="single" w:sz="4" w:space="0" w:color="000000"/>
              <w:bottom w:val="single" w:sz="4" w:space="0" w:color="000000"/>
            </w:tcBorders>
            <w:shd w:val="clear" w:color="auto" w:fill="FFFFFF"/>
          </w:tcPr>
          <w:p>
            <w:pPr>
              <w:widowControl w:val="0"/>
              <w:shd w:val="clear" w:color="auto" w:fill="FFFFFF"/>
              <w:suppressAutoHyphens/>
              <w:autoSpaceDE w:val="0"/>
              <w:snapToGrid w:val="0"/>
              <w:spacing w:after="0" w:line="240" w:lineRule="auto"/>
              <w:rPr>
                <w:rFonts w:ascii="Times New Roman" w:eastAsia="Times New Roman" w:hAnsi="Times New Roman"/>
                <w:lang w:val="it-IT" w:eastAsia="ar-SA"/>
              </w:rPr>
            </w:pPr>
            <w:r>
              <w:rPr>
                <w:rFonts w:ascii="Times New Roman" w:eastAsia="Times New Roman" w:hAnsi="Times New Roman"/>
                <w:lang w:val="it-IT" w:eastAsia="ar-SA"/>
              </w:rPr>
              <w:t>Aumento del tempo di sanguinamento, diminuzione dei neutrofili, diminuzione delle piastrine</w:t>
            </w:r>
          </w:p>
        </w:tc>
        <w:tc>
          <w:tcPr>
            <w:tcW w:w="1603" w:type="dxa"/>
            <w:tcBorders>
              <w:top w:val="single" w:sz="4" w:space="0" w:color="000000"/>
              <w:left w:val="single" w:sz="4" w:space="0" w:color="000000"/>
              <w:bottom w:val="single" w:sz="4" w:space="0" w:color="000000"/>
            </w:tcBorders>
            <w:shd w:val="clear" w:color="auto" w:fill="FFFFFF"/>
          </w:tcPr>
          <w:p>
            <w:pPr>
              <w:widowControl w:val="0"/>
              <w:shd w:val="clear" w:color="auto" w:fill="FFFFFF"/>
              <w:suppressAutoHyphens/>
              <w:autoSpaceDE w:val="0"/>
              <w:snapToGrid w:val="0"/>
              <w:spacing w:after="0" w:line="240" w:lineRule="auto"/>
              <w:rPr>
                <w:rFonts w:ascii="Times New Roman" w:eastAsia="Times New Roman" w:hAnsi="Times New Roman"/>
                <w:lang w:val="it-IT" w:eastAsia="ar-SA"/>
              </w:rPr>
            </w:pPr>
          </w:p>
        </w:tc>
        <w:tc>
          <w:tcPr>
            <w:tcW w:w="2501" w:type="dxa"/>
            <w:tcBorders>
              <w:top w:val="single" w:sz="4" w:space="0" w:color="000000"/>
              <w:left w:val="single" w:sz="4" w:space="0" w:color="000000"/>
              <w:bottom w:val="single" w:sz="4" w:space="0" w:color="000000"/>
              <w:right w:val="single" w:sz="4" w:space="0" w:color="000000"/>
            </w:tcBorders>
            <w:shd w:val="clear" w:color="auto" w:fill="FFFFFF"/>
          </w:tcPr>
          <w:p>
            <w:pPr>
              <w:widowControl w:val="0"/>
              <w:shd w:val="clear" w:color="auto" w:fill="FFFFFF"/>
              <w:suppressAutoHyphens/>
              <w:autoSpaceDE w:val="0"/>
              <w:snapToGrid w:val="0"/>
              <w:spacing w:after="0" w:line="240" w:lineRule="auto"/>
              <w:ind w:hanging="5"/>
              <w:rPr>
                <w:rFonts w:ascii="Times New Roman" w:eastAsia="Times New Roman" w:hAnsi="Times New Roman"/>
                <w:color w:val="000000"/>
                <w:spacing w:val="-1"/>
                <w:lang w:val="it-IT" w:eastAsia="ar-SA"/>
              </w:rPr>
            </w:pPr>
          </w:p>
        </w:tc>
      </w:tr>
    </w:tbl>
    <w:p>
      <w:pPr>
        <w:spacing w:after="0" w:line="240" w:lineRule="auto"/>
        <w:rPr>
          <w:rFonts w:ascii="Times New Roman" w:eastAsia="Times New Roman" w:hAnsi="Times New Roman"/>
          <w:lang w:val="it-IT"/>
        </w:rPr>
      </w:pPr>
      <w:r>
        <w:rPr>
          <w:rFonts w:ascii="Times New Roman" w:eastAsia="Times New Roman" w:hAnsi="Times New Roman"/>
          <w:lang w:val="it-IT"/>
        </w:rPr>
        <w:t>* Informazione relativa a clopidogrel con frequenza “non nota”.</w:t>
      </w:r>
    </w:p>
    <w:p>
      <w:pPr>
        <w:widowControl w:val="0"/>
        <w:suppressAutoHyphens/>
        <w:autoSpaceDE w:val="0"/>
        <w:spacing w:after="0" w:line="240" w:lineRule="auto"/>
        <w:rPr>
          <w:rFonts w:ascii="Times New Roman" w:eastAsia="Times New Roman" w:hAnsi="Times New Roman"/>
          <w:lang w:val="it-IT" w:eastAsia="ar-SA"/>
        </w:rPr>
      </w:pPr>
    </w:p>
    <w:p>
      <w:pPr>
        <w:spacing w:after="0" w:line="240" w:lineRule="auto"/>
        <w:rPr>
          <w:rFonts w:ascii="Times New Roman" w:hAnsi="Times New Roman"/>
          <w:u w:val="single"/>
          <w:lang w:val="it-IT"/>
        </w:rPr>
      </w:pPr>
      <w:r>
        <w:rPr>
          <w:rFonts w:ascii="Times New Roman" w:hAnsi="Times New Roman"/>
          <w:u w:val="single"/>
          <w:lang w:val="it-IT"/>
        </w:rPr>
        <w:t>Segnalazione delle reazioni avverse sospette</w:t>
      </w:r>
    </w:p>
    <w:p>
      <w:pPr>
        <w:spacing w:after="0" w:line="240" w:lineRule="auto"/>
        <w:rPr>
          <w:rFonts w:ascii="Times New Roman" w:hAnsi="Times New Roman"/>
          <w:lang w:val="it-IT"/>
        </w:rPr>
      </w:pPr>
      <w:r>
        <w:rPr>
          <w:rFonts w:ascii="Times New Roman" w:hAnsi="Times New Roman"/>
          <w:lang w:val="it-IT"/>
        </w:rPr>
        <w:t xml:space="preserve">La segnalazione delle reazioni avverse sospette che si verificano dopo l’autorizzazione del medicinale è importante, in quanto permette un monitoraggio continuo del rapporto beneficio/rischio del medicinale. Agli operatori sanitari è richiesto di segnalare qualsiasi reazione avversa sospetta tramite </w:t>
      </w:r>
      <w:r>
        <w:rPr>
          <w:rFonts w:ascii="Times New Roman" w:hAnsi="Times New Roman"/>
          <w:highlight w:val="lightGray"/>
          <w:lang w:val="it-IT"/>
        </w:rPr>
        <w:t>il sistema nazionale di segnalazione riportato nell’</w:t>
      </w:r>
      <w:hyperlink r:id="rId8" w:history="1">
        <w:r>
          <w:rPr>
            <w:rStyle w:val="Hyperlink"/>
            <w:rFonts w:ascii="Times New Roman" w:hAnsi="Times New Roman"/>
            <w:highlight w:val="lightGray"/>
            <w:lang w:val="it-IT"/>
          </w:rPr>
          <w:t>Allegato V</w:t>
        </w:r>
      </w:hyperlink>
      <w:r>
        <w:rPr>
          <w:rFonts w:ascii="Times New Roman" w:eastAsia="Times New Roman" w:hAnsi="Times New Roman"/>
          <w:lang w:val="it-IT" w:eastAsia="ar-SA"/>
        </w:rPr>
        <w:t>.</w:t>
      </w:r>
    </w:p>
    <w:p>
      <w:pPr>
        <w:widowControl w:val="0"/>
        <w:suppressAutoHyphens/>
        <w:autoSpaceDE w:val="0"/>
        <w:spacing w:after="0" w:line="240" w:lineRule="auto"/>
        <w:rPr>
          <w:rFonts w:ascii="Times New Roman" w:eastAsia="Times New Roman" w:hAnsi="Times New Roman"/>
          <w:lang w:val="it-IT" w:eastAsia="ar-SA"/>
        </w:rPr>
      </w:pPr>
    </w:p>
    <w:p>
      <w:pPr>
        <w:widowControl w:val="0"/>
        <w:shd w:val="clear" w:color="auto" w:fill="FFFFFF"/>
        <w:suppressAutoHyphens/>
        <w:autoSpaceDE w:val="0"/>
        <w:spacing w:after="0" w:line="240" w:lineRule="auto"/>
        <w:ind w:left="567" w:hanging="567"/>
        <w:rPr>
          <w:rFonts w:ascii="Times New Roman" w:eastAsia="Times New Roman" w:hAnsi="Times New Roman"/>
          <w:b/>
          <w:bCs/>
          <w:color w:val="000000"/>
          <w:spacing w:val="2"/>
          <w:lang w:val="it-IT" w:eastAsia="ar-SA"/>
        </w:rPr>
      </w:pPr>
      <w:r>
        <w:rPr>
          <w:rFonts w:ascii="Times New Roman" w:eastAsia="Times New Roman" w:hAnsi="Times New Roman"/>
          <w:b/>
          <w:bCs/>
          <w:color w:val="000000"/>
          <w:spacing w:val="2"/>
          <w:lang w:val="it-IT" w:eastAsia="ar-SA"/>
        </w:rPr>
        <w:t>4.9</w:t>
      </w:r>
      <w:r>
        <w:rPr>
          <w:rFonts w:ascii="Times New Roman" w:eastAsia="Times New Roman" w:hAnsi="Times New Roman"/>
          <w:b/>
          <w:bCs/>
          <w:color w:val="000000"/>
          <w:spacing w:val="2"/>
          <w:lang w:val="it-IT" w:eastAsia="ar-SA"/>
        </w:rPr>
        <w:tab/>
        <w:t>Sovradosaggio</w:t>
      </w:r>
    </w:p>
    <w:p>
      <w:pPr>
        <w:widowControl w:val="0"/>
        <w:shd w:val="clear" w:color="auto" w:fill="FFFFFF"/>
        <w:suppressAutoHyphens/>
        <w:autoSpaceDE w:val="0"/>
        <w:spacing w:after="0" w:line="240" w:lineRule="auto"/>
        <w:rPr>
          <w:rFonts w:ascii="Times New Roman" w:eastAsia="Times New Roman" w:hAnsi="Times New Roman"/>
          <w:color w:val="000000"/>
          <w:spacing w:val="-1"/>
          <w:lang w:val="it-IT" w:eastAsia="ar-SA"/>
        </w:rPr>
      </w:pPr>
    </w:p>
    <w:p>
      <w:pPr>
        <w:widowControl w:val="0"/>
        <w:shd w:val="clear" w:color="auto" w:fill="FFFFFF"/>
        <w:suppressAutoHyphens/>
        <w:autoSpaceDE w:val="0"/>
        <w:spacing w:after="0" w:line="240" w:lineRule="auto"/>
        <w:rPr>
          <w:rFonts w:ascii="Times New Roman" w:eastAsia="Times New Roman" w:hAnsi="Times New Roman"/>
          <w:color w:val="000000"/>
          <w:lang w:val="it-IT" w:eastAsia="ar-SA"/>
        </w:rPr>
      </w:pPr>
      <w:r>
        <w:rPr>
          <w:rFonts w:ascii="Times New Roman" w:eastAsia="Times New Roman" w:hAnsi="Times New Roman"/>
          <w:color w:val="000000"/>
          <w:spacing w:val="-1"/>
          <w:lang w:val="it-IT" w:eastAsia="ar-SA"/>
        </w:rPr>
        <w:t xml:space="preserve">Il sovradosaggio di clopidogrel può portare ad un prolungamento del tempo di sanguinamento e a conseguenti complicazioni emorragiche. Nel caso in cui si osservino dei sanguinamenti, si dovrà </w:t>
      </w:r>
      <w:r>
        <w:rPr>
          <w:rFonts w:ascii="Times New Roman" w:eastAsia="Times New Roman" w:hAnsi="Times New Roman"/>
          <w:color w:val="000000"/>
          <w:lang w:val="it-IT" w:eastAsia="ar-SA"/>
        </w:rPr>
        <w:t>prendere in considerazione un’appropriata terapia.</w:t>
      </w:r>
    </w:p>
    <w:p>
      <w:pPr>
        <w:widowControl w:val="0"/>
        <w:shd w:val="clear" w:color="auto" w:fill="FFFFFF"/>
        <w:suppressAutoHyphens/>
        <w:autoSpaceDE w:val="0"/>
        <w:spacing w:after="0" w:line="240" w:lineRule="auto"/>
        <w:rPr>
          <w:rFonts w:ascii="Times New Roman" w:eastAsia="Times New Roman" w:hAnsi="Times New Roman"/>
          <w:color w:val="000000"/>
          <w:spacing w:val="-1"/>
          <w:lang w:val="it-IT" w:eastAsia="ar-SA"/>
        </w:rPr>
      </w:pPr>
      <w:r>
        <w:rPr>
          <w:rFonts w:ascii="Times New Roman" w:eastAsia="Times New Roman" w:hAnsi="Times New Roman"/>
          <w:color w:val="000000"/>
          <w:lang w:val="it-IT" w:eastAsia="ar-SA"/>
        </w:rPr>
        <w:t xml:space="preserve">Non sono noti antidoti all'attività farmacologica di clopidogrel. Quando fosse richiesta una rapida </w:t>
      </w:r>
      <w:r>
        <w:rPr>
          <w:rFonts w:ascii="Times New Roman" w:eastAsia="Times New Roman" w:hAnsi="Times New Roman"/>
          <w:color w:val="000000"/>
          <w:spacing w:val="-1"/>
          <w:lang w:val="it-IT" w:eastAsia="ar-SA"/>
        </w:rPr>
        <w:t>correzione del prolungamento del tempo di sanguinamento, una trasfusione di piastrine può invertire gli effetti di clopidogrel.</w:t>
      </w:r>
    </w:p>
    <w:p>
      <w:pPr>
        <w:widowControl w:val="0"/>
        <w:shd w:val="clear" w:color="auto" w:fill="FFFFFF"/>
        <w:suppressAutoHyphens/>
        <w:autoSpaceDE w:val="0"/>
        <w:spacing w:after="0" w:line="240" w:lineRule="auto"/>
        <w:rPr>
          <w:rFonts w:ascii="Times New Roman" w:eastAsia="Times New Roman" w:hAnsi="Times New Roman"/>
          <w:color w:val="000000"/>
          <w:spacing w:val="-1"/>
          <w:lang w:val="it-IT" w:eastAsia="ar-SA"/>
        </w:rPr>
      </w:pPr>
    </w:p>
    <w:p>
      <w:pPr>
        <w:widowControl w:val="0"/>
        <w:shd w:val="clear" w:color="auto" w:fill="FFFFFF"/>
        <w:tabs>
          <w:tab w:val="left" w:pos="567"/>
        </w:tabs>
        <w:suppressAutoHyphens/>
        <w:autoSpaceDE w:val="0"/>
        <w:spacing w:after="0" w:line="240" w:lineRule="auto"/>
        <w:rPr>
          <w:rFonts w:ascii="Times New Roman" w:eastAsia="Times New Roman" w:hAnsi="Times New Roman"/>
          <w:color w:val="000000"/>
          <w:spacing w:val="-1"/>
          <w:lang w:val="it-IT" w:eastAsia="ar-SA"/>
        </w:rPr>
      </w:pPr>
    </w:p>
    <w:p>
      <w:pPr>
        <w:widowControl w:val="0"/>
        <w:shd w:val="clear" w:color="auto" w:fill="FFFFFF"/>
        <w:suppressAutoHyphens/>
        <w:autoSpaceDE w:val="0"/>
        <w:spacing w:after="0" w:line="240" w:lineRule="auto"/>
        <w:ind w:left="567" w:hanging="567"/>
        <w:rPr>
          <w:rFonts w:ascii="Times New Roman" w:eastAsia="Times New Roman" w:hAnsi="Times New Roman"/>
          <w:b/>
          <w:bCs/>
          <w:color w:val="000000"/>
          <w:spacing w:val="-2"/>
          <w:lang w:val="it-IT" w:eastAsia="ar-SA"/>
        </w:rPr>
      </w:pPr>
      <w:r>
        <w:rPr>
          <w:rFonts w:ascii="Times New Roman" w:eastAsia="Times New Roman" w:hAnsi="Times New Roman"/>
          <w:b/>
          <w:bCs/>
          <w:color w:val="000000"/>
          <w:spacing w:val="-2"/>
          <w:lang w:val="it-IT" w:eastAsia="ar-SA"/>
        </w:rPr>
        <w:t>5.</w:t>
      </w:r>
      <w:r>
        <w:rPr>
          <w:rFonts w:ascii="Times New Roman" w:eastAsia="Times New Roman" w:hAnsi="Times New Roman"/>
          <w:b/>
          <w:bCs/>
          <w:color w:val="000000"/>
          <w:spacing w:val="-2"/>
          <w:lang w:val="it-IT" w:eastAsia="ar-SA"/>
        </w:rPr>
        <w:tab/>
        <w:t>PROPRIETA' FARMACOLOGICHE</w:t>
      </w:r>
    </w:p>
    <w:p>
      <w:pPr>
        <w:widowControl w:val="0"/>
        <w:shd w:val="clear" w:color="auto" w:fill="FFFFFF"/>
        <w:suppressAutoHyphens/>
        <w:autoSpaceDE w:val="0"/>
        <w:spacing w:after="0" w:line="240" w:lineRule="auto"/>
        <w:rPr>
          <w:rFonts w:ascii="Times New Roman" w:eastAsia="Times New Roman" w:hAnsi="Times New Roman"/>
          <w:b/>
          <w:bCs/>
          <w:color w:val="000000"/>
          <w:spacing w:val="1"/>
          <w:lang w:val="it-IT" w:eastAsia="ar-SA"/>
        </w:rPr>
      </w:pPr>
    </w:p>
    <w:p>
      <w:pPr>
        <w:widowControl w:val="0"/>
        <w:shd w:val="clear" w:color="auto" w:fill="FFFFFF"/>
        <w:tabs>
          <w:tab w:val="left" w:pos="567"/>
        </w:tabs>
        <w:suppressAutoHyphens/>
        <w:autoSpaceDE w:val="0"/>
        <w:spacing w:after="0" w:line="240" w:lineRule="auto"/>
        <w:rPr>
          <w:rFonts w:ascii="Times New Roman" w:eastAsia="Times New Roman" w:hAnsi="Times New Roman"/>
          <w:b/>
          <w:bCs/>
          <w:color w:val="000000"/>
          <w:spacing w:val="1"/>
          <w:lang w:val="it-IT" w:eastAsia="ar-SA"/>
        </w:rPr>
      </w:pPr>
      <w:r>
        <w:rPr>
          <w:rFonts w:ascii="Times New Roman" w:eastAsia="Times New Roman" w:hAnsi="Times New Roman"/>
          <w:b/>
          <w:bCs/>
          <w:color w:val="000000"/>
          <w:spacing w:val="1"/>
          <w:lang w:val="it-IT" w:eastAsia="ar-SA"/>
        </w:rPr>
        <w:t xml:space="preserve">5.1 </w:t>
      </w:r>
      <w:r>
        <w:rPr>
          <w:rFonts w:ascii="Times New Roman" w:eastAsia="Times New Roman" w:hAnsi="Times New Roman"/>
          <w:b/>
          <w:bCs/>
          <w:color w:val="000000"/>
          <w:spacing w:val="1"/>
          <w:lang w:val="it-IT" w:eastAsia="ar-SA"/>
        </w:rPr>
        <w:tab/>
        <w:t>Proprietà farmacodinamiche</w:t>
      </w:r>
    </w:p>
    <w:p>
      <w:pPr>
        <w:widowControl w:val="0"/>
        <w:shd w:val="clear" w:color="auto" w:fill="FFFFFF"/>
        <w:suppressAutoHyphens/>
        <w:autoSpaceDE w:val="0"/>
        <w:spacing w:after="0" w:line="240" w:lineRule="auto"/>
        <w:rPr>
          <w:rFonts w:ascii="Times New Roman" w:eastAsia="Times New Roman" w:hAnsi="Times New Roman"/>
          <w:color w:val="000000"/>
          <w:lang w:val="it-IT" w:eastAsia="ar-SA"/>
        </w:rPr>
      </w:pPr>
    </w:p>
    <w:p>
      <w:pPr>
        <w:widowControl w:val="0"/>
        <w:shd w:val="clear" w:color="auto" w:fill="FFFFFF"/>
        <w:suppressAutoHyphens/>
        <w:autoSpaceDE w:val="0"/>
        <w:spacing w:after="0" w:line="240" w:lineRule="auto"/>
        <w:rPr>
          <w:rFonts w:ascii="Times New Roman" w:eastAsia="Times New Roman" w:hAnsi="Times New Roman"/>
          <w:color w:val="000000"/>
          <w:lang w:val="it-IT" w:eastAsia="ar-SA"/>
        </w:rPr>
      </w:pPr>
      <w:r>
        <w:rPr>
          <w:rFonts w:ascii="Times New Roman" w:eastAsia="Times New Roman" w:hAnsi="Times New Roman"/>
          <w:color w:val="000000"/>
          <w:lang w:val="it-IT" w:eastAsia="ar-SA"/>
        </w:rPr>
        <w:t>Categoria farmacoterapeutica: Agenti antitrombotici, Antiaggreganti piastrinici, esclusa eparina, codice ATC: B01AC-04.</w:t>
      </w:r>
    </w:p>
    <w:p>
      <w:pPr>
        <w:widowControl w:val="0"/>
        <w:shd w:val="clear" w:color="auto" w:fill="FFFFFF"/>
        <w:suppressAutoHyphens/>
        <w:autoSpaceDE w:val="0"/>
        <w:spacing w:after="0" w:line="240" w:lineRule="auto"/>
        <w:rPr>
          <w:rFonts w:ascii="Times New Roman" w:eastAsia="Times New Roman" w:hAnsi="Times New Roman"/>
          <w:color w:val="000000"/>
          <w:lang w:val="it-IT" w:eastAsia="ar-SA"/>
        </w:rPr>
      </w:pPr>
    </w:p>
    <w:p>
      <w:pPr>
        <w:keepNext/>
        <w:keepLines/>
        <w:spacing w:after="0" w:line="240" w:lineRule="auto"/>
        <w:rPr>
          <w:rFonts w:ascii="Times New Roman" w:eastAsia="Times New Roman" w:hAnsi="Times New Roman"/>
          <w:i/>
          <w:lang w:val="it-IT"/>
        </w:rPr>
      </w:pPr>
      <w:r>
        <w:rPr>
          <w:rFonts w:ascii="Times New Roman" w:eastAsia="Times New Roman" w:hAnsi="Times New Roman"/>
          <w:i/>
          <w:lang w:val="it-IT"/>
        </w:rPr>
        <w:t>Meccanismo d’azione</w:t>
      </w:r>
    </w:p>
    <w:p>
      <w:pPr>
        <w:keepNext/>
        <w:keepLines/>
        <w:widowControl w:val="0"/>
        <w:suppressAutoHyphens/>
        <w:autoSpaceDE w:val="0"/>
        <w:spacing w:after="0" w:line="240" w:lineRule="auto"/>
        <w:rPr>
          <w:rFonts w:ascii="Times New Roman" w:eastAsia="Times New Roman" w:hAnsi="Times New Roman"/>
          <w:lang w:val="it-IT" w:eastAsia="ar-SA"/>
        </w:rPr>
      </w:pPr>
      <w:r>
        <w:rPr>
          <w:rFonts w:ascii="Times New Roman" w:eastAsia="Times New Roman" w:hAnsi="Times New Roman"/>
          <w:lang w:val="it-IT" w:eastAsia="ar-SA"/>
        </w:rPr>
        <w:t>Clopidogrel è un profarmaco, uno dei suoi metaboliti è un inibitore dell’aggregazione piastrinica. Clopidogrel deve essere metabolizzato dagli enzimi del CYP450 per produrre il metabolita attivo che inibisce l’aggregazione piastrinica.</w:t>
      </w:r>
    </w:p>
    <w:p>
      <w:pPr>
        <w:keepNext/>
        <w:keepLines/>
        <w:widowControl w:val="0"/>
        <w:suppressAutoHyphens/>
        <w:autoSpaceDE w:val="0"/>
        <w:spacing w:after="0" w:line="240" w:lineRule="auto"/>
        <w:rPr>
          <w:rFonts w:ascii="Times New Roman" w:eastAsia="Times New Roman" w:hAnsi="Times New Roman"/>
          <w:lang w:val="it-IT" w:eastAsia="ar-SA"/>
        </w:rPr>
      </w:pPr>
      <w:r>
        <w:rPr>
          <w:rFonts w:ascii="Times New Roman" w:eastAsia="Times New Roman" w:hAnsi="Times New Roman"/>
          <w:lang w:val="it-IT" w:eastAsia="ar-SA"/>
        </w:rPr>
        <w:t>Il metabolita attivo di clopidogrel inibisce selettivamente il legame dell'adenosina-difosfato (ADP) al suo recettore piastrinico P2Y</w:t>
      </w:r>
      <w:r>
        <w:rPr>
          <w:rFonts w:ascii="Times New Roman" w:eastAsia="Times New Roman" w:hAnsi="Times New Roman"/>
          <w:vertAlign w:val="subscript"/>
          <w:lang w:val="it-IT" w:eastAsia="ar-SA"/>
        </w:rPr>
        <w:t>12</w:t>
      </w:r>
      <w:r>
        <w:rPr>
          <w:rFonts w:ascii="Times New Roman" w:eastAsia="Times New Roman" w:hAnsi="Times New Roman"/>
          <w:lang w:val="it-IT" w:eastAsia="ar-SA"/>
        </w:rPr>
        <w:t>, e di conseguenza inibisce l'attivazione del complesso glicoproteico GPIIb-IIIa mediata dall'ADP, e pertanto l'aggregazione piastrinica risulta inibita.</w:t>
      </w:r>
    </w:p>
    <w:p>
      <w:pPr>
        <w:keepNext/>
        <w:keepLines/>
        <w:widowControl w:val="0"/>
        <w:suppressAutoHyphens/>
        <w:autoSpaceDE w:val="0"/>
        <w:spacing w:after="0" w:line="240" w:lineRule="auto"/>
        <w:rPr>
          <w:rFonts w:ascii="Times New Roman" w:eastAsia="Times New Roman" w:hAnsi="Times New Roman"/>
          <w:lang w:val="it-IT" w:eastAsia="ar-SA"/>
        </w:rPr>
      </w:pPr>
    </w:p>
    <w:p>
      <w:pPr>
        <w:keepNext/>
        <w:keepLines/>
        <w:widowControl w:val="0"/>
        <w:suppressAutoHyphens/>
        <w:autoSpaceDE w:val="0"/>
        <w:spacing w:after="0" w:line="240" w:lineRule="auto"/>
        <w:rPr>
          <w:rFonts w:ascii="Times New Roman" w:eastAsia="Times New Roman" w:hAnsi="Times New Roman"/>
          <w:lang w:val="it-IT" w:eastAsia="ar-SA"/>
        </w:rPr>
      </w:pPr>
      <w:r>
        <w:rPr>
          <w:rFonts w:ascii="Times New Roman" w:eastAsia="Times New Roman" w:hAnsi="Times New Roman"/>
          <w:lang w:val="it-IT" w:eastAsia="ar-SA"/>
        </w:rPr>
        <w:t>A causa del legame irreversibile, le piastrine esposte a clopidogrel sono influenzate per il resto della loro vita (circa 7-10 giorni) ed il recupero della funzione piastrinica normale avviene con un andamento dipendente dal ricambio piastrinico. Anche l’aggregazione piastrinica indotta da agonisti diversi dall’ADP è inibita dal blocco dell’amplificazione dell’attivazione piastrinica dovuta all’ADP rilasciato.</w:t>
      </w:r>
    </w:p>
    <w:p>
      <w:pPr>
        <w:keepNext/>
        <w:keepLines/>
        <w:widowControl w:val="0"/>
        <w:suppressAutoHyphens/>
        <w:autoSpaceDE w:val="0"/>
        <w:spacing w:after="0" w:line="240" w:lineRule="auto"/>
        <w:rPr>
          <w:rFonts w:ascii="Times New Roman" w:eastAsia="Times New Roman" w:hAnsi="Times New Roman"/>
          <w:lang w:val="it-IT" w:eastAsia="ar-SA"/>
        </w:rPr>
      </w:pPr>
    </w:p>
    <w:p>
      <w:pPr>
        <w:keepNext/>
        <w:keepLines/>
        <w:widowControl w:val="0"/>
        <w:suppressAutoHyphens/>
        <w:autoSpaceDE w:val="0"/>
        <w:spacing w:after="0" w:line="240" w:lineRule="auto"/>
        <w:rPr>
          <w:rFonts w:ascii="Times New Roman" w:eastAsia="Times New Roman" w:hAnsi="Times New Roman"/>
          <w:lang w:val="it-IT" w:eastAsia="ar-SA"/>
        </w:rPr>
      </w:pPr>
      <w:r>
        <w:rPr>
          <w:rFonts w:ascii="Times New Roman" w:eastAsia="Times New Roman" w:hAnsi="Times New Roman"/>
          <w:lang w:val="it-IT" w:eastAsia="ar-SA"/>
        </w:rPr>
        <w:t>Poiché il metabolita attivo è prodotto dall’attività degli enzimi del CYP450, alcuni dei quali sono polimorfi o soggetti a inibizione da altri medicinali, non tutti i pazienti avranno un’inibizione piastrinica adeguata.</w:t>
      </w:r>
    </w:p>
    <w:p>
      <w:pPr>
        <w:widowControl w:val="0"/>
        <w:shd w:val="clear" w:color="auto" w:fill="FFFFFF"/>
        <w:suppressAutoHyphens/>
        <w:autoSpaceDE w:val="0"/>
        <w:spacing w:after="0" w:line="240" w:lineRule="auto"/>
        <w:rPr>
          <w:rFonts w:ascii="Times New Roman" w:eastAsia="Times New Roman" w:hAnsi="Times New Roman"/>
          <w:color w:val="000000"/>
          <w:spacing w:val="-1"/>
          <w:lang w:val="it-IT" w:eastAsia="ar-SA"/>
        </w:rPr>
      </w:pPr>
    </w:p>
    <w:p>
      <w:pPr>
        <w:spacing w:after="0" w:line="240" w:lineRule="auto"/>
        <w:rPr>
          <w:rFonts w:ascii="Times New Roman" w:eastAsia="Times New Roman" w:hAnsi="Times New Roman"/>
          <w:i/>
          <w:lang w:val="it-IT"/>
        </w:rPr>
      </w:pPr>
      <w:r>
        <w:rPr>
          <w:rFonts w:ascii="Times New Roman" w:eastAsia="Times New Roman" w:hAnsi="Times New Roman"/>
          <w:i/>
          <w:lang w:val="it-IT"/>
        </w:rPr>
        <w:t>Effetti farmacodinamici</w:t>
      </w:r>
    </w:p>
    <w:p>
      <w:pPr>
        <w:widowControl w:val="0"/>
        <w:suppressAutoHyphens/>
        <w:autoSpaceDE w:val="0"/>
        <w:spacing w:after="0" w:line="240" w:lineRule="auto"/>
        <w:rPr>
          <w:rFonts w:ascii="Times New Roman" w:eastAsia="Times New Roman" w:hAnsi="Times New Roman"/>
          <w:lang w:val="it-IT" w:eastAsia="ar-SA"/>
        </w:rPr>
      </w:pPr>
      <w:r>
        <w:rPr>
          <w:rFonts w:ascii="Times New Roman" w:eastAsia="Times New Roman" w:hAnsi="Times New Roman"/>
          <w:lang w:val="it-IT" w:eastAsia="ar-SA"/>
        </w:rPr>
        <w:t>Dosi ripetute di 75 mg al giorno hanno prodotto una notevole inibizione dell'aggregazione piastrinica ADP</w:t>
      </w:r>
      <w:r>
        <w:rPr>
          <w:rFonts w:ascii="Times New Roman" w:eastAsia="Times New Roman" w:hAnsi="Times New Roman"/>
          <w:lang w:val="it-IT" w:eastAsia="ar-SA"/>
        </w:rPr>
        <w:noBreakHyphen/>
        <w:t>indotta già dal primo giorno; l'inibizione è aumentata progressivamente fino a stabilizzarsi tra il terzo ed il settimo giorno. In questa condizione di "steady-state" il livello medio di inibizione osservato con una dose di 75 mg al giorno era compreso tra 40-60%. L'aggregazione piastrinica ed il tempo di sanguinamento sono tornati gradualmente ai valori di base in genere entro 5 giorni dall'interruzione del trattamento.</w:t>
      </w:r>
    </w:p>
    <w:p>
      <w:pPr>
        <w:widowControl w:val="0"/>
        <w:suppressAutoHyphens/>
        <w:autoSpaceDE w:val="0"/>
        <w:spacing w:after="0" w:line="240" w:lineRule="auto"/>
        <w:rPr>
          <w:rFonts w:ascii="Times New Roman" w:eastAsia="Times New Roman" w:hAnsi="Times New Roman"/>
          <w:lang w:val="it-IT" w:eastAsia="ar-SA"/>
        </w:rPr>
      </w:pPr>
    </w:p>
    <w:p>
      <w:pPr>
        <w:spacing w:after="0" w:line="240" w:lineRule="auto"/>
        <w:rPr>
          <w:rFonts w:ascii="Times New Roman" w:eastAsia="Times New Roman" w:hAnsi="Times New Roman"/>
          <w:i/>
          <w:lang w:val="it-IT"/>
        </w:rPr>
      </w:pPr>
      <w:r>
        <w:rPr>
          <w:rFonts w:ascii="Times New Roman" w:eastAsia="Times New Roman" w:hAnsi="Times New Roman"/>
          <w:i/>
          <w:lang w:val="it-IT"/>
        </w:rPr>
        <w:t>Efficacia e sicurezza clinica</w:t>
      </w:r>
    </w:p>
    <w:p>
      <w:pPr>
        <w:widowControl w:val="0"/>
        <w:suppressAutoHyphens/>
        <w:autoSpaceDE w:val="0"/>
        <w:spacing w:after="120" w:line="240" w:lineRule="auto"/>
        <w:rPr>
          <w:rFonts w:ascii="Times New Roman" w:eastAsia="Times New Roman" w:hAnsi="Times New Roman"/>
          <w:lang w:val="it-IT" w:eastAsia="ar-SA"/>
        </w:rPr>
      </w:pPr>
      <w:r>
        <w:rPr>
          <w:rFonts w:ascii="Times New Roman" w:eastAsia="Times New Roman" w:hAnsi="Times New Roman"/>
          <w:lang w:val="it-IT" w:eastAsia="ar-SA"/>
        </w:rPr>
        <w:t>La sicurezza e l’efficacia di clopidogrel sono state valutate in 7 studi in doppio-cieco che hanno coinvolto più di 100.000 pazienti: lo studio CAPRIE, di confronto tra clopidogrel e ASA, e gli studi CURE, CLARITY, COMMIT, CHANCE, POINT e ACTIVE-A di confronto tra clopidogrel e placebo, entrambi somministrati in associazione con ASA ed altre terapie standard.</w:t>
      </w:r>
    </w:p>
    <w:p>
      <w:pPr>
        <w:widowControl w:val="0"/>
        <w:shd w:val="clear" w:color="auto" w:fill="FFFFFF"/>
        <w:suppressAutoHyphens/>
        <w:autoSpaceDE w:val="0"/>
        <w:spacing w:after="0" w:line="240" w:lineRule="auto"/>
        <w:rPr>
          <w:rFonts w:ascii="Times New Roman" w:eastAsia="Times New Roman" w:hAnsi="Times New Roman"/>
          <w:b/>
          <w:iCs/>
          <w:color w:val="000000"/>
          <w:lang w:val="it-IT" w:eastAsia="ar-SA"/>
        </w:rPr>
      </w:pPr>
    </w:p>
    <w:p>
      <w:pPr>
        <w:widowControl w:val="0"/>
        <w:shd w:val="clear" w:color="auto" w:fill="FFFFFF"/>
        <w:suppressAutoHyphens/>
        <w:autoSpaceDE w:val="0"/>
        <w:spacing w:after="0" w:line="240" w:lineRule="auto"/>
        <w:rPr>
          <w:rFonts w:ascii="Times New Roman" w:eastAsia="Times New Roman" w:hAnsi="Times New Roman"/>
          <w:iCs/>
          <w:color w:val="000000"/>
          <w:lang w:val="it-IT" w:eastAsia="ar-SA"/>
        </w:rPr>
      </w:pPr>
      <w:r>
        <w:rPr>
          <w:rFonts w:ascii="Times New Roman" w:eastAsia="Times New Roman" w:hAnsi="Times New Roman"/>
          <w:i/>
          <w:iCs/>
          <w:color w:val="000000"/>
          <w:lang w:val="it-IT" w:eastAsia="ar-SA"/>
        </w:rPr>
        <w:t xml:space="preserve">Infarto miocardico recente (IM), ictus recente o arteriopatia obliterante periferica </w:t>
      </w:r>
      <w:r>
        <w:rPr>
          <w:rFonts w:ascii="Times New Roman" w:eastAsia="Times New Roman" w:hAnsi="Times New Roman"/>
          <w:i/>
          <w:lang w:val="it-IT" w:eastAsia="ar-SA"/>
        </w:rPr>
        <w:t>documentata</w:t>
      </w:r>
    </w:p>
    <w:p>
      <w:pPr>
        <w:widowControl w:val="0"/>
        <w:shd w:val="clear" w:color="auto" w:fill="FFFFFF"/>
        <w:suppressAutoHyphens/>
        <w:autoSpaceDE w:val="0"/>
        <w:spacing w:after="0" w:line="240" w:lineRule="auto"/>
        <w:rPr>
          <w:rFonts w:ascii="Times New Roman" w:eastAsia="Times New Roman" w:hAnsi="Times New Roman"/>
          <w:i/>
          <w:iCs/>
          <w:color w:val="000000"/>
          <w:lang w:val="it-IT" w:eastAsia="ar-SA"/>
        </w:rPr>
      </w:pPr>
    </w:p>
    <w:p>
      <w:pPr>
        <w:widowControl w:val="0"/>
        <w:shd w:val="clear" w:color="auto" w:fill="FFFFFF"/>
        <w:suppressAutoHyphens/>
        <w:autoSpaceDE w:val="0"/>
        <w:spacing w:after="0" w:line="240" w:lineRule="auto"/>
        <w:rPr>
          <w:rFonts w:ascii="Times New Roman" w:eastAsia="Times New Roman" w:hAnsi="Times New Roman"/>
          <w:color w:val="000000"/>
          <w:spacing w:val="1"/>
          <w:lang w:val="it-IT" w:eastAsia="ar-SA"/>
        </w:rPr>
      </w:pPr>
      <w:r>
        <w:rPr>
          <w:rFonts w:ascii="Times New Roman" w:eastAsia="Times New Roman" w:hAnsi="Times New Roman"/>
          <w:color w:val="000000"/>
          <w:spacing w:val="-1"/>
          <w:lang w:val="it-IT" w:eastAsia="ar-SA"/>
        </w:rPr>
        <w:t xml:space="preserve">Lo studio CAPRIE è stato condotto su 19.185 pazienti con aterotrombosi manifestatasi con recente </w:t>
      </w:r>
      <w:r>
        <w:rPr>
          <w:rFonts w:ascii="Times New Roman" w:eastAsia="Times New Roman" w:hAnsi="Times New Roman"/>
          <w:color w:val="000000"/>
          <w:lang w:val="it-IT" w:eastAsia="ar-SA"/>
        </w:rPr>
        <w:t xml:space="preserve">infarto miocardico (&lt;35 giorni), recente ictus ischemico (tra 7 giorni e 6 mesi), o arteriopatia obliterante periferica comprovata (AOP). I pazienti sono stati randomizzati al trattamento con clopidogrel 75 mg/die oppure con ASA 325 mg/die, e osservati per un periodo da l a 3 anni. Nel sottogruppo con infarto miocardico la maggior parte dei pazienti è stata trattata con ASA per i </w:t>
      </w:r>
      <w:r>
        <w:rPr>
          <w:rFonts w:ascii="Times New Roman" w:eastAsia="Times New Roman" w:hAnsi="Times New Roman"/>
          <w:color w:val="000000"/>
          <w:spacing w:val="1"/>
          <w:lang w:val="it-IT" w:eastAsia="ar-SA"/>
        </w:rPr>
        <w:t>primissimi giorni seguenti l'infarto miocardico acuto.</w:t>
      </w:r>
    </w:p>
    <w:p>
      <w:pPr>
        <w:widowControl w:val="0"/>
        <w:shd w:val="clear" w:color="auto" w:fill="FFFFFF"/>
        <w:suppressAutoHyphens/>
        <w:autoSpaceDE w:val="0"/>
        <w:spacing w:after="0" w:line="240" w:lineRule="auto"/>
        <w:rPr>
          <w:rFonts w:ascii="Times New Roman" w:eastAsia="Times New Roman" w:hAnsi="Times New Roman"/>
          <w:color w:val="000000"/>
          <w:spacing w:val="-1"/>
          <w:lang w:val="it-IT" w:eastAsia="ar-SA"/>
        </w:rPr>
      </w:pPr>
    </w:p>
    <w:p>
      <w:pPr>
        <w:widowControl w:val="0"/>
        <w:shd w:val="clear" w:color="auto" w:fill="FFFFFF"/>
        <w:suppressAutoHyphens/>
        <w:autoSpaceDE w:val="0"/>
        <w:spacing w:after="0" w:line="240" w:lineRule="auto"/>
        <w:rPr>
          <w:rFonts w:ascii="Times New Roman" w:eastAsia="Times New Roman" w:hAnsi="Times New Roman"/>
          <w:color w:val="000000"/>
          <w:lang w:val="it-IT" w:eastAsia="ar-SA"/>
        </w:rPr>
      </w:pPr>
      <w:r>
        <w:rPr>
          <w:rFonts w:ascii="Times New Roman" w:eastAsia="Times New Roman" w:hAnsi="Times New Roman"/>
          <w:color w:val="000000"/>
          <w:spacing w:val="-1"/>
          <w:lang w:val="it-IT" w:eastAsia="ar-SA"/>
        </w:rPr>
        <w:t xml:space="preserve">Clopidogrel ha ridotto significativamente l'incidenza di nuovi eventi ischemici ("end point" combinato </w:t>
      </w:r>
      <w:r>
        <w:rPr>
          <w:rFonts w:ascii="Times New Roman" w:eastAsia="Times New Roman" w:hAnsi="Times New Roman"/>
          <w:color w:val="000000"/>
          <w:lang w:val="it-IT" w:eastAsia="ar-SA"/>
        </w:rPr>
        <w:t xml:space="preserve">di infarto miocardico, ictus ischemico e morte vascolare) rispetto ad ASA. Nell'analisi "intention to treat", 939 eventi sono stati osservati nel gruppo clopidogrel e 1.020 eventi con ASA, (riduzione del rischio relativo (RRR) 8,7%, [IC 95%: da 0,2 a 16,4 ]; p = 0,045), che corrisponde, per ogni 1.000 </w:t>
      </w:r>
      <w:r>
        <w:rPr>
          <w:rFonts w:ascii="Times New Roman" w:eastAsia="Times New Roman" w:hAnsi="Times New Roman"/>
          <w:color w:val="000000"/>
          <w:spacing w:val="-1"/>
          <w:lang w:val="it-IT" w:eastAsia="ar-SA"/>
        </w:rPr>
        <w:t xml:space="preserve">pazienti trattati per 2 anni, a 10 ulteriori pazienti [IC: da 0 a 20] ai quali sono stati evitati nuovi eventi </w:t>
      </w:r>
      <w:r>
        <w:rPr>
          <w:rFonts w:ascii="Times New Roman" w:eastAsia="Times New Roman" w:hAnsi="Times New Roman"/>
          <w:color w:val="000000"/>
          <w:lang w:val="it-IT" w:eastAsia="ar-SA"/>
        </w:rPr>
        <w:t>ischemici. L'analisi della mortalità totale quale endpoint secondario non ha mostrato nessuna differenza significativa tra clopidogrel (5,8%) e ASA (6,0%).</w:t>
      </w:r>
    </w:p>
    <w:p>
      <w:pPr>
        <w:widowControl w:val="0"/>
        <w:shd w:val="clear" w:color="auto" w:fill="FFFFFF"/>
        <w:suppressAutoHyphens/>
        <w:autoSpaceDE w:val="0"/>
        <w:spacing w:after="0" w:line="240" w:lineRule="auto"/>
        <w:rPr>
          <w:rFonts w:ascii="Times New Roman" w:eastAsia="Times New Roman" w:hAnsi="Times New Roman"/>
          <w:color w:val="000000"/>
          <w:spacing w:val="-1"/>
          <w:lang w:val="it-IT" w:eastAsia="ar-SA"/>
        </w:rPr>
      </w:pPr>
    </w:p>
    <w:p>
      <w:pPr>
        <w:widowControl w:val="0"/>
        <w:shd w:val="clear" w:color="auto" w:fill="FFFFFF"/>
        <w:suppressAutoHyphens/>
        <w:autoSpaceDE w:val="0"/>
        <w:spacing w:after="0" w:line="240" w:lineRule="auto"/>
        <w:rPr>
          <w:rFonts w:ascii="Times New Roman" w:eastAsia="Times New Roman" w:hAnsi="Times New Roman"/>
          <w:color w:val="000000"/>
          <w:spacing w:val="-1"/>
          <w:lang w:val="it-IT" w:eastAsia="ar-SA"/>
        </w:rPr>
      </w:pPr>
      <w:r>
        <w:rPr>
          <w:rFonts w:ascii="Times New Roman" w:eastAsia="Times New Roman" w:hAnsi="Times New Roman"/>
          <w:color w:val="000000"/>
          <w:spacing w:val="-1"/>
          <w:lang w:val="it-IT" w:eastAsia="ar-SA"/>
        </w:rPr>
        <w:t xml:space="preserve">Nell'analisi dei sottogruppi eseguita per patologia qualificante (infarto miocardico, ictus ischemico ed </w:t>
      </w:r>
      <w:r>
        <w:rPr>
          <w:rFonts w:ascii="Times New Roman" w:eastAsia="Times New Roman" w:hAnsi="Times New Roman"/>
          <w:color w:val="000000"/>
          <w:lang w:val="it-IT" w:eastAsia="ar-SA"/>
        </w:rPr>
        <w:t xml:space="preserve">arteriopatia obliterante periferica AOP) il beneficio è apparso essere più consistente (raggiungendo la significatività statistica a p = 0,003) nei pazienti arruolati per arteriopatia obliterante periferica (in special modo per quelli con precedenti di infarto miocardico) (RRR = 23,7%; IC: da 8,9 a 36,2) e meno consistente (non significativamente diverso da ASA) nei pazienti con ictus (RRR = 7,3%; IC: da - 5,7 a 18,7 [p=0,258]). Nei pazienti arruolati nello studio sulla sola base di un recente infarto miocardico, clopidogrel è stato numericamente inferiore, ma non statisticamente diverso da ASA (RRR = - 4,0%; IC: da - 22,5 a 11,7 [p=0,639]). Inoltre un’analisi dei sottogruppi per età ha indicato </w:t>
      </w:r>
      <w:r>
        <w:rPr>
          <w:rFonts w:ascii="Times New Roman" w:eastAsia="Times New Roman" w:hAnsi="Times New Roman"/>
          <w:color w:val="000000"/>
          <w:spacing w:val="-1"/>
          <w:lang w:val="it-IT" w:eastAsia="ar-SA"/>
        </w:rPr>
        <w:t>che il beneficio di clopidogrel nei pazienti oltre 75 anni è stato inferiore a quello osservato nei pazienti di età ≤75 anni.</w:t>
      </w:r>
    </w:p>
    <w:p>
      <w:pPr>
        <w:widowControl w:val="0"/>
        <w:shd w:val="clear" w:color="auto" w:fill="FFFFFF"/>
        <w:suppressAutoHyphens/>
        <w:autoSpaceDE w:val="0"/>
        <w:spacing w:after="0" w:line="240" w:lineRule="auto"/>
        <w:rPr>
          <w:rFonts w:ascii="Times New Roman" w:eastAsia="Times New Roman" w:hAnsi="Times New Roman"/>
          <w:color w:val="000000"/>
          <w:lang w:val="it-IT" w:eastAsia="ar-SA"/>
        </w:rPr>
      </w:pPr>
    </w:p>
    <w:p>
      <w:pPr>
        <w:widowControl w:val="0"/>
        <w:shd w:val="clear" w:color="auto" w:fill="FFFFFF"/>
        <w:suppressAutoHyphens/>
        <w:autoSpaceDE w:val="0"/>
        <w:spacing w:after="0" w:line="240" w:lineRule="auto"/>
        <w:rPr>
          <w:rFonts w:ascii="Times New Roman" w:eastAsia="Times New Roman" w:hAnsi="Times New Roman"/>
          <w:color w:val="000000"/>
          <w:spacing w:val="-1"/>
          <w:lang w:val="it-IT" w:eastAsia="ar-SA"/>
        </w:rPr>
      </w:pPr>
      <w:r>
        <w:rPr>
          <w:rFonts w:ascii="Times New Roman" w:eastAsia="Times New Roman" w:hAnsi="Times New Roman"/>
          <w:color w:val="000000"/>
          <w:lang w:val="it-IT" w:eastAsia="ar-SA"/>
        </w:rPr>
        <w:t xml:space="preserve">Dato che lo studio CAPRIE non è stato dimensionato per valutare l'efficacia nei singoli sottogruppi, </w:t>
      </w:r>
      <w:r>
        <w:rPr>
          <w:rFonts w:ascii="Times New Roman" w:eastAsia="Times New Roman" w:hAnsi="Times New Roman"/>
          <w:color w:val="000000"/>
          <w:spacing w:val="-1"/>
          <w:lang w:val="it-IT" w:eastAsia="ar-SA"/>
        </w:rPr>
        <w:t>non risulta chiaro se le differenze nella riduzione del rischio relativo per le varie patologie qualificanti siano reali oppure siano dovute al caso.</w:t>
      </w:r>
    </w:p>
    <w:p>
      <w:pPr>
        <w:widowControl w:val="0"/>
        <w:suppressAutoHyphens/>
        <w:autoSpaceDE w:val="0"/>
        <w:spacing w:after="0" w:line="240" w:lineRule="auto"/>
        <w:rPr>
          <w:rFonts w:ascii="Times New Roman" w:eastAsia="Times New Roman" w:hAnsi="Times New Roman"/>
          <w:i/>
          <w:lang w:val="it-IT" w:eastAsia="ar-SA"/>
        </w:rPr>
      </w:pPr>
    </w:p>
    <w:p>
      <w:pPr>
        <w:shd w:val="clear" w:color="auto" w:fill="FFFFFF"/>
        <w:tabs>
          <w:tab w:val="left" w:pos="567"/>
        </w:tabs>
        <w:spacing w:after="0" w:line="240" w:lineRule="auto"/>
        <w:rPr>
          <w:rFonts w:ascii="Times New Roman" w:eastAsia="Times New Roman" w:hAnsi="Times New Roman"/>
          <w:i/>
          <w:iCs/>
          <w:color w:val="000000"/>
          <w:lang w:val="it-IT"/>
        </w:rPr>
      </w:pPr>
      <w:r>
        <w:rPr>
          <w:rFonts w:ascii="Times New Roman" w:eastAsia="Times New Roman" w:hAnsi="Times New Roman"/>
          <w:i/>
          <w:iCs/>
          <w:color w:val="000000"/>
          <w:lang w:val="it-IT"/>
        </w:rPr>
        <w:t>Sindrome coronarica acuta</w:t>
      </w:r>
    </w:p>
    <w:p>
      <w:pPr>
        <w:shd w:val="clear" w:color="auto" w:fill="FFFFFF"/>
        <w:tabs>
          <w:tab w:val="left" w:pos="567"/>
        </w:tabs>
        <w:spacing w:after="0" w:line="240" w:lineRule="auto"/>
        <w:rPr>
          <w:rFonts w:ascii="Times New Roman" w:eastAsia="Times New Roman" w:hAnsi="Times New Roman"/>
          <w:i/>
          <w:iCs/>
          <w:color w:val="000000"/>
          <w:lang w:val="it-IT"/>
        </w:rPr>
      </w:pPr>
    </w:p>
    <w:p>
      <w:pPr>
        <w:spacing w:after="0" w:line="240" w:lineRule="auto"/>
        <w:rPr>
          <w:rFonts w:ascii="Times New Roman" w:eastAsia="Times New Roman" w:hAnsi="Times New Roman"/>
          <w:color w:val="000000"/>
          <w:lang w:val="it-IT" w:eastAsia="ar-SA"/>
        </w:rPr>
      </w:pPr>
      <w:r>
        <w:rPr>
          <w:rFonts w:ascii="Times New Roman" w:eastAsia="Times New Roman" w:hAnsi="Times New Roman"/>
          <w:color w:val="000000"/>
          <w:lang w:val="it-IT" w:eastAsia="ar-SA"/>
        </w:rPr>
        <w:t>Lo studio CURE è stato condotto su 12.562 pazienti con sindrome coronarica acuta senza innalzamento del tratto ST (angina instabile o infarto miocardico senza onde Q), che avevano presentato l’inizio del loro più recente episodio di dolore toracico o sintomi coerenti con ischemia nelle 24 ore precedenti. I pazienti dovevano presentare o modificazioni ECG compatibili con nuova ischemia o elevazione degli enzimi cardiaci o della troponina I o T almeno 2 volte il limite superiore della norma. I pazienti sono stati randomizzati al trattamento con clopidogrel (dose di carico 300 mg seguita da 75 mg/die, N=6259) o con placebo (N=6303), entrambi somministrati in associazione con ASA (75-325 mg una volta al giorno) e altre terapie standard. I pazienti sono stati trattati fino ad un anno. Nello studio CURE, 823 pazienti (6,6%) hanno ricevuto una terapia concomitante di antagonisti dei recettori GPIIb/IIIa. Eparina è stata somministrata in più del 90% dei pazienti e la relativa percentuale di sanguinamento tra clopidogrel e placebo non è stata significativamente influenzata dalla terapia concomitante con eparina.</w:t>
      </w:r>
    </w:p>
    <w:p>
      <w:pPr>
        <w:shd w:val="clear" w:color="auto" w:fill="FFFFFF"/>
        <w:tabs>
          <w:tab w:val="left" w:pos="567"/>
        </w:tabs>
        <w:spacing w:after="0" w:line="240" w:lineRule="auto"/>
        <w:rPr>
          <w:rFonts w:ascii="Times New Roman" w:eastAsia="Times New Roman" w:hAnsi="Times New Roman"/>
          <w:color w:val="000000"/>
          <w:lang w:val="it-IT"/>
        </w:rPr>
      </w:pPr>
    </w:p>
    <w:p>
      <w:pPr>
        <w:spacing w:after="0" w:line="240" w:lineRule="auto"/>
        <w:rPr>
          <w:rFonts w:ascii="Times New Roman" w:eastAsia="Times New Roman" w:hAnsi="Times New Roman"/>
          <w:color w:val="000000"/>
          <w:lang w:val="it-IT" w:eastAsia="ar-SA"/>
        </w:rPr>
      </w:pPr>
      <w:bookmarkStart w:id="1" w:name="OLE_LINK2"/>
      <w:bookmarkStart w:id="2" w:name="OLE_LINK3"/>
      <w:r>
        <w:rPr>
          <w:rFonts w:ascii="Times New Roman" w:eastAsia="Times New Roman" w:hAnsi="Times New Roman"/>
          <w:color w:val="000000"/>
          <w:lang w:val="it-IT" w:eastAsia="ar-SA"/>
        </w:rPr>
        <w:t xml:space="preserve">Il numero di pazienti che ha manifestato l’endpoint primario (morte cardiovascolare, infarto miocardico, o ictus) è stato di 582 (9,3%) nel gruppo trattato con clopidogrel e di 719 (11,4%) nel gruppo trattato con placebo, con una riduzione del rischio relativo del 20% (IC 95% da 10% a 28%; p=0,00009) per il gruppo clopidogrel (17% di riduzione del rischio relativo quando i pazienti sono stati trattati in modo conservativo, 29% quando sono stati sottoposti a angioplastica coronarica transluminale percutanea (PTCA) con o senza stent e 10% quando sono stati sottoposti a innesto di bypass aortocoronarico (CABG) Sono stati prevenuti nuovi eventi cardiovascolari (endpoint primario) con una riduzione del rischio relativo del 22% (IC: da </w:t>
      </w:r>
      <w:smartTag w:uri="urn:schemas-microsoft-com:office:smarttags" w:element="metricconverter">
        <w:smartTagPr>
          <w:attr w:name="ProductID" w:val="8,6 a"/>
        </w:smartTagPr>
        <w:r>
          <w:rPr>
            <w:rFonts w:ascii="Times New Roman" w:eastAsia="Times New Roman" w:hAnsi="Times New Roman"/>
            <w:color w:val="000000"/>
            <w:lang w:val="it-IT" w:eastAsia="ar-SA"/>
          </w:rPr>
          <w:t>8,6 a</w:t>
        </w:r>
      </w:smartTag>
      <w:r>
        <w:rPr>
          <w:rFonts w:ascii="Times New Roman" w:eastAsia="Times New Roman" w:hAnsi="Times New Roman"/>
          <w:color w:val="000000"/>
          <w:lang w:val="it-IT" w:eastAsia="ar-SA"/>
        </w:rPr>
        <w:t xml:space="preserve"> 33,4), 32% (IC: da </w:t>
      </w:r>
      <w:smartTag w:uri="urn:schemas-microsoft-com:office:smarttags" w:element="metricconverter">
        <w:smartTagPr>
          <w:attr w:name="ProductID" w:val="12,8 a"/>
        </w:smartTagPr>
        <w:r>
          <w:rPr>
            <w:rFonts w:ascii="Times New Roman" w:eastAsia="Times New Roman" w:hAnsi="Times New Roman"/>
            <w:color w:val="000000"/>
            <w:lang w:val="it-IT" w:eastAsia="ar-SA"/>
          </w:rPr>
          <w:t>12,8 a</w:t>
        </w:r>
      </w:smartTag>
      <w:r>
        <w:rPr>
          <w:rFonts w:ascii="Times New Roman" w:eastAsia="Times New Roman" w:hAnsi="Times New Roman"/>
          <w:color w:val="000000"/>
          <w:lang w:val="it-IT" w:eastAsia="ar-SA"/>
        </w:rPr>
        <w:t xml:space="preserve"> 46,4), 4% (IC: da </w:t>
      </w:r>
      <w:smartTag w:uri="urn:schemas-microsoft-com:office:smarttags" w:element="metricconverter">
        <w:smartTagPr>
          <w:attr w:name="ProductID" w:val="-26,9 a"/>
        </w:smartTagPr>
        <w:r>
          <w:rPr>
            <w:rFonts w:ascii="Times New Roman" w:eastAsia="Times New Roman" w:hAnsi="Times New Roman"/>
            <w:color w:val="000000"/>
            <w:lang w:val="it-IT" w:eastAsia="ar-SA"/>
          </w:rPr>
          <w:t>-26,9 a</w:t>
        </w:r>
      </w:smartTag>
      <w:r>
        <w:rPr>
          <w:rFonts w:ascii="Times New Roman" w:eastAsia="Times New Roman" w:hAnsi="Times New Roman"/>
          <w:color w:val="000000"/>
          <w:lang w:val="it-IT" w:eastAsia="ar-SA"/>
        </w:rPr>
        <w:t xml:space="preserve"> 26,7), 6% (IC: da </w:t>
      </w:r>
      <w:smartTag w:uri="urn:schemas-microsoft-com:office:smarttags" w:element="metricconverter">
        <w:smartTagPr>
          <w:attr w:name="ProductID" w:val="-33,5 a"/>
        </w:smartTagPr>
        <w:r>
          <w:rPr>
            <w:rFonts w:ascii="Times New Roman" w:eastAsia="Times New Roman" w:hAnsi="Times New Roman"/>
            <w:color w:val="000000"/>
            <w:lang w:val="it-IT" w:eastAsia="ar-SA"/>
          </w:rPr>
          <w:t>-33,5 a</w:t>
        </w:r>
      </w:smartTag>
      <w:r>
        <w:rPr>
          <w:rFonts w:ascii="Times New Roman" w:eastAsia="Times New Roman" w:hAnsi="Times New Roman"/>
          <w:color w:val="000000"/>
          <w:lang w:val="it-IT" w:eastAsia="ar-SA"/>
        </w:rPr>
        <w:t xml:space="preserve"> 34,3) e 14% (IC: da </w:t>
      </w:r>
      <w:smartTag w:uri="urn:schemas-microsoft-com:office:smarttags" w:element="metricconverter">
        <w:smartTagPr>
          <w:attr w:name="ProductID" w:val="-31,6 a"/>
        </w:smartTagPr>
        <w:r>
          <w:rPr>
            <w:rFonts w:ascii="Times New Roman" w:eastAsia="Times New Roman" w:hAnsi="Times New Roman"/>
            <w:color w:val="000000"/>
            <w:lang w:val="it-IT" w:eastAsia="ar-SA"/>
          </w:rPr>
          <w:t>-31,6 a</w:t>
        </w:r>
      </w:smartTag>
      <w:r>
        <w:rPr>
          <w:rFonts w:ascii="Times New Roman" w:eastAsia="Times New Roman" w:hAnsi="Times New Roman"/>
          <w:color w:val="000000"/>
          <w:lang w:val="it-IT" w:eastAsia="ar-SA"/>
        </w:rPr>
        <w:t xml:space="preserve"> 44,2), durante gli intervalli dello studio 0-1, 1-3, 3-6, 6-9 e 9-12 mesi, rispettivamente. Pertanto, oltre a 3 mesi di trattamento, il beneficio osservato nel gruppo clopidogrel + ASA non era ulteriormente aumentato mentre il rischio di emorragia persisteva (vedere paragrafo 4.4).</w:t>
      </w:r>
    </w:p>
    <w:bookmarkEnd w:id="1"/>
    <w:bookmarkEnd w:id="2"/>
    <w:p>
      <w:pPr>
        <w:shd w:val="clear" w:color="auto" w:fill="FFFFFF"/>
        <w:tabs>
          <w:tab w:val="left" w:pos="567"/>
        </w:tabs>
        <w:spacing w:after="0" w:line="240" w:lineRule="auto"/>
        <w:rPr>
          <w:rFonts w:ascii="Times New Roman" w:eastAsia="Times New Roman" w:hAnsi="Times New Roman"/>
          <w:color w:val="000000"/>
          <w:lang w:val="it-IT"/>
        </w:rPr>
      </w:pPr>
    </w:p>
    <w:p>
      <w:pPr>
        <w:spacing w:after="0" w:line="240" w:lineRule="auto"/>
        <w:rPr>
          <w:rFonts w:ascii="Times New Roman" w:eastAsia="Times New Roman" w:hAnsi="Times New Roman"/>
          <w:color w:val="000000"/>
          <w:lang w:val="it-IT" w:eastAsia="ar-SA"/>
        </w:rPr>
      </w:pPr>
      <w:r>
        <w:rPr>
          <w:rFonts w:ascii="Times New Roman" w:eastAsia="Times New Roman" w:hAnsi="Times New Roman"/>
          <w:color w:val="000000"/>
          <w:lang w:val="it-IT" w:eastAsia="ar-SA"/>
        </w:rPr>
        <w:t>L’uso di clopidogrel nel CURE era associato con una diminuzione della necessità di un trattamento trombolitico (RRR = 43,3%; IC: da 24,3% a 57,5%) e inibitori di GPIIb/IIIa (RRR = 18,2%; IC: 6,5%, 28,3%).</w:t>
      </w:r>
    </w:p>
    <w:p>
      <w:pPr>
        <w:shd w:val="clear" w:color="auto" w:fill="FFFFFF"/>
        <w:tabs>
          <w:tab w:val="left" w:pos="567"/>
        </w:tabs>
        <w:spacing w:after="0" w:line="240" w:lineRule="auto"/>
        <w:rPr>
          <w:rFonts w:ascii="Times New Roman" w:eastAsia="Times New Roman" w:hAnsi="Times New Roman"/>
          <w:color w:val="000000"/>
          <w:lang w:val="it-IT"/>
        </w:rPr>
      </w:pPr>
    </w:p>
    <w:p>
      <w:pPr>
        <w:spacing w:after="0" w:line="240" w:lineRule="auto"/>
        <w:rPr>
          <w:rFonts w:ascii="Times New Roman" w:eastAsia="Times New Roman" w:hAnsi="Times New Roman"/>
          <w:color w:val="000000"/>
          <w:lang w:val="it-IT"/>
        </w:rPr>
      </w:pPr>
      <w:r>
        <w:rPr>
          <w:rFonts w:ascii="Times New Roman" w:eastAsia="Times New Roman" w:hAnsi="Times New Roman"/>
          <w:color w:val="000000"/>
          <w:lang w:val="it-IT"/>
        </w:rPr>
        <w:t>Il numero di pazienti che ha manifestato l’endpoint co-primario (morte cardiovascolare, infarto miocardico, ictus o ischemia refrattaria) è stato di 1.035 (16,5%) nel gruppo trattato con clopidogrel e di 1.187 (18,8%) nel gruppo trattato con placebo, con una riduzione del rischio relativo del 14% (IC 95% da 6% a 21%, p=0,0005) per il gruppo trattato con clopidogrel. Questo beneficio è stato principalmente determinato da una riduzione statisticamente significativa dell’incidenza dell’infarto miocardico [287 (4,6%) nel gruppo trattato con clopidogrel e 363 (5,8%) nel gruppo trattato con placebo]. Non si è osservato nessun effetto sulla percentuale di riospedalizzazione per angina instabile.</w:t>
      </w:r>
    </w:p>
    <w:p>
      <w:pPr>
        <w:spacing w:line="240" w:lineRule="auto"/>
        <w:rPr>
          <w:rFonts w:ascii="Times New Roman" w:eastAsia="Times New Roman" w:hAnsi="Times New Roman"/>
          <w:color w:val="000000"/>
          <w:lang w:val="it-IT"/>
        </w:rPr>
      </w:pPr>
    </w:p>
    <w:p>
      <w:pPr>
        <w:spacing w:after="0" w:line="240" w:lineRule="auto"/>
        <w:rPr>
          <w:rFonts w:ascii="Times New Roman" w:eastAsia="Times New Roman" w:hAnsi="Times New Roman"/>
          <w:color w:val="000000"/>
          <w:lang w:val="it-IT"/>
        </w:rPr>
      </w:pPr>
      <w:r>
        <w:rPr>
          <w:rFonts w:ascii="Times New Roman" w:eastAsia="Times New Roman" w:hAnsi="Times New Roman"/>
          <w:color w:val="000000"/>
          <w:lang w:val="it-IT"/>
        </w:rPr>
        <w:t>I risultati ottenuti nelle popolazioni con caratteristiche differenti (per es. angina instabile o infarto miocardico senza onde Q, livelli di rischio basso o alto, diabete, necessità di rivascolarizzazione, età, sesso, ecc.) si sono rivelati coerenti con i risultati dell’analisi primaria. In particolare, in un’analisi a posteriori in 2.172 pazienti (17% della popolazione totale dello studio CURE) che erano stati sottoposti a posizionamento di stent (Stent-CURE), i dati hanno mostrato una significativa RRR del 26,2% a favore di clopidogrel rispetto a placebo per l’endpoint co-primario (morte cardiovascolare, infarto miocardico, ictus) ed una significativa RRR del 23,9% per il secondo endpoint co-primario (morte cardiovascolare, infarto miocardico, ictus o ischemia refrattaria). Inoltre, il profilo di sicurezza di clopidogrel in questo sottogruppo di pazienti non ha evidenziato particolari problemi. Pertanto, i risultati ottenuti da questo sottogruppo sono in linea con i risultati complessivi dello studio.</w:t>
      </w:r>
    </w:p>
    <w:p>
      <w:pPr>
        <w:shd w:val="clear" w:color="auto" w:fill="FFFFFF"/>
        <w:tabs>
          <w:tab w:val="left" w:pos="187"/>
          <w:tab w:val="left" w:pos="567"/>
        </w:tabs>
        <w:spacing w:after="0" w:line="240" w:lineRule="auto"/>
        <w:rPr>
          <w:rFonts w:ascii="Times New Roman" w:eastAsia="Times New Roman" w:hAnsi="Times New Roman"/>
          <w:color w:val="000000"/>
          <w:spacing w:val="-12"/>
          <w:lang w:val="it-IT"/>
        </w:rPr>
      </w:pPr>
    </w:p>
    <w:p>
      <w:pPr>
        <w:spacing w:after="0" w:line="240" w:lineRule="auto"/>
        <w:rPr>
          <w:rFonts w:ascii="Times New Roman" w:eastAsia="Times New Roman" w:hAnsi="Times New Roman"/>
          <w:color w:val="000000"/>
          <w:lang w:val="it-IT"/>
        </w:rPr>
      </w:pPr>
      <w:r>
        <w:rPr>
          <w:rFonts w:ascii="Times New Roman" w:eastAsia="Times New Roman" w:hAnsi="Times New Roman"/>
          <w:color w:val="000000"/>
          <w:lang w:val="it-IT"/>
        </w:rPr>
        <w:t>Il beneficio osservato con clopidogrel si è dimostrato indipendente dall’utilizzo di altre terapie cardiovascolari in acuto e a lungo termine (come eparina/EBPM, antagonisti della glicoproteina IIb/IIIa, farmaci ipolipemizzanti, beta bloccanti, e ACE inibitori). L’efficacia di clopidogrel è risultata indipendente dalla dose di ASA (75</w:t>
      </w:r>
      <w:r>
        <w:rPr>
          <w:rFonts w:ascii="Times New Roman" w:eastAsia="Times New Roman" w:hAnsi="Times New Roman"/>
          <w:color w:val="000000"/>
          <w:lang w:val="it-IT"/>
        </w:rPr>
        <w:noBreakHyphen/>
        <w:t>325 mg una volta al giorno).</w:t>
      </w:r>
    </w:p>
    <w:p>
      <w:pPr>
        <w:spacing w:after="0" w:line="240" w:lineRule="auto"/>
        <w:ind w:right="-29"/>
        <w:jc w:val="both"/>
        <w:rPr>
          <w:rFonts w:ascii="Times New Roman" w:eastAsia="Times New Roman" w:hAnsi="Times New Roman"/>
          <w:color w:val="000000"/>
          <w:lang w:val="it-IT"/>
        </w:rPr>
      </w:pPr>
    </w:p>
    <w:p>
      <w:pPr>
        <w:spacing w:after="0" w:line="240" w:lineRule="auto"/>
        <w:ind w:right="-29"/>
        <w:jc w:val="both"/>
        <w:rPr>
          <w:rFonts w:ascii="Times New Roman" w:eastAsia="Times New Roman" w:hAnsi="Times New Roman"/>
          <w:color w:val="000000"/>
          <w:lang w:val="it-IT"/>
        </w:rPr>
      </w:pPr>
      <w:r>
        <w:rPr>
          <w:rFonts w:ascii="Times New Roman" w:eastAsia="Times New Roman" w:hAnsi="Times New Roman"/>
          <w:color w:val="000000"/>
          <w:lang w:val="it-IT"/>
        </w:rPr>
        <w:t>Infarto miocardico con sopraslivellamento del tratto ST</w:t>
      </w:r>
    </w:p>
    <w:p>
      <w:pPr>
        <w:spacing w:after="0" w:line="240" w:lineRule="auto"/>
        <w:ind w:right="-29"/>
        <w:jc w:val="both"/>
        <w:rPr>
          <w:rFonts w:ascii="Times New Roman" w:eastAsia="Times New Roman" w:hAnsi="Times New Roman"/>
          <w:color w:val="000000"/>
          <w:lang w:val="it-IT"/>
        </w:rPr>
      </w:pPr>
    </w:p>
    <w:p>
      <w:pPr>
        <w:spacing w:after="0" w:line="240" w:lineRule="auto"/>
        <w:rPr>
          <w:rFonts w:ascii="Times New Roman" w:eastAsia="Times New Roman" w:hAnsi="Times New Roman"/>
          <w:color w:val="000000"/>
          <w:lang w:val="it-IT"/>
        </w:rPr>
      </w:pPr>
      <w:r>
        <w:rPr>
          <w:rFonts w:ascii="Times New Roman" w:eastAsia="Times New Roman" w:hAnsi="Times New Roman"/>
          <w:color w:val="000000"/>
          <w:lang w:val="it-IT"/>
        </w:rPr>
        <w:t>Nei pazienti con IM acuto con innalzamento del tratto ST (STEMI), la sicurezza e l’efficacia di clopidogrel sono state valutate in 2 studi, CLARITY un’analisi prospettica di sottogruppo dello studio CLARITY (CLARITY PCI) e COMMIT, randomizzati, in doppio-cieco, controllati con placebo.</w:t>
      </w:r>
    </w:p>
    <w:p>
      <w:pPr>
        <w:shd w:val="clear" w:color="auto" w:fill="FFFFFF"/>
        <w:tabs>
          <w:tab w:val="left" w:pos="567"/>
        </w:tabs>
        <w:spacing w:after="0" w:line="240" w:lineRule="auto"/>
        <w:rPr>
          <w:rFonts w:ascii="Times New Roman" w:eastAsia="Times New Roman" w:hAnsi="Times New Roman"/>
          <w:color w:val="000000"/>
          <w:lang w:val="it-IT"/>
        </w:rPr>
      </w:pPr>
    </w:p>
    <w:p>
      <w:pPr>
        <w:pStyle w:val="BodyText3"/>
        <w:tabs>
          <w:tab w:val="left" w:pos="240"/>
        </w:tabs>
        <w:autoSpaceDN w:val="0"/>
        <w:adjustRightInd w:val="0"/>
        <w:spacing w:after="0"/>
        <w:rPr>
          <w:color w:val="000000"/>
          <w:sz w:val="22"/>
          <w:szCs w:val="22"/>
          <w:lang w:eastAsia="en-US"/>
        </w:rPr>
      </w:pPr>
      <w:r>
        <w:rPr>
          <w:color w:val="000000"/>
          <w:sz w:val="22"/>
          <w:szCs w:val="22"/>
          <w:lang w:eastAsia="en-US"/>
        </w:rPr>
        <w:t xml:space="preserve">Lo studio CLARITY ha arruolato 3.491 pazienti che si presentavano entro 12 ore dall’esordio di un IM con innalzamento del tratto ST ed erano candidati alla terapia trombolitica. I pazienti hanno ricevuto clopidogrel (dose di carico di 300 mg, seguita da 75 mg/die, n=1752) oppure placebo (n=1739), entrambi in associazione con ASA (dose di carico da </w:t>
      </w:r>
      <w:smartTag w:uri="urn:schemas-microsoft-com:office:smarttags" w:element="metricconverter">
        <w:smartTagPr>
          <w:attr w:name="ProductID" w:val="150 a"/>
        </w:smartTagPr>
        <w:r>
          <w:rPr>
            <w:color w:val="000000"/>
            <w:sz w:val="22"/>
            <w:szCs w:val="22"/>
            <w:lang w:eastAsia="en-US"/>
          </w:rPr>
          <w:t>150 a</w:t>
        </w:r>
      </w:smartTag>
      <w:r>
        <w:rPr>
          <w:color w:val="000000"/>
          <w:sz w:val="22"/>
          <w:szCs w:val="22"/>
          <w:lang w:eastAsia="en-US"/>
        </w:rPr>
        <w:t xml:space="preserve"> 325 mg, seguita da 75-162 mg/die), un farmaco fibrinolitico e, laddove necessario, eparina. I pazienti sono stati osservati per 30 giorni. L’endpoint primario era rappresentato dalla comparsa di uno dei seguenti eventi: occlusione dell’arteria correlata all’infarto, riscontrabile all’angiografia pre-dimissione, oppure la morte, oppure una recidiva di IM prima dela coronarografia. Per i pazienti che non sono stati sottoposti a coronarografia, l’endpoint primario era rappresentato da morte o recidiva di IM entro il giorno 8 oppure entro la dimissione dall’ospedale. La popolazione dei pazienti includeva il 19,7% di donne e il 29,2% di pazienti di età ≥ 65 anni. Globalmente il 99,7% dei pazienti hanno ricevuto fibrinolitici (fibrino specifici: 68,7%, non fibrino specifici: 31,1%), l’89,5% eparina, il 78,7% beta bloccanti, il 54,7% ACE inibitori e il 63% statine.</w:t>
      </w:r>
    </w:p>
    <w:p>
      <w:pPr>
        <w:tabs>
          <w:tab w:val="left" w:pos="240"/>
        </w:tabs>
        <w:autoSpaceDE w:val="0"/>
        <w:autoSpaceDN w:val="0"/>
        <w:adjustRightInd w:val="0"/>
        <w:spacing w:after="0" w:line="240" w:lineRule="auto"/>
        <w:rPr>
          <w:rFonts w:ascii="Times New Roman" w:eastAsia="Times New Roman" w:hAnsi="Times New Roman"/>
          <w:color w:val="000000"/>
          <w:lang w:val="it-IT"/>
        </w:rPr>
      </w:pPr>
    </w:p>
    <w:p>
      <w:pPr>
        <w:pStyle w:val="BodyText3"/>
        <w:tabs>
          <w:tab w:val="left" w:pos="240"/>
        </w:tabs>
        <w:autoSpaceDN w:val="0"/>
        <w:adjustRightInd w:val="0"/>
        <w:spacing w:after="0"/>
        <w:rPr>
          <w:color w:val="000000"/>
          <w:sz w:val="22"/>
          <w:szCs w:val="22"/>
          <w:lang w:eastAsia="en-US"/>
        </w:rPr>
      </w:pPr>
      <w:r>
        <w:rPr>
          <w:color w:val="000000"/>
          <w:sz w:val="22"/>
          <w:szCs w:val="22"/>
          <w:lang w:eastAsia="en-US"/>
        </w:rPr>
        <w:t>L’incidenza dell’endpoint primario è stata del quindici percento (15,0%) nei pazienti del gruppo trattato con clopidogrel e del 21,7% nei pazienti del gruppo placebo, con una riduzione assoluta del 6,7% ed una riduzione del rischio del 36 % a favore di clopidogrel (95% CI: 24, 47%; p&lt;0,001), principalmente correlata ad una riduzione delle occlusioni delle arterie correlate all’infarto. Tale beneficio è stato coerente in tutti i sottogruppi prespecificati inclusi i sottogruppi per età e sesso, localizzazione dell’infarto e tipo di fibrinolitico o eparina utilizzati.</w:t>
      </w:r>
    </w:p>
    <w:p>
      <w:pPr>
        <w:spacing w:after="0" w:line="240" w:lineRule="auto"/>
        <w:rPr>
          <w:rFonts w:ascii="Times New Roman" w:eastAsia="Times New Roman" w:hAnsi="Times New Roman"/>
          <w:color w:val="000000"/>
          <w:lang w:val="it-IT"/>
        </w:rPr>
      </w:pPr>
    </w:p>
    <w:p>
      <w:pPr>
        <w:spacing w:after="0" w:line="240" w:lineRule="auto"/>
        <w:rPr>
          <w:rFonts w:ascii="Times New Roman" w:eastAsia="Times New Roman" w:hAnsi="Times New Roman"/>
          <w:color w:val="000000"/>
          <w:lang w:val="it-IT"/>
        </w:rPr>
      </w:pPr>
      <w:r>
        <w:rPr>
          <w:rFonts w:ascii="Times New Roman" w:eastAsia="Times New Roman" w:hAnsi="Times New Roman"/>
          <w:color w:val="000000"/>
          <w:lang w:val="it-IT"/>
        </w:rPr>
        <w:t xml:space="preserve">L’analisi di sottogruppo </w:t>
      </w:r>
      <w:r>
        <w:rPr>
          <w:rFonts w:ascii="Times New Roman" w:eastAsia="Times New Roman" w:hAnsi="Times New Roman"/>
          <w:b/>
          <w:bCs/>
          <w:color w:val="000000"/>
          <w:lang w:val="it-IT"/>
        </w:rPr>
        <w:t>CLARITY PCI</w:t>
      </w:r>
      <w:r>
        <w:rPr>
          <w:rFonts w:ascii="Times New Roman" w:eastAsia="Times New Roman" w:hAnsi="Times New Roman"/>
          <w:color w:val="000000"/>
          <w:lang w:val="it-IT"/>
        </w:rPr>
        <w:t xml:space="preserve"> ha incluso 1.863 pazienti con STEMI sottoposti a PCI. I pazienti trattati con una dose di carico di clopidogrel 300 mg (n=933) hanno mostrato una riduzione significativa dell’incidenza di morte cardiovascolare, IM o ictus in seguito a PCI rispetto a quelli trattati con placebo (n=930) (3,6% con pre-trattamento con clopidogrel rispetto al 6,2% con placebo, OR: 0,54; IC 95%: 0,35-0,85; p=0,008). I pazienti trattati con una dose di carico di clopidogrel 300 mg hanno mostrato una riduzione significativa dell’incidenza di morte cardiovascolare, IM o ictus nei 30 giorni successivi a PCI rispetto a quelli trattati con placebo (7,5% con pre-trattamento con clopidogrel rispetto al 12,0% con placebo, OR: 0,59; IC 95%: 0,43-0,81; p=0,001). Tuttavia, questo endpoint composito valutato nella popolazione complessiva dello studio CLARITY non era statisticamente significativo come endpoint secondario. Non è stata osservata alcuna differenza significativa nei tassi di sanguinamento maggiore o minore tra i due trattamenti (2,0% con clopidogrel pre-trattamento rispetto all’1,9% con placebo, p&gt;0,99). I risultati di questa analisi supportano l’uso precoce della dose di carico di clopidogrel nello STEMI e la strategia di pre-trattamento di routine con clopidogrel in pazienti sottoposti a PCI.</w:t>
      </w:r>
    </w:p>
    <w:p>
      <w:pPr>
        <w:spacing w:after="0" w:line="240" w:lineRule="auto"/>
        <w:rPr>
          <w:rFonts w:ascii="Times New Roman" w:eastAsia="Times New Roman" w:hAnsi="Times New Roman"/>
          <w:color w:val="000000"/>
          <w:lang w:val="it-IT"/>
        </w:rPr>
      </w:pPr>
    </w:p>
    <w:p>
      <w:pPr>
        <w:tabs>
          <w:tab w:val="left" w:pos="240"/>
        </w:tabs>
        <w:autoSpaceDE w:val="0"/>
        <w:autoSpaceDN w:val="0"/>
        <w:adjustRightInd w:val="0"/>
        <w:spacing w:after="0" w:line="240" w:lineRule="auto"/>
        <w:rPr>
          <w:rFonts w:ascii="Times New Roman" w:eastAsia="Times New Roman" w:hAnsi="Times New Roman"/>
          <w:color w:val="000000"/>
          <w:lang w:val="it-IT"/>
        </w:rPr>
      </w:pPr>
      <w:r>
        <w:rPr>
          <w:rFonts w:ascii="Times New Roman" w:eastAsia="Times New Roman" w:hAnsi="Times New Roman"/>
          <w:color w:val="000000"/>
          <w:lang w:val="it-IT"/>
        </w:rPr>
        <w:t xml:space="preserve">Lo studio COMMIT con disegno fattoriale 2x2 ha arruolato 45.852 pazienti che si presentavano entro le 24 ore dall’inizio dei sintomi di sospetto IM, con il supporto di anomalie all’ECG (ad es. innalzamento del tratto ST, abbassamento del tratto ST oppure blocco di branca sinistro). I pazienti hanno ricevuto clopidogrel (75 mg/die, n=22,961) oppure placebo (n=22,891), in associazione con ASA (162 mg/die), per 28 giorni o fino alla dimissione dall’ospedale. Gli endpoints co-primari erano morte da qualsiasi causa e la prima comparsa di re-infarto, ictus o morte. La popolazione ha incluso il 27,8% di donne, il 58,4% di pazienti di età ≥ 60 anni (26% </w:t>
      </w:r>
      <w:bookmarkStart w:id="3" w:name="OLE_LINK1"/>
      <w:r>
        <w:rPr>
          <w:rFonts w:ascii="Times New Roman" w:eastAsia="Times New Roman" w:hAnsi="Times New Roman"/>
          <w:color w:val="000000"/>
          <w:lang w:val="it-IT"/>
        </w:rPr>
        <w:t>≥</w:t>
      </w:r>
      <w:bookmarkEnd w:id="3"/>
      <w:r>
        <w:rPr>
          <w:rFonts w:ascii="Times New Roman" w:eastAsia="Times New Roman" w:hAnsi="Times New Roman"/>
          <w:color w:val="000000"/>
          <w:lang w:val="it-IT"/>
        </w:rPr>
        <w:t xml:space="preserve"> 70 anni) e il 54,5% di pazienti ha ricevuto fibrinolitici.</w:t>
      </w:r>
    </w:p>
    <w:p>
      <w:pPr>
        <w:tabs>
          <w:tab w:val="left" w:pos="240"/>
        </w:tabs>
        <w:autoSpaceDE w:val="0"/>
        <w:autoSpaceDN w:val="0"/>
        <w:adjustRightInd w:val="0"/>
        <w:spacing w:after="0" w:line="240" w:lineRule="auto"/>
        <w:jc w:val="both"/>
        <w:rPr>
          <w:rFonts w:ascii="Times New Roman" w:eastAsia="Times New Roman" w:hAnsi="Times New Roman"/>
          <w:color w:val="000000"/>
          <w:lang w:val="it-IT"/>
        </w:rPr>
      </w:pPr>
    </w:p>
    <w:p>
      <w:pPr>
        <w:pStyle w:val="BodyText3"/>
        <w:tabs>
          <w:tab w:val="left" w:pos="240"/>
        </w:tabs>
        <w:autoSpaceDN w:val="0"/>
        <w:adjustRightInd w:val="0"/>
        <w:spacing w:after="0"/>
        <w:rPr>
          <w:color w:val="000000"/>
          <w:sz w:val="22"/>
          <w:szCs w:val="22"/>
          <w:lang w:eastAsia="en-US"/>
        </w:rPr>
      </w:pPr>
      <w:r>
        <w:rPr>
          <w:color w:val="000000"/>
          <w:sz w:val="22"/>
          <w:szCs w:val="22"/>
          <w:lang w:eastAsia="en-US"/>
        </w:rPr>
        <w:t>Clopidogrel ha ridotto in modo significativo del 7% (p = 0,029) il rischio relativo di morte da qualsiasi causa, e del 9% (p = 0,002) il rischio relativo della combinazione di re-infarto, ictus o morte, con una riduzione assoluta dello 0,5% e dello 0,9%, rispettivamente. Tale beneficio è stato coerente per età, sesso e utilizzo o meno di fibrinolitici ed è stato osservato già nelle prime 24 ore.</w:t>
      </w:r>
    </w:p>
    <w:p>
      <w:pPr>
        <w:tabs>
          <w:tab w:val="left" w:pos="567"/>
        </w:tabs>
        <w:spacing w:after="0" w:line="240" w:lineRule="auto"/>
        <w:rPr>
          <w:rFonts w:ascii="Times New Roman" w:eastAsia="Times New Roman" w:hAnsi="Times New Roman"/>
          <w:b/>
          <w:bCs/>
          <w:color w:val="000000"/>
          <w:spacing w:val="1"/>
          <w:lang w:val="it-IT"/>
        </w:rPr>
      </w:pPr>
    </w:p>
    <w:p>
      <w:pPr>
        <w:tabs>
          <w:tab w:val="left" w:pos="567"/>
        </w:tabs>
        <w:spacing w:after="0" w:line="240" w:lineRule="auto"/>
        <w:rPr>
          <w:rFonts w:ascii="Times New Roman" w:eastAsia="Times New Roman" w:hAnsi="Times New Roman"/>
          <w:color w:val="000000"/>
          <w:spacing w:val="1"/>
          <w:lang w:val="it-IT"/>
        </w:rPr>
      </w:pPr>
      <w:r>
        <w:rPr>
          <w:rFonts w:ascii="Times New Roman" w:eastAsia="Times New Roman" w:hAnsi="Times New Roman"/>
          <w:color w:val="000000"/>
          <w:spacing w:val="1"/>
          <w:lang w:val="it-IT"/>
        </w:rPr>
        <w:t>Dose di carico di clopidogrel 600 mg in pazienti con sindrome coronarica acuta sottoposti a PCI</w:t>
      </w:r>
    </w:p>
    <w:p>
      <w:pPr>
        <w:tabs>
          <w:tab w:val="left" w:pos="567"/>
        </w:tabs>
        <w:spacing w:after="0" w:line="240" w:lineRule="auto"/>
        <w:rPr>
          <w:rFonts w:ascii="Times New Roman" w:eastAsia="Times New Roman" w:hAnsi="Times New Roman"/>
          <w:color w:val="000000"/>
          <w:spacing w:val="1"/>
          <w:lang w:val="it-IT"/>
        </w:rPr>
      </w:pPr>
    </w:p>
    <w:p>
      <w:pPr>
        <w:tabs>
          <w:tab w:val="left" w:pos="567"/>
        </w:tabs>
        <w:spacing w:after="0" w:line="240" w:lineRule="auto"/>
        <w:rPr>
          <w:rFonts w:ascii="Times New Roman" w:eastAsia="Times New Roman" w:hAnsi="Times New Roman"/>
          <w:color w:val="000000"/>
          <w:spacing w:val="1"/>
          <w:lang w:val="en-US"/>
        </w:rPr>
      </w:pPr>
      <w:r>
        <w:rPr>
          <w:rFonts w:ascii="Times New Roman" w:eastAsia="Times New Roman" w:hAnsi="Times New Roman"/>
          <w:b/>
          <w:bCs/>
          <w:color w:val="000000"/>
          <w:spacing w:val="1"/>
          <w:lang w:val="en-US"/>
        </w:rPr>
        <w:t>CURRENT-OASIS-7</w:t>
      </w:r>
      <w:r>
        <w:rPr>
          <w:rFonts w:ascii="Times New Roman" w:eastAsia="Times New Roman" w:hAnsi="Times New Roman"/>
          <w:color w:val="000000"/>
          <w:spacing w:val="1"/>
          <w:lang w:val="en-US"/>
        </w:rPr>
        <w:t xml:space="preserve"> (Clopidogrel and Aspirin Optimal Dose Usage to Reduce Recurrent Events Seventh Organization to Assess Strategies in Ischemic Syndromes).</w:t>
      </w:r>
    </w:p>
    <w:p>
      <w:pPr>
        <w:tabs>
          <w:tab w:val="left" w:pos="567"/>
        </w:tabs>
        <w:spacing w:after="0" w:line="240" w:lineRule="auto"/>
        <w:rPr>
          <w:rFonts w:ascii="Times New Roman" w:eastAsia="Times New Roman" w:hAnsi="Times New Roman"/>
          <w:color w:val="000000"/>
          <w:spacing w:val="1"/>
          <w:lang w:val="it-IT"/>
        </w:rPr>
      </w:pPr>
      <w:r>
        <w:rPr>
          <w:rFonts w:ascii="Times New Roman" w:eastAsia="Times New Roman" w:hAnsi="Times New Roman"/>
          <w:color w:val="000000"/>
          <w:spacing w:val="1"/>
          <w:lang w:val="it-IT"/>
        </w:rPr>
        <w:t xml:space="preserve">Questo studio fattoriale randomizzato ha incluso 25.086 soggetti affetti da sindrome coronarica acuta (SCA) destinati a PCI precoce. I pazienti sono stati assegnati in modo randomizzato a una dose doppia di clopidogrel (600 mg il Giorno 1, poi 150 mg nei Giorni 2-7, quindi 75 mg al giorno) rispetto ad una dose standard di clopidogrel (300 mg il Giorno 1, quindi 75 mg al giorno) e ASA ad alta dose (300-325 mg al giorno) rispetto a ASA a bassa dose (75-100 mg al giorno). I 24.835 pazienti arruolati con SCA sono stati sottoposti ad angiografia coronarica e 17.263 sono stati sottoposti a PCI. Nei 17.263 pazienti sottoposti a PCI, clopidogrel a doppia dose, rispetto alla dose standard, ha ridotto il tasso dell’endpoint primario (3,9% rispetto al 4,5% HR aggiustato pari a 0,86, IC 95% 0,74-0,99, p = 0,039) e ha ridotto significativamente la trombosi da stent (1,6% rispetto a 2,3%, HR: 0,68; IC 95%: 0,55 0,85; p = 0,001). Il sanguinamento maggiore era più comune con la doppia dose di clopidogrel rispetto alla dose standard (1,6% rispetto a 1,1%, HR=1,41, IC 95% 1,09-1,83, p=0,009). In questo studio, la dose di carico di clopidogrel 600 mg ha dimostrato un’efficacia costante nei pazienti di età ≥75 anni e nei pazienti di età &lt;75 anni. </w:t>
      </w:r>
    </w:p>
    <w:p>
      <w:pPr>
        <w:tabs>
          <w:tab w:val="left" w:pos="567"/>
        </w:tabs>
        <w:spacing w:after="0" w:line="240" w:lineRule="auto"/>
        <w:rPr>
          <w:rFonts w:ascii="Times New Roman" w:eastAsia="Times New Roman" w:hAnsi="Times New Roman"/>
          <w:color w:val="000000"/>
          <w:spacing w:val="1"/>
          <w:lang w:val="it-IT"/>
        </w:rPr>
      </w:pPr>
    </w:p>
    <w:p>
      <w:pPr>
        <w:tabs>
          <w:tab w:val="left" w:pos="567"/>
        </w:tabs>
        <w:spacing w:after="0" w:line="240" w:lineRule="auto"/>
        <w:rPr>
          <w:rFonts w:ascii="Times New Roman" w:eastAsia="Times New Roman" w:hAnsi="Times New Roman"/>
          <w:color w:val="000000"/>
          <w:spacing w:val="1"/>
          <w:lang w:val="en-US"/>
        </w:rPr>
      </w:pPr>
      <w:r>
        <w:rPr>
          <w:rFonts w:ascii="Times New Roman" w:eastAsia="Times New Roman" w:hAnsi="Times New Roman"/>
          <w:b/>
          <w:bCs/>
          <w:color w:val="000000"/>
          <w:spacing w:val="1"/>
          <w:lang w:val="en-US"/>
        </w:rPr>
        <w:t>ARMYDA-6 MI</w:t>
      </w:r>
      <w:r>
        <w:rPr>
          <w:rFonts w:ascii="Times New Roman" w:eastAsia="Times New Roman" w:hAnsi="Times New Roman"/>
          <w:color w:val="000000"/>
          <w:spacing w:val="1"/>
          <w:lang w:val="en-US"/>
        </w:rPr>
        <w:t xml:space="preserve"> (The Antiplatelet therapy for Reduction of MYocardial Damage during Angioplasty - Myocardial Infarction) </w:t>
      </w:r>
    </w:p>
    <w:p>
      <w:pPr>
        <w:tabs>
          <w:tab w:val="left" w:pos="567"/>
        </w:tabs>
        <w:spacing w:after="0" w:line="240" w:lineRule="auto"/>
        <w:rPr>
          <w:rFonts w:ascii="Times New Roman" w:eastAsia="Times New Roman" w:hAnsi="Times New Roman"/>
          <w:color w:val="000000"/>
          <w:spacing w:val="1"/>
          <w:lang w:val="it-IT"/>
        </w:rPr>
      </w:pPr>
      <w:r>
        <w:rPr>
          <w:rFonts w:ascii="Times New Roman" w:eastAsia="Times New Roman" w:hAnsi="Times New Roman"/>
          <w:color w:val="000000"/>
          <w:spacing w:val="1"/>
          <w:lang w:val="it-IT"/>
        </w:rPr>
        <w:t>Questo studio randomizzato, prospettico, internazionale, multicentrico ha valutato il pre-trattamento con una dose di carico di clopidogrel 600 mg rispetto ad una dose di carico da 300 mg nel contesto di una PCI urgente per STEMI. I pazienti hanno ricevuto una dose di carico di clopidogrel 600 mg (n=103) o una dose di carico di clopidogrel 300 mg (n=98) prima della PCI, successivamente hanno ricevuto una prescrizione di 75 mg/die dal giorno successivo alla PCI fino a 1 anno. I pazienti che hanno ricevuto una dose di carico di clopidogrel 600 mg presentavano un’estensione dell’infarto significativamente ridotta rispetto ai pazienti che avevano ricevuto una dose di carico di 300 mg. Nel gruppo trattato con dose di carico da 600 mg si è verificata una trombolisi meno frequente in MI di grado &lt;3 dopo PCI (5,8% rispetto a 16,3%, p=0,031), una LVEF migliorata alla dimissione (52,1 ±9,5% rispetto a 48,8 ±11,3%, p=0,026) e un numero inferiore di eventi avversi cardiovascolari maggiori a 30 giorni (5,8% rispetto a  15%, p=0,049). Non è stato osservato alcun aumento del sanguinamento o delle complicanze nel sito di accesso (endpoint secondari al giorno 30).</w:t>
      </w:r>
    </w:p>
    <w:p>
      <w:pPr>
        <w:tabs>
          <w:tab w:val="left" w:pos="567"/>
        </w:tabs>
        <w:spacing w:after="0" w:line="240" w:lineRule="auto"/>
        <w:rPr>
          <w:rFonts w:ascii="Times New Roman" w:eastAsia="Times New Roman" w:hAnsi="Times New Roman"/>
          <w:color w:val="000000"/>
          <w:spacing w:val="1"/>
          <w:lang w:val="it-IT"/>
        </w:rPr>
      </w:pPr>
    </w:p>
    <w:p>
      <w:pPr>
        <w:tabs>
          <w:tab w:val="left" w:pos="567"/>
        </w:tabs>
        <w:spacing w:after="0" w:line="240" w:lineRule="auto"/>
        <w:rPr>
          <w:rFonts w:ascii="Times New Roman" w:eastAsia="Times New Roman" w:hAnsi="Times New Roman"/>
          <w:color w:val="000000"/>
          <w:spacing w:val="1"/>
          <w:lang w:val="en-US"/>
        </w:rPr>
      </w:pPr>
      <w:r>
        <w:rPr>
          <w:rFonts w:ascii="Times New Roman" w:eastAsia="Times New Roman" w:hAnsi="Times New Roman"/>
          <w:b/>
          <w:bCs/>
          <w:color w:val="000000"/>
          <w:spacing w:val="1"/>
          <w:lang w:val="en-US"/>
        </w:rPr>
        <w:t>HORIZONS-AMI</w:t>
      </w:r>
      <w:r>
        <w:rPr>
          <w:rFonts w:ascii="Times New Roman" w:eastAsia="Times New Roman" w:hAnsi="Times New Roman"/>
          <w:color w:val="000000"/>
          <w:spacing w:val="1"/>
          <w:lang w:val="en-US"/>
        </w:rPr>
        <w:t xml:space="preserve"> (Harmonizing Outcomes with Revascularization and Stents in Acute Myocardial Infarction)</w:t>
      </w:r>
    </w:p>
    <w:p>
      <w:pPr>
        <w:tabs>
          <w:tab w:val="left" w:pos="567"/>
        </w:tabs>
        <w:spacing w:after="0" w:line="240" w:lineRule="auto"/>
        <w:rPr>
          <w:rFonts w:ascii="Times New Roman" w:eastAsia="Times New Roman" w:hAnsi="Times New Roman"/>
          <w:color w:val="000000"/>
          <w:spacing w:val="1"/>
          <w:lang w:val="it-IT"/>
        </w:rPr>
      </w:pPr>
      <w:r>
        <w:rPr>
          <w:rFonts w:ascii="Times New Roman" w:eastAsia="Times New Roman" w:hAnsi="Times New Roman"/>
          <w:color w:val="000000"/>
          <w:spacing w:val="1"/>
          <w:lang w:val="it-IT"/>
        </w:rPr>
        <w:t>Questo studio di analisi post-hoc è stato condotto per valutare se una dose di carico di clopidogrel 600 mg determina una più rapida e maggiore inibizione dell’attivazione piastrinica. L’analisi ha esaminato l’impatto di una dose di carico di 600 mg rispetto ad una di 300 mg sugli esiti clinici a 30 giorni in 3.311 pazienti dello studio principale (n=1.153; gruppo dose di carico di 300 mg; n=2.158; gruppo dose di carico di 600 mg) prima del cateterismo cardiaco seguito da una dose di 75 mg/die per ≥6 mesi dopo la dimissione. I risultati hanno mostrato tassi non aggiustati di mortalità a 30 giorni significativamente inferiori (1,9% rispetto a 3,1%, p=0,03), reinfarto (1,3% rispetto a 2,3%, p=0,02) e trombosi da stent confermata o probabile (1,7% rispetto a 2,8%, p=0,04) con la dose di carico di 600 mg senza tassi di sanguinamento maggiore. Mediante l’analisi multivariabile, una dose di carico di 600 mg risultava essere un predittore indipendente di tassi inferiori di eventi avversi cardiaci maggiori a 30 giorni (HR: 0,72 [IC 95%: 0,53-0,98], p=0,04). Il tasso di sanguinamento maggiore (non correlato a CABG) era del 6,1% nel gruppo con dose di carico di 600 mg e del 9,4% nel gruppo con dose di carico di 300 mg (p=0,0005). Il tasso di sanguinamento minore era dell’11,3% nel gruppo con dose di carico di 600 mg e del 13,8% nel gruppo trattato con una dose di carico di 300 mg (p=0,03).</w:t>
      </w:r>
    </w:p>
    <w:p>
      <w:pPr>
        <w:tabs>
          <w:tab w:val="left" w:pos="567"/>
        </w:tabs>
        <w:spacing w:after="0" w:line="240" w:lineRule="auto"/>
        <w:rPr>
          <w:rFonts w:ascii="Times New Roman" w:eastAsia="Times New Roman" w:hAnsi="Times New Roman"/>
          <w:color w:val="000000"/>
          <w:spacing w:val="1"/>
          <w:lang w:val="it-IT"/>
        </w:rPr>
      </w:pPr>
      <w:r>
        <w:rPr>
          <w:rFonts w:ascii="Times New Roman" w:eastAsia="Times New Roman" w:hAnsi="Times New Roman"/>
          <w:color w:val="000000"/>
          <w:spacing w:val="1"/>
          <w:lang w:val="it-IT"/>
        </w:rPr>
        <w:t xml:space="preserve"> </w:t>
      </w:r>
    </w:p>
    <w:p>
      <w:pPr>
        <w:tabs>
          <w:tab w:val="left" w:pos="567"/>
        </w:tabs>
        <w:spacing w:after="0" w:line="240" w:lineRule="auto"/>
        <w:rPr>
          <w:rFonts w:ascii="Times New Roman" w:eastAsia="Times New Roman" w:hAnsi="Times New Roman"/>
          <w:color w:val="000000"/>
          <w:spacing w:val="1"/>
          <w:lang w:val="it-IT"/>
        </w:rPr>
      </w:pPr>
      <w:r>
        <w:rPr>
          <w:rFonts w:ascii="Times New Roman" w:eastAsia="Times New Roman" w:hAnsi="Times New Roman"/>
          <w:color w:val="000000"/>
          <w:spacing w:val="1"/>
          <w:lang w:val="it-IT"/>
        </w:rPr>
        <w:t>Trattamento a lungo termine (12 mesi) con clopidogrel in pazienti con STEMI dopo PCI</w:t>
      </w:r>
    </w:p>
    <w:p>
      <w:pPr>
        <w:tabs>
          <w:tab w:val="left" w:pos="567"/>
        </w:tabs>
        <w:spacing w:after="0" w:line="240" w:lineRule="auto"/>
        <w:rPr>
          <w:rFonts w:ascii="Times New Roman" w:eastAsia="Times New Roman" w:hAnsi="Times New Roman"/>
          <w:color w:val="000000"/>
          <w:spacing w:val="1"/>
          <w:lang w:val="it-IT"/>
        </w:rPr>
      </w:pPr>
    </w:p>
    <w:p>
      <w:pPr>
        <w:tabs>
          <w:tab w:val="left" w:pos="567"/>
        </w:tabs>
        <w:spacing w:after="0" w:line="240" w:lineRule="auto"/>
        <w:rPr>
          <w:rFonts w:ascii="Times New Roman" w:eastAsia="Times New Roman" w:hAnsi="Times New Roman"/>
          <w:color w:val="000000"/>
          <w:spacing w:val="1"/>
          <w:lang w:val="en-US"/>
        </w:rPr>
      </w:pPr>
      <w:r>
        <w:rPr>
          <w:rFonts w:ascii="Times New Roman" w:eastAsia="Times New Roman" w:hAnsi="Times New Roman"/>
          <w:b/>
          <w:bCs/>
          <w:color w:val="000000"/>
          <w:spacing w:val="1"/>
          <w:lang w:val="en-US"/>
        </w:rPr>
        <w:t>CREDO</w:t>
      </w:r>
      <w:r>
        <w:rPr>
          <w:rFonts w:ascii="Times New Roman" w:eastAsia="Times New Roman" w:hAnsi="Times New Roman"/>
          <w:color w:val="000000"/>
          <w:spacing w:val="1"/>
          <w:lang w:val="en-US"/>
        </w:rPr>
        <w:t xml:space="preserve"> (Clopidogrel for the Reduction of Adverse Events During Observation)</w:t>
      </w:r>
    </w:p>
    <w:p>
      <w:pPr>
        <w:tabs>
          <w:tab w:val="left" w:pos="567"/>
        </w:tabs>
        <w:spacing w:after="0" w:line="240" w:lineRule="auto"/>
        <w:rPr>
          <w:rFonts w:ascii="Times New Roman" w:eastAsia="Times New Roman" w:hAnsi="Times New Roman"/>
          <w:color w:val="000000"/>
          <w:spacing w:val="1"/>
          <w:lang w:val="it-IT"/>
        </w:rPr>
      </w:pPr>
      <w:r>
        <w:rPr>
          <w:rFonts w:ascii="Times New Roman" w:eastAsia="Times New Roman" w:hAnsi="Times New Roman"/>
          <w:color w:val="000000"/>
          <w:spacing w:val="1"/>
          <w:lang w:val="it-IT"/>
        </w:rPr>
        <w:t xml:space="preserve">Questo studio randomizzato, in doppio cieco, controllato con placebo è stato condotto negli Stati Uniti e in Canada per valutare il beneficio del trattamento a lungo termine (12 mesi) con clopidogrel dopo PCI. Sono stati randomizzati 2 116 pazienti a ricevere la dose di carico di clopidogrel 300 mg (n=1.053) o placebo (n=1.063) da 3 a 24 ore prima della PCI. Tutti i pazienti hanno ricevuto anche 325 mg di aspirina. Successivamente, tutti i pazienti, in entrambi i gruppi, hanno ricevuto clopidogrel 75 mg/die fino al Giorno 28. Dal Giorno 29 fino a 12 mesi, i pazienti del gruppo clopidogrel hanno ricevuto 75 mg/die di clopidogrel e quelli del gruppo di controllo hanno ricevuto il placebo. </w:t>
      </w:r>
    </w:p>
    <w:p>
      <w:pPr>
        <w:tabs>
          <w:tab w:val="left" w:pos="567"/>
        </w:tabs>
        <w:spacing w:after="0" w:line="240" w:lineRule="auto"/>
        <w:rPr>
          <w:rFonts w:ascii="Times New Roman" w:eastAsia="Times New Roman" w:hAnsi="Times New Roman"/>
          <w:color w:val="000000"/>
          <w:spacing w:val="1"/>
          <w:lang w:val="it-IT"/>
        </w:rPr>
      </w:pPr>
      <w:r>
        <w:rPr>
          <w:rFonts w:ascii="Times New Roman" w:eastAsia="Times New Roman" w:hAnsi="Times New Roman"/>
          <w:color w:val="000000"/>
          <w:spacing w:val="1"/>
          <w:lang w:val="it-IT"/>
        </w:rPr>
        <w:t xml:space="preserve">Entrambi i gruppi hanno ricevuto ASA per tutta la durata dello studio (da 81 a 325 mg/die). </w:t>
      </w:r>
    </w:p>
    <w:p>
      <w:pPr>
        <w:tabs>
          <w:tab w:val="left" w:pos="567"/>
        </w:tabs>
        <w:spacing w:after="0" w:line="240" w:lineRule="auto"/>
        <w:rPr>
          <w:rFonts w:ascii="Times New Roman" w:eastAsia="Times New Roman" w:hAnsi="Times New Roman"/>
          <w:color w:val="000000"/>
          <w:spacing w:val="1"/>
          <w:lang w:val="it-IT"/>
        </w:rPr>
      </w:pPr>
      <w:r>
        <w:rPr>
          <w:rFonts w:ascii="Times New Roman" w:eastAsia="Times New Roman" w:hAnsi="Times New Roman"/>
          <w:color w:val="000000"/>
          <w:spacing w:val="1"/>
          <w:lang w:val="it-IT"/>
        </w:rPr>
        <w:t>A 1 anno, è stata osservata una riduzione significativa del rischio combinato di morte, IM o ictus con clopidogrel (riduzione relativa del 26,9%, IC 95%: 3,9%-44,4%; p=0,02; riduzione assoluta del 3%) rispetto al placebo. Non è stato osservato alcun aumento significativo del tasso di sanguinamento maggiore (8,8% con clopidogrel rispetto a 6,7% con placebo, p=0,07) o sanguinamento minore (5,3% con clopidogrel rispetto a 5,6% con placebo, p=0,84) a 1 anno. Il risultato principale di questo studio è che la prosecuzione del trattamento con clopidogrel e ASA per almeno 1 anno porta a una riduzione statisticamente e clinicamente significativa degli eventi trombotici gravi.</w:t>
      </w:r>
    </w:p>
    <w:p>
      <w:pPr>
        <w:tabs>
          <w:tab w:val="left" w:pos="567"/>
        </w:tabs>
        <w:spacing w:after="0" w:line="240" w:lineRule="auto"/>
        <w:rPr>
          <w:rFonts w:ascii="Times New Roman" w:eastAsia="Times New Roman" w:hAnsi="Times New Roman"/>
          <w:color w:val="000000"/>
          <w:spacing w:val="1"/>
          <w:lang w:val="it-IT"/>
        </w:rPr>
      </w:pPr>
    </w:p>
    <w:p>
      <w:pPr>
        <w:tabs>
          <w:tab w:val="left" w:pos="567"/>
        </w:tabs>
        <w:spacing w:after="0" w:line="240" w:lineRule="auto"/>
        <w:rPr>
          <w:rFonts w:ascii="Times New Roman" w:eastAsia="Times New Roman" w:hAnsi="Times New Roman"/>
          <w:color w:val="000000"/>
          <w:spacing w:val="1"/>
          <w:lang w:val="en-US"/>
        </w:rPr>
      </w:pPr>
      <w:r>
        <w:rPr>
          <w:rFonts w:ascii="Times New Roman" w:eastAsia="Times New Roman" w:hAnsi="Times New Roman"/>
          <w:b/>
          <w:bCs/>
          <w:color w:val="000000"/>
          <w:spacing w:val="1"/>
          <w:lang w:val="en-US"/>
        </w:rPr>
        <w:t>EXCELLENT</w:t>
      </w:r>
      <w:r>
        <w:rPr>
          <w:rFonts w:ascii="Times New Roman" w:eastAsia="Times New Roman" w:hAnsi="Times New Roman"/>
          <w:color w:val="000000"/>
          <w:spacing w:val="1"/>
          <w:lang w:val="en-US"/>
        </w:rPr>
        <w:t xml:space="preserve"> (Efficacy of Xience/Promus Versus Cypher to Reduce Late Loss After Stenting)</w:t>
      </w:r>
    </w:p>
    <w:p>
      <w:pPr>
        <w:tabs>
          <w:tab w:val="left" w:pos="567"/>
        </w:tabs>
        <w:spacing w:after="0" w:line="240" w:lineRule="auto"/>
        <w:rPr>
          <w:rFonts w:ascii="Times New Roman" w:eastAsia="Times New Roman" w:hAnsi="Times New Roman"/>
          <w:color w:val="000000"/>
          <w:spacing w:val="1"/>
          <w:lang w:val="it-IT"/>
        </w:rPr>
      </w:pPr>
      <w:r>
        <w:rPr>
          <w:rFonts w:ascii="Times New Roman" w:eastAsia="Times New Roman" w:hAnsi="Times New Roman"/>
          <w:color w:val="000000"/>
          <w:spacing w:val="1"/>
          <w:lang w:val="it-IT"/>
        </w:rPr>
        <w:t>Questo studio prospettico, in aperto, randomizzato è stata condotto in Corea per valutare se, dopo l’impianto di stent a rilascio di farmaco, la duplice terapia antipiastrinica (DAPT) per 6 mesi poteva essere non inferiore alla DAPT per 12 mesi. Lo studio ha incluso 1.443 pazienti sottoposti a impianto randomizzati a ricevere DAPT per 6 mesi (ASA 100-200 mg/die più clopidogrel 75 mg/die per 6 mesi e successivamente ASA in monoterapia per un massimo di 12 mesi) o DAPT per 12 mesi (ASA 100-200 mg/die più clopidogrel 75 mg/die per 12 mesi). Non è stata osservata alcuna differenza significativa nell’incidenza di fallimento a livello del vaso target (composito di morte cardiaca, IM o rivascolarizzazione del vaso target) che era l’endpoint primario tra i gruppi DAPT a 6 e 12 mesi (HR: 1,14; IC 95%: 0,70 1,86; p=0,60). Inoltre, lo studio non ha evidenziato alcuna differenza significativa nell’endpoint di sicurezza (composito di morte, IM, ictus, trombosi da stent o sanguinamento maggiore TIMI) tra i gruppi DAPT a 6 e 12 mesi (HR: 1,15; IC 95%: 0,64-2,06; p=0,64). Il risultato principale di questo studio era la non inferiorità della DAPT a 6 mesi rispetto alla DAPT a 12 mesi nel rischio di fallimento del vaso trattato.</w:t>
      </w:r>
    </w:p>
    <w:p>
      <w:pPr>
        <w:tabs>
          <w:tab w:val="left" w:pos="567"/>
        </w:tabs>
        <w:spacing w:after="0" w:line="240" w:lineRule="auto"/>
        <w:rPr>
          <w:rFonts w:ascii="Times New Roman" w:eastAsia="Times New Roman" w:hAnsi="Times New Roman"/>
          <w:color w:val="000000"/>
          <w:spacing w:val="1"/>
          <w:lang w:val="it-IT"/>
        </w:rPr>
      </w:pPr>
    </w:p>
    <w:p>
      <w:pPr>
        <w:spacing w:after="0" w:line="240" w:lineRule="auto"/>
        <w:rPr>
          <w:rFonts w:ascii="Times New Roman" w:hAnsi="Times New Roman"/>
          <w:lang w:val="it-IT"/>
        </w:rPr>
      </w:pPr>
      <w:r>
        <w:rPr>
          <w:rFonts w:ascii="Times New Roman" w:hAnsi="Times New Roman"/>
          <w:u w:val="single"/>
          <w:lang w:val="it-IT"/>
        </w:rPr>
        <w:t xml:space="preserve">De-escalation degli inibitori del P2Y12 nella sindrome coronarica acuta </w:t>
      </w:r>
      <w:r>
        <w:rPr>
          <w:rFonts w:ascii="Times New Roman" w:hAnsi="Times New Roman"/>
          <w:lang w:val="it-IT"/>
        </w:rPr>
        <w:br/>
      </w:r>
      <w:r>
        <w:rPr>
          <w:rFonts w:ascii="Times New Roman" w:hAnsi="Times New Roman"/>
          <w:lang w:val="it-IT"/>
        </w:rPr>
        <w:br/>
        <w:t>Il passaggio da un inibitore più potente del recettore P2Y12 a clopidogrel in associazione con l'aspirina dopo la fase acuta nella ACS è stato valutato in due studi randomizzati sponsorizzati dallo sperimentatore (ISS) - TOPIC e TROPICAL ACS - con i dati dei risultati clinici.</w:t>
      </w:r>
    </w:p>
    <w:p>
      <w:pPr>
        <w:spacing w:after="0" w:line="240" w:lineRule="auto"/>
        <w:rPr>
          <w:rFonts w:ascii="Times New Roman" w:hAnsi="Times New Roman"/>
          <w:lang w:val="it-IT"/>
        </w:rPr>
      </w:pPr>
      <w:r>
        <w:rPr>
          <w:rFonts w:ascii="Times New Roman" w:hAnsi="Times New Roman"/>
          <w:lang w:val="it-IT"/>
        </w:rPr>
        <w:br/>
        <w:t>Il beneficio clinico fornito dai più potenti inibitori del P2Y12, ticagrelor e prasugrel, nei loro studi chiave è correlato a una significativa riduzione degli eventi ischemici ricorrenti (inclusa trombosi dello stent acuto e subacuto (ST), infarto miocardico (MI) e urgente rivascolarizzazione). Sebbene il beneficio ischemico fosse consistente per tutto il primo anno, una maggiore riduzione della recidiva ischemica dopo ACS è stata osservata durante i primi giorni successivi all'inizio del trattamento. Al contrario, le analisi post-hoc hanno dimostrato aumenti statisticamente significativi del rischio di sanguinamento con i più potenti inibitori del P2Y12, che si verificano prevalentemente durante la fase di mantenimento, dopo il primo mese post-ACS. Gli  studi TOPIC e TROPICAL-ACS sono stati disegnati per studiare come attenuare gli eventi di sanguinamento mantenendo l'efficacia.</w:t>
      </w:r>
      <w:r>
        <w:rPr>
          <w:rFonts w:ascii="Times New Roman" w:hAnsi="Times New Roman"/>
          <w:lang w:val="it-IT"/>
        </w:rPr>
        <w:br/>
      </w:r>
      <w:r>
        <w:rPr>
          <w:rFonts w:ascii="Times New Roman" w:hAnsi="Times New Roman"/>
          <w:lang w:val="it-IT"/>
        </w:rPr>
        <w:br/>
      </w:r>
      <w:r>
        <w:rPr>
          <w:rFonts w:ascii="Times New Roman" w:hAnsi="Times New Roman"/>
          <w:b/>
          <w:lang w:val="it-IT"/>
        </w:rPr>
        <w:t>TOPIC</w:t>
      </w:r>
      <w:r>
        <w:rPr>
          <w:rFonts w:ascii="Times New Roman" w:hAnsi="Times New Roman"/>
          <w:lang w:val="it-IT"/>
        </w:rPr>
        <w:t xml:space="preserve"> </w:t>
      </w:r>
      <w:r>
        <w:rPr>
          <w:rFonts w:ascii="Times New Roman" w:hAnsi="Times New Roman"/>
          <w:i/>
          <w:lang w:val="it-IT"/>
        </w:rPr>
        <w:t>(Timing Of Platelet Inhibition after acute Coronary syndrome</w:t>
      </w:r>
      <w:r>
        <w:rPr>
          <w:rFonts w:ascii="Times New Roman" w:hAnsi="Times New Roman"/>
          <w:lang w:val="it-IT"/>
        </w:rPr>
        <w:t>)</w:t>
      </w:r>
      <w:r>
        <w:rPr>
          <w:rFonts w:ascii="Times New Roman" w:hAnsi="Times New Roman"/>
          <w:lang w:val="it-IT"/>
        </w:rPr>
        <w:br/>
      </w:r>
      <w:r>
        <w:rPr>
          <w:rFonts w:ascii="Times New Roman" w:hAnsi="Times New Roman"/>
          <w:lang w:val="it-IT"/>
        </w:rPr>
        <w:br/>
        <w:t>Questo studio randomizzato, in aperto comprendeva pazienti con ACS che richiedevano un intervento coronarico percutaneo (PCI). I pazienti trattati con aspirina e un più potente bloccante del P2Y12 e senza eventi avversi dopo un mese di trattamento sono stati assegnati al passaggio ad aspirina più clopidogrel a dosaggio fisso (doppia terapia antiaggregante piastrinica de-escalata (DAPT de-escalated) o alla continuazione del loro regime farmacologico (DAPT invariata).</w:t>
      </w:r>
      <w:r>
        <w:rPr>
          <w:rFonts w:ascii="Times New Roman" w:hAnsi="Times New Roman"/>
          <w:lang w:val="it-IT"/>
        </w:rPr>
        <w:br/>
      </w:r>
      <w:r>
        <w:rPr>
          <w:rFonts w:ascii="Times New Roman" w:hAnsi="Times New Roman"/>
          <w:lang w:val="it-IT"/>
        </w:rPr>
        <w:br/>
        <w:t>Complessivamente sono stati analizzati 645 dei 646 pazienti con infarto miocardico acuto con sopraslivellamento del tratto ST (STEMI) o infarto miocardico acuto senza sopraslivellamento del tratto ST (NSTEMI) o angina instabile (DAPT de-escalata (n = 322), DAPT invariata (n = 323)). Il follow-up a un anno è stato eseguito per 316 pazienti (98,1%) nel gruppo DAPT de-escalata e 318 pazienti (98,5%) nel gruppo DAPT invariata. Il follow-up medio per entrambi i gruppi è stato di 359 giorni. Le caratteristiche della coorte studiata erano simili nei 2 gruppi.</w:t>
      </w:r>
      <w:r>
        <w:rPr>
          <w:rFonts w:ascii="Times New Roman" w:hAnsi="Times New Roman"/>
          <w:lang w:val="it-IT"/>
        </w:rPr>
        <w:br/>
      </w:r>
      <w:r>
        <w:rPr>
          <w:rFonts w:ascii="Times New Roman" w:hAnsi="Times New Roman"/>
          <w:lang w:val="it-IT"/>
        </w:rPr>
        <w:br/>
        <w:t>L’endpoint primario, un composito di morte cardiovascolare, ictus, rivascolarizzazione urgente e sanguinamento secondo BARC (Bleeding Academic Research Consortium) ≥ 2  a 1 anno dopo ACS, si è verificato in 43 pazienti (13,4%) nel gruppo DAPT de-escalata e in 85 pazienti (26,3%) nel gruppo DAPT invariata (p &lt;0,01). Questa differenza statisticamente significativa è stata determinata principalmente da un minor numero di eventi emorragici, con nessuna differenza riportata negli endpoint ischemici (p = 0,36), mentre il sanguinamento secondo BARC ≥2 si è verificato meno frequentemente nel gruppo DAPT de-escalata (4,0%) rispetto al 14,9% nel gruppo DAPT invariata (p &lt;0,01). Gli eventi emorragici, definiti secondo tutti i gradi BARC, si sono verificati in 30 pazienti (9,3%) nel gruppo DAPT de-escalata e in 76 pazienti (23,5%) nel gruppo DAPT invariata (p &lt;0,01).</w:t>
      </w:r>
    </w:p>
    <w:p>
      <w:pPr>
        <w:spacing w:line="240" w:lineRule="auto"/>
        <w:rPr>
          <w:rFonts w:ascii="Times New Roman" w:hAnsi="Times New Roman"/>
          <w:lang w:val="it-IT"/>
        </w:rPr>
      </w:pPr>
    </w:p>
    <w:p>
      <w:pPr>
        <w:tabs>
          <w:tab w:val="left" w:pos="567"/>
        </w:tabs>
        <w:spacing w:after="0" w:line="240" w:lineRule="auto"/>
        <w:rPr>
          <w:rFonts w:ascii="Times New Roman" w:eastAsia="Times New Roman" w:hAnsi="Times New Roman"/>
          <w:b/>
          <w:bCs/>
          <w:color w:val="000000"/>
          <w:spacing w:val="1"/>
          <w:lang w:val="it-IT"/>
        </w:rPr>
      </w:pPr>
      <w:r>
        <w:rPr>
          <w:rFonts w:ascii="Times New Roman" w:hAnsi="Times New Roman"/>
          <w:b/>
          <w:lang w:val="it-IT"/>
        </w:rPr>
        <w:t>TROPICAL-ACS</w:t>
      </w:r>
      <w:r>
        <w:rPr>
          <w:rFonts w:ascii="Times New Roman" w:hAnsi="Times New Roman"/>
          <w:lang w:val="it-IT"/>
        </w:rPr>
        <w:t xml:space="preserve"> </w:t>
      </w:r>
      <w:r>
        <w:rPr>
          <w:rFonts w:ascii="Times New Roman" w:hAnsi="Times New Roman"/>
          <w:i/>
          <w:lang w:val="it-IT"/>
        </w:rPr>
        <w:t>(Testing Responsiveness to Platelet Inhibition on Chronic Antiplatelet Treatment for Acute Coronary Syndromes)</w:t>
      </w:r>
      <w:r>
        <w:rPr>
          <w:rFonts w:ascii="Times New Roman" w:hAnsi="Times New Roman"/>
          <w:i/>
          <w:lang w:val="it-IT"/>
        </w:rPr>
        <w:br/>
      </w:r>
      <w:r>
        <w:rPr>
          <w:rFonts w:ascii="Times New Roman" w:hAnsi="Times New Roman"/>
          <w:lang w:val="it-IT"/>
        </w:rPr>
        <w:br/>
        <w:t>Questo studio randomizzato, in aperto, comprendeva 2.610 pazienti con ACS positivi ai biomarcatori dopo un intervento PCI eseguito con successo. I pazienti sono stati randomizzati a ricevere prasugrel 5 o 10 mg/die (giorni 0-14) (n = 1306), o prasugrel 5 o 10 mg/die (giorni 0-7), quindi si è passati a clopidogrel 75 mg/die (giorni 8-14) (n = 1304), in combinazione con ASA (&lt;100 mg/die). Al giorno 14 è stato eseguito il test di funzionalità piastrinica (PFT). I pazienti trattati solo con prasugrel hanno continuato la terapia con prasugrel per 11,5 mesi.</w:t>
      </w:r>
      <w:r>
        <w:rPr>
          <w:rFonts w:ascii="Times New Roman" w:hAnsi="Times New Roman"/>
          <w:lang w:val="it-IT"/>
        </w:rPr>
        <w:br/>
      </w:r>
      <w:r>
        <w:rPr>
          <w:rFonts w:ascii="Times New Roman" w:hAnsi="Times New Roman"/>
          <w:lang w:val="it-IT"/>
        </w:rPr>
        <w:br/>
        <w:t>I pazienti de-escalati (passati a clopidogrel) sono stati sottoposti al test per rilevare una elevata reattività piastrinica (HPR). Sulla base di una HPR ≥ 46 unità, i pazienti sono stati riportati a prasugrel 5 o 10 mg/die per 11,5 mesi; sulla base di una HPR &lt; 46 unità, i pazienti hanno continuato con clopidogrel 75 mg/die per 11,5 mesi. Pertanto, il braccio con de-escalation guidata ha avuto pazienti sia con prasugrel (40%) che con clopidogrel (60%). Tutti i pazienti hanno continuato la terapia con aspirina e sono stati seguiti per un anno.</w:t>
      </w:r>
      <w:r>
        <w:rPr>
          <w:rFonts w:ascii="Times New Roman" w:hAnsi="Times New Roman"/>
          <w:lang w:val="it-IT"/>
        </w:rPr>
        <w:br/>
      </w:r>
      <w:r>
        <w:rPr>
          <w:rFonts w:ascii="Times New Roman" w:hAnsi="Times New Roman"/>
          <w:lang w:val="it-IT"/>
        </w:rPr>
        <w:br/>
        <w:t>L'endpoint primario  (incidenza combinata di morte CV, infarto miocardico, ictus e grado di sanguinamento secondo BARC ≥2 a 12 mesi)  è stato raggiunto dimostrando la non inferiorità. 95 pazienti (7%) nel gruppo di de-escalation guidata e 118 pazienti (9%) nel gruppo di controllo (p non-inferiorità = 0.0004) hanno avuto un evento. La de-escalation guidata non ha comportato un aumento del rischio combinato di eventi ischemici (2,5% nel gruppo de-escalation vs 3,2% nel gruppo di controllo, p non inferiorità = 0,0115), né del principale endpoint secondario di sanguinamento secondo BARC ≥2 ((5%) nel gruppo de- escalation contro il 6% nel gruppo di controllo (p = 0.23)). L'incidenza cumulativa di tutti gli eventi emorragici (grado BARC da 1 a 5) è stata del 9% (114 eventi) nel gruppo di de-escalation guidata rispetto all'11% (137 eventi) nel gruppo di controllo (p = 0,14).</w:t>
      </w:r>
    </w:p>
    <w:p>
      <w:pPr>
        <w:tabs>
          <w:tab w:val="left" w:pos="567"/>
        </w:tabs>
        <w:spacing w:after="0" w:line="240" w:lineRule="auto"/>
        <w:rPr>
          <w:rFonts w:ascii="Times New Roman" w:eastAsia="Times New Roman" w:hAnsi="Times New Roman"/>
          <w:b/>
          <w:bCs/>
          <w:color w:val="000000"/>
          <w:spacing w:val="1"/>
          <w:lang w:val="it-IT"/>
        </w:rPr>
      </w:pPr>
    </w:p>
    <w:p>
      <w:pPr>
        <w:spacing w:after="0" w:line="240" w:lineRule="auto"/>
        <w:rPr>
          <w:rFonts w:ascii="Times New Roman" w:hAnsi="Times New Roman"/>
          <w:lang w:val="it-IT"/>
        </w:rPr>
      </w:pPr>
      <w:r>
        <w:rPr>
          <w:rFonts w:ascii="Times New Roman" w:hAnsi="Times New Roman"/>
          <w:lang w:val="it-IT"/>
        </w:rPr>
        <w:t>Doppia terapia antipiastrinica (DAPT) in caso di IS acuto minore o TIA a rischio da moderato ad alto.</w:t>
      </w:r>
    </w:p>
    <w:p>
      <w:pPr>
        <w:spacing w:after="0" w:line="240" w:lineRule="auto"/>
        <w:rPr>
          <w:rFonts w:ascii="Times New Roman" w:hAnsi="Times New Roman"/>
          <w:lang w:val="it-IT"/>
        </w:rPr>
      </w:pPr>
    </w:p>
    <w:p>
      <w:pPr>
        <w:spacing w:after="0" w:line="240" w:lineRule="auto"/>
        <w:rPr>
          <w:rFonts w:ascii="Times New Roman" w:hAnsi="Times New Roman"/>
          <w:lang w:val="it-IT"/>
        </w:rPr>
      </w:pPr>
      <w:r>
        <w:rPr>
          <w:rFonts w:ascii="Times New Roman" w:hAnsi="Times New Roman"/>
          <w:lang w:val="it-IT"/>
        </w:rPr>
        <w:t>La DAPT con una combinazione di clopidogrel e ASA come trattamento per prevenire l'ictus dopo un IS acuto minore o un TIA a rischio da moderato ad alto è stata valutata in due studi clinici randomizzati sponsorizzati dallo sperimentatore (ISS) - CHANCE e POINT - con i dati sui risultati di sicurezza ed efficacia clinica.</w:t>
      </w:r>
    </w:p>
    <w:p>
      <w:pPr>
        <w:spacing w:after="0" w:line="240" w:lineRule="auto"/>
        <w:rPr>
          <w:rFonts w:ascii="Times New Roman" w:hAnsi="Times New Roman"/>
          <w:lang w:val="it-IT"/>
        </w:rPr>
      </w:pPr>
    </w:p>
    <w:p>
      <w:pPr>
        <w:spacing w:after="0" w:line="240" w:lineRule="auto"/>
        <w:rPr>
          <w:rFonts w:ascii="Times New Roman" w:hAnsi="Times New Roman"/>
          <w:lang w:val="en-US"/>
        </w:rPr>
      </w:pPr>
      <w:r>
        <w:rPr>
          <w:rFonts w:ascii="Times New Roman" w:hAnsi="Times New Roman"/>
          <w:b/>
          <w:lang w:val="en-US"/>
        </w:rPr>
        <w:t>CHANCE</w:t>
      </w:r>
      <w:r>
        <w:rPr>
          <w:rFonts w:ascii="Times New Roman" w:hAnsi="Times New Roman"/>
          <w:lang w:val="en-US"/>
        </w:rPr>
        <w:t xml:space="preserve"> (Clopidogrel in High-risk patients with Acute Non-disabling Cerebrovascular Events)</w:t>
      </w:r>
    </w:p>
    <w:p>
      <w:pPr>
        <w:rPr>
          <w:rFonts w:ascii="Times New Roman" w:hAnsi="Times New Roman"/>
          <w:lang w:val="it-IT"/>
        </w:rPr>
      </w:pPr>
      <w:r>
        <w:rPr>
          <w:rFonts w:ascii="Times New Roman" w:hAnsi="Times New Roman"/>
          <w:lang w:val="it-IT"/>
        </w:rPr>
        <w:t>Questo studio clinico randomizzato, in doppio cieco, multicentrico, controllato con placebo ha incluso 5.170 pazienti cinesi con TIA acuto (punteggio ABCD2 ≥4) o ictus acuto minore (NIHSS ≤3). I pazienti di entrambi i gruppi hanno ricevuto ASA in aperto il giorno 1 (con una dose compresa tra 75 e 300 mg, a discrezione del medico curante). I pazienti assegnati in modo casuale al gruppo clopidogrel-ASA hanno ricevuto una dose di carico di 300 mg di clopidogrel il giorno 1, seguita da una dose di 75 mg/die di clopidogrel nei giorni da 2 a 90 e ASA a una dose di 75 mg/die nei giorni da 2 a 21. I pazienti assegnati in modo casuale al gruppo ASA hanno ricevuto placebo nei giorni da 1 a 90 e ASA a una dose di 75 mg/die nei giorni da 2 a 90.</w:t>
      </w:r>
    </w:p>
    <w:p>
      <w:pPr>
        <w:widowControl w:val="0"/>
        <w:spacing w:after="0" w:line="240" w:lineRule="auto"/>
        <w:rPr>
          <w:rFonts w:ascii="Times New Roman" w:hAnsi="Times New Roman"/>
          <w:lang w:val="it-IT"/>
        </w:rPr>
      </w:pPr>
      <w:r>
        <w:rPr>
          <w:rFonts w:ascii="Times New Roman" w:hAnsi="Times New Roman"/>
          <w:lang w:val="it-IT"/>
        </w:rPr>
        <w:t>L’endpoint primario di efficacia era qualsiasi nuovo evento di ictus (ischemico ed emorragico) nei primi 90 giorni dopo IS acuto minore o TIA ad alto rischio. Ciò si è verificato in 212 pazienti (8,2%) nel gruppo clopidogrel-ASA rispetto a 303 pazienti (11,7%) nel gruppo ASA (rapporto di rischio [HR], 0,68; intervallo di confidenza al 95% [CI], da 0,57 a 0,81; P &lt; 0.001). IS si è verificato in 204 pazienti (7,9%) nel gruppo clopidogrel-ASA rispetto a 295 (11,4%) nel gruppo ASA (HR, 0,67; IC 95%, da 0,56 a 0,81; P &lt;0,001). L'ictus emorragico si è verificato in 8 pazienti in ciascuno dei due gruppi di studio (0,3% di ciascun gruppo). L’emorragia moderata o grave si è verificata in sette pazienti (0,3%) nel gruppo clopidogrel-ASA e in otto (0,3%) nel gruppo ASA (P = 0,73). Il tasso di qualsiasi evento di sanguinamento è stato del 2,3% nel gruppo clopidogrel-ASA rispetto all'1,6% nel gruppo ASA (HR, 1,41; IC 95%, da 0,95 a 2,10; P = 0,09).</w:t>
      </w:r>
    </w:p>
    <w:p>
      <w:pPr>
        <w:widowControl w:val="0"/>
        <w:spacing w:after="0" w:line="240" w:lineRule="auto"/>
        <w:rPr>
          <w:rFonts w:ascii="Times New Roman" w:hAnsi="Times New Roman"/>
          <w:lang w:val="it-IT"/>
        </w:rPr>
      </w:pPr>
    </w:p>
    <w:p>
      <w:pPr>
        <w:widowControl w:val="0"/>
        <w:spacing w:after="0" w:line="240" w:lineRule="auto"/>
        <w:rPr>
          <w:rFonts w:ascii="Times New Roman" w:hAnsi="Times New Roman"/>
          <w:i/>
          <w:lang w:val="en-US"/>
        </w:rPr>
      </w:pPr>
      <w:r>
        <w:rPr>
          <w:rFonts w:ascii="Times New Roman" w:hAnsi="Times New Roman"/>
          <w:b/>
          <w:lang w:val="en-US"/>
        </w:rPr>
        <w:t>POINT</w:t>
      </w:r>
      <w:r>
        <w:rPr>
          <w:rFonts w:ascii="Times New Roman" w:hAnsi="Times New Roman"/>
          <w:lang w:val="en-US"/>
        </w:rPr>
        <w:t xml:space="preserve"> </w:t>
      </w:r>
      <w:r>
        <w:rPr>
          <w:rFonts w:ascii="Times New Roman" w:hAnsi="Times New Roman"/>
          <w:i/>
          <w:lang w:val="en-US"/>
        </w:rPr>
        <w:t>(Platelet-Oriented Inhibition in New TIA and Minor Ischemic Stroke)</w:t>
      </w:r>
    </w:p>
    <w:p>
      <w:pPr>
        <w:widowControl w:val="0"/>
        <w:spacing w:after="0" w:line="240" w:lineRule="auto"/>
        <w:rPr>
          <w:rFonts w:ascii="Times New Roman" w:hAnsi="Times New Roman"/>
          <w:lang w:val="it-IT"/>
        </w:rPr>
      </w:pPr>
      <w:r>
        <w:rPr>
          <w:rFonts w:ascii="Times New Roman" w:hAnsi="Times New Roman"/>
          <w:lang w:val="it-IT"/>
        </w:rPr>
        <w:t>Questo studio clinico randomizzato, in doppio cieco, multicentrico, controllato con placebo ha incluso 4.881 pazienti internazionali con TIA acuto (punteggio ABCD2 ≥4) o ictus minore (NIHSS ≤3). Tutti i pazienti in entrambi i gruppi hanno ricevuto ASA in aperto dal giorno 1 al giorno 90 (50-325 mg a discrezione del medico curante). I pazienti assegnati in modo casuale al gruppo clopidogrel hanno ricevuto una dose di carico di 600 mg di clopidogrel il giorno 1, seguita da una dose di 75 mg/die di clopidogrel nei giorni da 2 a 90. I pazienti assegnati in modo casuale al gruppo placebo hanno ricevuto placebo nei giorni da 1 a 90.</w:t>
      </w:r>
    </w:p>
    <w:p>
      <w:pPr>
        <w:widowControl w:val="0"/>
        <w:spacing w:after="0" w:line="240" w:lineRule="auto"/>
        <w:rPr>
          <w:rFonts w:ascii="Times New Roman" w:hAnsi="Times New Roman"/>
          <w:lang w:val="it-IT"/>
        </w:rPr>
      </w:pPr>
    </w:p>
    <w:p>
      <w:pPr>
        <w:widowControl w:val="0"/>
        <w:spacing w:after="0" w:line="240" w:lineRule="auto"/>
        <w:rPr>
          <w:rFonts w:ascii="Times New Roman" w:hAnsi="Times New Roman"/>
          <w:lang w:val="it-IT"/>
        </w:rPr>
      </w:pPr>
      <w:r>
        <w:rPr>
          <w:rFonts w:ascii="Times New Roman" w:hAnsi="Times New Roman"/>
          <w:lang w:val="it-IT"/>
        </w:rPr>
        <w:t>L’endopoint primario di efficacia era un composto di eventi ischemici maggiori (IS, IM o morte per evento vascolare ischemico) al giorno 90. Ciò si è verificato in 121 pazienti (5,0%) che hanno ricevuto clopidogrel più ASA rispetto a 160 pazienti (6,5%) che hanno ricevuto ASA in monoterapia (HR, 0,75; IC 95%, da 0,59 a 0,95; P = 0,02). L’endopoint secondario di IS si è verificato in 112 pazienti (4,6%) che hanno ricevuto clopidogrel più ASA rispetto a 155 pazienti (6,3%) che hanno ricevuto solo ASA (HR 0,72; IC 95% da 0,56 a 0,92; P = 0,01). L’endpoint primario di sicurezza, ovvero emorragia maggiore, si è verificato in 23 dei 2.432 pazienti (0,9%) che hanno ricevuto clopidogrel più ASA e in 10 dei 2.449 pazienti (0,4%) che hanno ricevuto solo ASA (HR, 2,32; IC 95%, da 1,10 a 4,87; P = 0,02). L’emorragia minore si è verificata in 40 pazienti (1,6%) che hanno ricevuto clopidogrel più ASA e in 13 (0,5%) che hanno ricevuto solo ASA (HR, 3,12; IC 95%, da 1,67 a 5,83; P</w:t>
      </w:r>
      <w:r>
        <w:rPr>
          <w:bCs/>
          <w:lang w:val="it-IT"/>
        </w:rPr>
        <w:t>&lt;</w:t>
      </w:r>
      <w:r>
        <w:rPr>
          <w:rFonts w:ascii="Times New Roman" w:hAnsi="Times New Roman"/>
          <w:lang w:val="it-IT"/>
        </w:rPr>
        <w:t xml:space="preserve"> 0,001).</w:t>
      </w:r>
    </w:p>
    <w:p>
      <w:pPr>
        <w:widowControl w:val="0"/>
        <w:spacing w:after="0" w:line="240" w:lineRule="auto"/>
        <w:rPr>
          <w:rFonts w:ascii="Times New Roman" w:hAnsi="Times New Roman"/>
          <w:lang w:val="it-IT"/>
        </w:rPr>
      </w:pPr>
    </w:p>
    <w:p>
      <w:pPr>
        <w:widowControl w:val="0"/>
        <w:spacing w:after="0" w:line="240" w:lineRule="auto"/>
        <w:rPr>
          <w:rFonts w:ascii="Times New Roman" w:hAnsi="Times New Roman"/>
          <w:lang w:val="it-IT"/>
        </w:rPr>
      </w:pPr>
      <w:r>
        <w:rPr>
          <w:rFonts w:ascii="Times New Roman" w:hAnsi="Times New Roman"/>
          <w:lang w:val="it-IT"/>
        </w:rPr>
        <w:t>CHANCE e POINT Analisi del decorso temporale</w:t>
      </w:r>
    </w:p>
    <w:p>
      <w:pPr>
        <w:widowControl w:val="0"/>
        <w:spacing w:after="0" w:line="240" w:lineRule="auto"/>
        <w:rPr>
          <w:rFonts w:ascii="Times New Roman" w:hAnsi="Times New Roman"/>
          <w:lang w:val="it-IT"/>
        </w:rPr>
      </w:pPr>
      <w:r>
        <w:rPr>
          <w:rFonts w:ascii="Times New Roman" w:hAnsi="Times New Roman"/>
          <w:lang w:val="it-IT"/>
        </w:rPr>
        <w:t>Non si è verificato alcun beneficio in termini di efficacia nel continuare la DAPT oltre 21 giorni. È stata eseguita una distribuzione temporale degli eventi ischemici maggiori e delle emorragie maggiori in base all'assegnazione del trattamento per analizzare l'impatto del decorso temporale a breve termine della DAPT.</w:t>
      </w:r>
    </w:p>
    <w:p>
      <w:pPr>
        <w:widowControl w:val="0"/>
        <w:spacing w:after="0" w:line="240" w:lineRule="auto"/>
        <w:rPr>
          <w:rFonts w:ascii="Times New Roman" w:hAnsi="Times New Roman"/>
          <w:lang w:val="it-IT"/>
        </w:rPr>
      </w:pPr>
    </w:p>
    <w:p>
      <w:pPr>
        <w:tabs>
          <w:tab w:val="left" w:pos="1134"/>
        </w:tabs>
        <w:spacing w:after="0" w:line="240" w:lineRule="auto"/>
        <w:ind w:right="-28"/>
        <w:jc w:val="center"/>
        <w:rPr>
          <w:rFonts w:ascii="Times New Roman" w:hAnsi="Times New Roman"/>
          <w:b/>
          <w:lang w:val="it-IT"/>
        </w:rPr>
      </w:pPr>
      <w:r>
        <w:rPr>
          <w:rFonts w:ascii="Times New Roman" w:hAnsi="Times New Roman"/>
          <w:b/>
          <w:lang w:val="it-IT"/>
        </w:rPr>
        <w:t xml:space="preserve">Tabella 1- Distribuzione del decorso temporale degli eventi ischemici maggiori e delle </w:t>
      </w:r>
      <w:r>
        <w:rPr>
          <w:rFonts w:ascii="Times New Roman" w:hAnsi="Times New Roman"/>
          <w:b/>
          <w:lang w:val="it-IT"/>
        </w:rPr>
        <w:tab/>
        <w:t xml:space="preserve">emorragie maggiori in base all'assegnazione del trattamento negli studi  </w:t>
      </w:r>
    </w:p>
    <w:p>
      <w:pPr>
        <w:tabs>
          <w:tab w:val="left" w:pos="1134"/>
        </w:tabs>
        <w:spacing w:after="0" w:line="240" w:lineRule="auto"/>
        <w:ind w:right="-28"/>
        <w:jc w:val="center"/>
        <w:rPr>
          <w:rFonts w:ascii="Times New Roman" w:hAnsi="Times New Roman"/>
          <w:b/>
          <w:lang w:val="it-IT"/>
        </w:rPr>
      </w:pPr>
      <w:r>
        <w:rPr>
          <w:rFonts w:ascii="Times New Roman" w:hAnsi="Times New Roman"/>
          <w:b/>
          <w:lang w:val="it-IT"/>
        </w:rPr>
        <w:t>CHANCE e POINT</w:t>
      </w:r>
    </w:p>
    <w:p>
      <w:pPr>
        <w:tabs>
          <w:tab w:val="left" w:pos="1134"/>
        </w:tabs>
        <w:ind w:right="-29"/>
        <w:jc w:val="center"/>
        <w:rPr>
          <w:rFonts w:ascii="Times New Roman" w:hAnsi="Times New Roman"/>
          <w:lang w:val="it-IT"/>
        </w:rPr>
      </w:pPr>
    </w:p>
    <w:tbl>
      <w:tblPr>
        <w:tblW w:w="101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1567"/>
        <w:gridCol w:w="2823"/>
        <w:gridCol w:w="1439"/>
        <w:gridCol w:w="1440"/>
        <w:gridCol w:w="1440"/>
        <w:gridCol w:w="1440"/>
      </w:tblGrid>
      <w:tr>
        <w:trPr>
          <w:cantSplit/>
          <w:trHeight w:hRule="exact" w:val="340"/>
          <w:jc w:val="center"/>
        </w:trPr>
        <w:tc>
          <w:tcPr>
            <w:tcW w:w="10149" w:type="dxa"/>
            <w:gridSpan w:val="6"/>
            <w:shd w:val="clear" w:color="auto" w:fill="auto"/>
          </w:tcPr>
          <w:p>
            <w:pPr>
              <w:ind w:right="-29"/>
              <w:jc w:val="center"/>
              <w:rPr>
                <w:rFonts w:ascii="Times New Roman" w:hAnsi="Times New Roman"/>
                <w:lang w:val="it-IT"/>
              </w:rPr>
            </w:pPr>
            <w:bookmarkStart w:id="4" w:name="_Hlk25225287"/>
            <w:r>
              <w:rPr>
                <w:rFonts w:ascii="Times New Roman" w:hAnsi="Times New Roman"/>
                <w:lang w:val="it-IT"/>
              </w:rPr>
              <w:t>N. degli eventi</w:t>
            </w:r>
          </w:p>
        </w:tc>
      </w:tr>
      <w:tr>
        <w:trPr>
          <w:cantSplit/>
          <w:trHeight w:hRule="exact" w:val="666"/>
          <w:jc w:val="center"/>
        </w:trPr>
        <w:tc>
          <w:tcPr>
            <w:tcW w:w="1567" w:type="dxa"/>
            <w:shd w:val="clear" w:color="auto" w:fill="auto"/>
          </w:tcPr>
          <w:p>
            <w:pPr>
              <w:ind w:right="-29"/>
              <w:rPr>
                <w:rFonts w:ascii="Times New Roman" w:hAnsi="Times New Roman"/>
                <w:lang w:val="it-IT"/>
              </w:rPr>
            </w:pPr>
            <w:r>
              <w:rPr>
                <w:rFonts w:ascii="Times New Roman" w:hAnsi="Times New Roman"/>
                <w:lang w:val="it-IT"/>
              </w:rPr>
              <w:t xml:space="preserve">Risultati in </w:t>
            </w:r>
            <w:r>
              <w:rPr>
                <w:rFonts w:ascii="Times New Roman" w:hAnsi="Times New Roman"/>
                <w:lang w:val="it-IT"/>
              </w:rPr>
              <w:br/>
              <w:t>CHANCE e POINT</w:t>
            </w:r>
          </w:p>
        </w:tc>
        <w:tc>
          <w:tcPr>
            <w:tcW w:w="2823" w:type="dxa"/>
            <w:shd w:val="clear" w:color="auto" w:fill="auto"/>
            <w:noWrap/>
            <w:vAlign w:val="center"/>
            <w:hideMark/>
          </w:tcPr>
          <w:p>
            <w:pPr>
              <w:ind w:right="-29"/>
              <w:rPr>
                <w:rFonts w:ascii="Times New Roman" w:hAnsi="Times New Roman"/>
                <w:lang w:val="it-IT"/>
              </w:rPr>
            </w:pPr>
            <w:r>
              <w:rPr>
                <w:rFonts w:ascii="Times New Roman" w:hAnsi="Times New Roman"/>
                <w:lang w:val="it-IT"/>
              </w:rPr>
              <w:t>Assegnazione del trattamento</w:t>
            </w:r>
          </w:p>
        </w:tc>
        <w:tc>
          <w:tcPr>
            <w:tcW w:w="1439" w:type="dxa"/>
            <w:shd w:val="clear" w:color="auto" w:fill="auto"/>
            <w:noWrap/>
            <w:vAlign w:val="center"/>
            <w:hideMark/>
          </w:tcPr>
          <w:p>
            <w:pPr>
              <w:ind w:right="-29"/>
              <w:jc w:val="center"/>
              <w:rPr>
                <w:rFonts w:ascii="Times New Roman" w:hAnsi="Times New Roman"/>
                <w:lang w:val="it-IT"/>
              </w:rPr>
            </w:pPr>
            <w:r>
              <w:rPr>
                <w:rFonts w:ascii="Times New Roman" w:hAnsi="Times New Roman"/>
                <w:lang w:val="it-IT"/>
              </w:rPr>
              <w:t>Totale</w:t>
            </w:r>
          </w:p>
        </w:tc>
        <w:tc>
          <w:tcPr>
            <w:tcW w:w="1440" w:type="dxa"/>
            <w:shd w:val="clear" w:color="auto" w:fill="auto"/>
            <w:noWrap/>
            <w:vAlign w:val="center"/>
            <w:hideMark/>
          </w:tcPr>
          <w:p>
            <w:pPr>
              <w:ind w:right="-29"/>
              <w:jc w:val="center"/>
              <w:rPr>
                <w:rFonts w:ascii="Times New Roman" w:hAnsi="Times New Roman"/>
                <w:lang w:val="it-IT"/>
              </w:rPr>
            </w:pPr>
            <w:r>
              <w:rPr>
                <w:rFonts w:ascii="Times New Roman" w:hAnsi="Times New Roman"/>
                <w:lang w:val="it-IT"/>
              </w:rPr>
              <w:t>1° settimana</w:t>
            </w:r>
          </w:p>
        </w:tc>
        <w:tc>
          <w:tcPr>
            <w:tcW w:w="1440" w:type="dxa"/>
            <w:shd w:val="clear" w:color="auto" w:fill="auto"/>
            <w:noWrap/>
            <w:vAlign w:val="center"/>
            <w:hideMark/>
          </w:tcPr>
          <w:p>
            <w:pPr>
              <w:widowControl w:val="0"/>
              <w:spacing w:after="0" w:line="240" w:lineRule="auto"/>
              <w:jc w:val="center"/>
              <w:rPr>
                <w:rFonts w:ascii="Times New Roman" w:hAnsi="Times New Roman"/>
                <w:lang w:val="it-IT"/>
              </w:rPr>
            </w:pPr>
            <w:r>
              <w:rPr>
                <w:rFonts w:ascii="Times New Roman" w:hAnsi="Times New Roman"/>
                <w:lang w:val="it-IT"/>
              </w:rPr>
              <w:t xml:space="preserve">2° </w:t>
            </w:r>
          </w:p>
          <w:p>
            <w:pPr>
              <w:widowControl w:val="0"/>
              <w:spacing w:after="0" w:line="240" w:lineRule="auto"/>
              <w:jc w:val="center"/>
              <w:rPr>
                <w:rFonts w:ascii="Times New Roman" w:hAnsi="Times New Roman"/>
                <w:lang w:val="it-IT"/>
              </w:rPr>
            </w:pPr>
            <w:r>
              <w:rPr>
                <w:rFonts w:ascii="Times New Roman" w:hAnsi="Times New Roman"/>
                <w:lang w:val="it-IT"/>
              </w:rPr>
              <w:t>settimana</w:t>
            </w:r>
          </w:p>
        </w:tc>
        <w:tc>
          <w:tcPr>
            <w:tcW w:w="1440" w:type="dxa"/>
            <w:shd w:val="clear" w:color="auto" w:fill="auto"/>
            <w:noWrap/>
            <w:vAlign w:val="center"/>
            <w:hideMark/>
          </w:tcPr>
          <w:p>
            <w:pPr>
              <w:widowControl w:val="0"/>
              <w:spacing w:after="0" w:line="240" w:lineRule="auto"/>
              <w:jc w:val="center"/>
              <w:rPr>
                <w:rFonts w:ascii="Times New Roman" w:hAnsi="Times New Roman"/>
                <w:lang w:val="it-IT"/>
              </w:rPr>
            </w:pPr>
            <w:r>
              <w:rPr>
                <w:rFonts w:ascii="Times New Roman" w:hAnsi="Times New Roman"/>
                <w:lang w:val="it-IT"/>
              </w:rPr>
              <w:t>3°</w:t>
            </w:r>
          </w:p>
          <w:p>
            <w:pPr>
              <w:widowControl w:val="0"/>
              <w:spacing w:after="0" w:line="240" w:lineRule="auto"/>
              <w:jc w:val="center"/>
              <w:rPr>
                <w:rFonts w:ascii="Times New Roman" w:hAnsi="Times New Roman"/>
                <w:lang w:val="it-IT"/>
              </w:rPr>
            </w:pPr>
            <w:r>
              <w:rPr>
                <w:rFonts w:ascii="Times New Roman" w:hAnsi="Times New Roman"/>
                <w:lang w:val="it-IT"/>
              </w:rPr>
              <w:t xml:space="preserve"> settimana</w:t>
            </w:r>
          </w:p>
        </w:tc>
      </w:tr>
      <w:tr>
        <w:trPr>
          <w:cantSplit/>
          <w:trHeight w:hRule="exact" w:val="705"/>
          <w:jc w:val="center"/>
        </w:trPr>
        <w:tc>
          <w:tcPr>
            <w:tcW w:w="1567" w:type="dxa"/>
            <w:shd w:val="clear" w:color="auto" w:fill="auto"/>
          </w:tcPr>
          <w:p>
            <w:pPr>
              <w:ind w:right="-29"/>
              <w:rPr>
                <w:rFonts w:ascii="Times New Roman" w:hAnsi="Times New Roman"/>
                <w:lang w:val="it-IT"/>
              </w:rPr>
            </w:pPr>
            <w:r>
              <w:rPr>
                <w:rFonts w:ascii="Times New Roman" w:hAnsi="Times New Roman"/>
                <w:lang w:val="it-IT"/>
              </w:rPr>
              <w:t>Eventi ischemici maggiori</w:t>
            </w:r>
          </w:p>
        </w:tc>
        <w:tc>
          <w:tcPr>
            <w:tcW w:w="2823" w:type="dxa"/>
            <w:shd w:val="clear" w:color="auto" w:fill="auto"/>
            <w:noWrap/>
            <w:hideMark/>
          </w:tcPr>
          <w:p>
            <w:pPr>
              <w:ind w:right="-29"/>
              <w:rPr>
                <w:rFonts w:ascii="Times New Roman" w:hAnsi="Times New Roman"/>
                <w:lang w:val="it-IT"/>
              </w:rPr>
            </w:pPr>
            <w:r>
              <w:rPr>
                <w:rFonts w:ascii="Times New Roman" w:hAnsi="Times New Roman"/>
                <w:lang w:val="it-IT"/>
              </w:rPr>
              <w:t>ASA (n=5,035)</w:t>
            </w:r>
          </w:p>
        </w:tc>
        <w:tc>
          <w:tcPr>
            <w:tcW w:w="1439" w:type="dxa"/>
            <w:shd w:val="clear" w:color="auto" w:fill="auto"/>
            <w:noWrap/>
          </w:tcPr>
          <w:p>
            <w:pPr>
              <w:ind w:right="-29"/>
              <w:jc w:val="center"/>
              <w:rPr>
                <w:rFonts w:ascii="Times New Roman" w:hAnsi="Times New Roman"/>
                <w:lang w:val="it-IT"/>
              </w:rPr>
            </w:pPr>
            <w:r>
              <w:rPr>
                <w:rFonts w:ascii="Times New Roman" w:hAnsi="Times New Roman"/>
                <w:lang w:val="it-IT"/>
              </w:rPr>
              <w:t>458</w:t>
            </w:r>
          </w:p>
        </w:tc>
        <w:tc>
          <w:tcPr>
            <w:tcW w:w="1440" w:type="dxa"/>
            <w:shd w:val="clear" w:color="auto" w:fill="auto"/>
            <w:noWrap/>
          </w:tcPr>
          <w:p>
            <w:pPr>
              <w:ind w:right="-29"/>
              <w:jc w:val="center"/>
              <w:rPr>
                <w:rFonts w:ascii="Times New Roman" w:hAnsi="Times New Roman"/>
                <w:lang w:val="it-IT"/>
              </w:rPr>
            </w:pPr>
            <w:r>
              <w:rPr>
                <w:rFonts w:ascii="Times New Roman" w:hAnsi="Times New Roman"/>
                <w:lang w:val="it-IT"/>
              </w:rPr>
              <w:t>330</w:t>
            </w:r>
          </w:p>
        </w:tc>
        <w:tc>
          <w:tcPr>
            <w:tcW w:w="1440" w:type="dxa"/>
            <w:shd w:val="clear" w:color="auto" w:fill="auto"/>
            <w:noWrap/>
          </w:tcPr>
          <w:p>
            <w:pPr>
              <w:ind w:right="-29"/>
              <w:jc w:val="center"/>
              <w:rPr>
                <w:rFonts w:ascii="Times New Roman" w:hAnsi="Times New Roman"/>
                <w:lang w:val="it-IT"/>
              </w:rPr>
            </w:pPr>
            <w:r>
              <w:rPr>
                <w:rFonts w:ascii="Times New Roman" w:hAnsi="Times New Roman"/>
                <w:lang w:val="it-IT"/>
              </w:rPr>
              <w:t>36</w:t>
            </w:r>
          </w:p>
        </w:tc>
        <w:tc>
          <w:tcPr>
            <w:tcW w:w="1440" w:type="dxa"/>
            <w:shd w:val="clear" w:color="auto" w:fill="auto"/>
            <w:noWrap/>
          </w:tcPr>
          <w:p>
            <w:pPr>
              <w:ind w:right="-29"/>
              <w:jc w:val="center"/>
              <w:rPr>
                <w:rFonts w:ascii="Times New Roman" w:hAnsi="Times New Roman"/>
                <w:lang w:val="it-IT"/>
              </w:rPr>
            </w:pPr>
            <w:r>
              <w:rPr>
                <w:rFonts w:ascii="Times New Roman" w:hAnsi="Times New Roman"/>
                <w:lang w:val="it-IT"/>
              </w:rPr>
              <w:t>21</w:t>
            </w:r>
          </w:p>
        </w:tc>
      </w:tr>
      <w:tr>
        <w:trPr>
          <w:cantSplit/>
          <w:trHeight w:hRule="exact" w:val="340"/>
          <w:jc w:val="center"/>
        </w:trPr>
        <w:tc>
          <w:tcPr>
            <w:tcW w:w="1567" w:type="dxa"/>
            <w:shd w:val="clear" w:color="auto" w:fill="auto"/>
          </w:tcPr>
          <w:p>
            <w:pPr>
              <w:ind w:right="-29"/>
              <w:rPr>
                <w:rFonts w:ascii="Times New Roman" w:hAnsi="Times New Roman"/>
                <w:lang w:val="it-IT"/>
              </w:rPr>
            </w:pPr>
          </w:p>
        </w:tc>
        <w:tc>
          <w:tcPr>
            <w:tcW w:w="2823" w:type="dxa"/>
            <w:shd w:val="clear" w:color="auto" w:fill="auto"/>
            <w:noWrap/>
            <w:hideMark/>
          </w:tcPr>
          <w:p>
            <w:pPr>
              <w:ind w:right="-29"/>
              <w:rPr>
                <w:rFonts w:ascii="Times New Roman" w:hAnsi="Times New Roman"/>
                <w:lang w:val="it-IT"/>
              </w:rPr>
            </w:pPr>
            <w:r>
              <w:rPr>
                <w:rFonts w:ascii="Times New Roman" w:hAnsi="Times New Roman"/>
                <w:lang w:val="it-IT"/>
              </w:rPr>
              <w:t>CLP+ASA(n=5,016)</w:t>
            </w:r>
          </w:p>
        </w:tc>
        <w:tc>
          <w:tcPr>
            <w:tcW w:w="1439" w:type="dxa"/>
            <w:shd w:val="clear" w:color="auto" w:fill="auto"/>
            <w:noWrap/>
          </w:tcPr>
          <w:p>
            <w:pPr>
              <w:ind w:right="-29"/>
              <w:jc w:val="center"/>
              <w:rPr>
                <w:rFonts w:ascii="Times New Roman" w:hAnsi="Times New Roman"/>
                <w:lang w:val="it-IT"/>
              </w:rPr>
            </w:pPr>
            <w:r>
              <w:rPr>
                <w:rFonts w:ascii="Times New Roman" w:hAnsi="Times New Roman"/>
                <w:lang w:val="it-IT"/>
              </w:rPr>
              <w:t>328</w:t>
            </w:r>
          </w:p>
        </w:tc>
        <w:tc>
          <w:tcPr>
            <w:tcW w:w="1440" w:type="dxa"/>
            <w:shd w:val="clear" w:color="auto" w:fill="auto"/>
            <w:noWrap/>
          </w:tcPr>
          <w:p>
            <w:pPr>
              <w:ind w:right="-29"/>
              <w:jc w:val="center"/>
              <w:rPr>
                <w:rFonts w:ascii="Times New Roman" w:hAnsi="Times New Roman"/>
                <w:lang w:val="it-IT"/>
              </w:rPr>
            </w:pPr>
            <w:r>
              <w:rPr>
                <w:rFonts w:ascii="Times New Roman" w:hAnsi="Times New Roman"/>
                <w:lang w:val="it-IT"/>
              </w:rPr>
              <w:t>217</w:t>
            </w:r>
          </w:p>
        </w:tc>
        <w:tc>
          <w:tcPr>
            <w:tcW w:w="1440" w:type="dxa"/>
            <w:shd w:val="clear" w:color="auto" w:fill="auto"/>
            <w:noWrap/>
          </w:tcPr>
          <w:p>
            <w:pPr>
              <w:ind w:right="-29"/>
              <w:jc w:val="center"/>
              <w:rPr>
                <w:rFonts w:ascii="Times New Roman" w:hAnsi="Times New Roman"/>
                <w:lang w:val="it-IT"/>
              </w:rPr>
            </w:pPr>
            <w:r>
              <w:rPr>
                <w:rFonts w:ascii="Times New Roman" w:hAnsi="Times New Roman"/>
                <w:lang w:val="it-IT"/>
              </w:rPr>
              <w:t>30</w:t>
            </w:r>
          </w:p>
        </w:tc>
        <w:tc>
          <w:tcPr>
            <w:tcW w:w="1440" w:type="dxa"/>
            <w:shd w:val="clear" w:color="auto" w:fill="auto"/>
            <w:noWrap/>
          </w:tcPr>
          <w:p>
            <w:pPr>
              <w:ind w:right="-29"/>
              <w:jc w:val="center"/>
              <w:rPr>
                <w:rFonts w:ascii="Times New Roman" w:hAnsi="Times New Roman"/>
                <w:lang w:val="it-IT"/>
              </w:rPr>
            </w:pPr>
            <w:r>
              <w:rPr>
                <w:rFonts w:ascii="Times New Roman" w:hAnsi="Times New Roman"/>
                <w:lang w:val="it-IT"/>
              </w:rPr>
              <w:t>14</w:t>
            </w:r>
          </w:p>
        </w:tc>
      </w:tr>
      <w:tr>
        <w:trPr>
          <w:cantSplit/>
          <w:trHeight w:hRule="exact" w:val="340"/>
          <w:jc w:val="center"/>
        </w:trPr>
        <w:tc>
          <w:tcPr>
            <w:tcW w:w="1567" w:type="dxa"/>
            <w:shd w:val="clear" w:color="auto" w:fill="auto"/>
          </w:tcPr>
          <w:p>
            <w:pPr>
              <w:ind w:right="-29"/>
              <w:rPr>
                <w:rFonts w:ascii="Times New Roman" w:hAnsi="Times New Roman"/>
                <w:lang w:val="it-IT"/>
              </w:rPr>
            </w:pPr>
          </w:p>
        </w:tc>
        <w:tc>
          <w:tcPr>
            <w:tcW w:w="2823" w:type="dxa"/>
            <w:shd w:val="clear" w:color="auto" w:fill="auto"/>
            <w:noWrap/>
          </w:tcPr>
          <w:p>
            <w:pPr>
              <w:ind w:right="-29"/>
              <w:rPr>
                <w:rFonts w:ascii="Times New Roman" w:hAnsi="Times New Roman"/>
                <w:lang w:val="it-IT"/>
              </w:rPr>
            </w:pPr>
            <w:r>
              <w:rPr>
                <w:rFonts w:ascii="Times New Roman" w:hAnsi="Times New Roman"/>
                <w:lang w:val="it-IT"/>
              </w:rPr>
              <w:t>Differenza</w:t>
            </w:r>
          </w:p>
        </w:tc>
        <w:tc>
          <w:tcPr>
            <w:tcW w:w="1439" w:type="dxa"/>
            <w:shd w:val="clear" w:color="auto" w:fill="auto"/>
            <w:noWrap/>
            <w:vAlign w:val="center"/>
          </w:tcPr>
          <w:p>
            <w:pPr>
              <w:ind w:right="-29"/>
              <w:jc w:val="center"/>
              <w:rPr>
                <w:rFonts w:ascii="Times New Roman" w:hAnsi="Times New Roman"/>
                <w:lang w:val="it-IT"/>
              </w:rPr>
            </w:pPr>
            <w:r>
              <w:rPr>
                <w:rFonts w:ascii="Times New Roman" w:hAnsi="Times New Roman"/>
                <w:lang w:val="it-IT"/>
              </w:rPr>
              <w:t>130</w:t>
            </w:r>
          </w:p>
        </w:tc>
        <w:tc>
          <w:tcPr>
            <w:tcW w:w="1440" w:type="dxa"/>
            <w:shd w:val="clear" w:color="auto" w:fill="auto"/>
            <w:noWrap/>
            <w:vAlign w:val="center"/>
          </w:tcPr>
          <w:p>
            <w:pPr>
              <w:ind w:right="-29"/>
              <w:jc w:val="center"/>
              <w:rPr>
                <w:rFonts w:ascii="Times New Roman" w:hAnsi="Times New Roman"/>
                <w:lang w:val="it-IT"/>
              </w:rPr>
            </w:pPr>
            <w:r>
              <w:rPr>
                <w:rFonts w:ascii="Times New Roman" w:hAnsi="Times New Roman"/>
                <w:lang w:val="it-IT"/>
              </w:rPr>
              <w:t>113</w:t>
            </w:r>
          </w:p>
        </w:tc>
        <w:tc>
          <w:tcPr>
            <w:tcW w:w="1440" w:type="dxa"/>
            <w:shd w:val="clear" w:color="auto" w:fill="auto"/>
            <w:noWrap/>
            <w:vAlign w:val="center"/>
          </w:tcPr>
          <w:p>
            <w:pPr>
              <w:ind w:right="-29"/>
              <w:jc w:val="center"/>
              <w:rPr>
                <w:rFonts w:ascii="Times New Roman" w:hAnsi="Times New Roman"/>
                <w:lang w:val="it-IT"/>
              </w:rPr>
            </w:pPr>
            <w:r>
              <w:rPr>
                <w:rFonts w:ascii="Times New Roman" w:hAnsi="Times New Roman"/>
                <w:lang w:val="it-IT"/>
              </w:rPr>
              <w:t>6</w:t>
            </w:r>
          </w:p>
        </w:tc>
        <w:tc>
          <w:tcPr>
            <w:tcW w:w="1440" w:type="dxa"/>
            <w:shd w:val="clear" w:color="auto" w:fill="auto"/>
            <w:noWrap/>
            <w:vAlign w:val="center"/>
          </w:tcPr>
          <w:p>
            <w:pPr>
              <w:ind w:right="-29"/>
              <w:jc w:val="center"/>
              <w:rPr>
                <w:rFonts w:ascii="Times New Roman" w:hAnsi="Times New Roman"/>
                <w:lang w:val="it-IT"/>
              </w:rPr>
            </w:pPr>
            <w:r>
              <w:rPr>
                <w:rFonts w:ascii="Times New Roman" w:hAnsi="Times New Roman"/>
                <w:lang w:val="it-IT"/>
              </w:rPr>
              <w:t>7</w:t>
            </w:r>
          </w:p>
        </w:tc>
      </w:tr>
      <w:tr>
        <w:trPr>
          <w:cantSplit/>
          <w:trHeight w:hRule="exact" w:val="597"/>
          <w:jc w:val="center"/>
        </w:trPr>
        <w:tc>
          <w:tcPr>
            <w:tcW w:w="1567" w:type="dxa"/>
            <w:shd w:val="clear" w:color="auto" w:fill="auto"/>
          </w:tcPr>
          <w:p>
            <w:pPr>
              <w:ind w:right="-29"/>
              <w:rPr>
                <w:rFonts w:ascii="Times New Roman" w:hAnsi="Times New Roman"/>
                <w:lang w:val="it-IT"/>
              </w:rPr>
            </w:pPr>
            <w:r>
              <w:rPr>
                <w:rFonts w:ascii="Times New Roman" w:hAnsi="Times New Roman"/>
                <w:lang w:val="it-IT"/>
              </w:rPr>
              <w:t>Emorragia maggiore</w:t>
            </w:r>
          </w:p>
        </w:tc>
        <w:tc>
          <w:tcPr>
            <w:tcW w:w="2823" w:type="dxa"/>
            <w:shd w:val="clear" w:color="auto" w:fill="auto"/>
            <w:noWrap/>
            <w:hideMark/>
          </w:tcPr>
          <w:p>
            <w:pPr>
              <w:ind w:right="-29"/>
              <w:rPr>
                <w:rFonts w:ascii="Times New Roman" w:hAnsi="Times New Roman"/>
                <w:lang w:val="it-IT"/>
              </w:rPr>
            </w:pPr>
            <w:r>
              <w:rPr>
                <w:rFonts w:ascii="Times New Roman" w:hAnsi="Times New Roman"/>
                <w:lang w:val="it-IT"/>
              </w:rPr>
              <w:t>ASA (n=5,035)</w:t>
            </w:r>
          </w:p>
        </w:tc>
        <w:tc>
          <w:tcPr>
            <w:tcW w:w="1439" w:type="dxa"/>
            <w:shd w:val="clear" w:color="auto" w:fill="auto"/>
            <w:noWrap/>
          </w:tcPr>
          <w:p>
            <w:pPr>
              <w:ind w:right="-29"/>
              <w:jc w:val="center"/>
              <w:rPr>
                <w:rFonts w:ascii="Times New Roman" w:hAnsi="Times New Roman"/>
                <w:lang w:val="it-IT"/>
              </w:rPr>
            </w:pPr>
            <w:r>
              <w:rPr>
                <w:rFonts w:ascii="Times New Roman" w:hAnsi="Times New Roman"/>
                <w:lang w:val="it-IT"/>
              </w:rPr>
              <w:t>18</w:t>
            </w:r>
          </w:p>
        </w:tc>
        <w:tc>
          <w:tcPr>
            <w:tcW w:w="1440" w:type="dxa"/>
            <w:shd w:val="clear" w:color="auto" w:fill="auto"/>
            <w:noWrap/>
          </w:tcPr>
          <w:p>
            <w:pPr>
              <w:ind w:right="-29"/>
              <w:jc w:val="center"/>
              <w:rPr>
                <w:rFonts w:ascii="Times New Roman" w:hAnsi="Times New Roman"/>
                <w:lang w:val="it-IT"/>
              </w:rPr>
            </w:pPr>
            <w:r>
              <w:rPr>
                <w:rFonts w:ascii="Times New Roman" w:hAnsi="Times New Roman"/>
                <w:lang w:val="it-IT"/>
              </w:rPr>
              <w:t>4</w:t>
            </w:r>
          </w:p>
        </w:tc>
        <w:tc>
          <w:tcPr>
            <w:tcW w:w="1440" w:type="dxa"/>
            <w:shd w:val="clear" w:color="auto" w:fill="auto"/>
            <w:noWrap/>
          </w:tcPr>
          <w:p>
            <w:pPr>
              <w:ind w:right="-29"/>
              <w:jc w:val="center"/>
              <w:rPr>
                <w:rFonts w:ascii="Times New Roman" w:hAnsi="Times New Roman"/>
                <w:lang w:val="it-IT"/>
              </w:rPr>
            </w:pPr>
            <w:r>
              <w:rPr>
                <w:rFonts w:ascii="Times New Roman" w:hAnsi="Times New Roman"/>
                <w:lang w:val="it-IT"/>
              </w:rPr>
              <w:t>2</w:t>
            </w:r>
          </w:p>
        </w:tc>
        <w:tc>
          <w:tcPr>
            <w:tcW w:w="1440" w:type="dxa"/>
            <w:shd w:val="clear" w:color="auto" w:fill="auto"/>
            <w:noWrap/>
          </w:tcPr>
          <w:p>
            <w:pPr>
              <w:ind w:right="-29"/>
              <w:jc w:val="center"/>
              <w:rPr>
                <w:rFonts w:ascii="Times New Roman" w:hAnsi="Times New Roman"/>
                <w:lang w:val="it-IT"/>
              </w:rPr>
            </w:pPr>
            <w:r>
              <w:rPr>
                <w:rFonts w:ascii="Times New Roman" w:hAnsi="Times New Roman"/>
                <w:lang w:val="it-IT"/>
              </w:rPr>
              <w:t>1</w:t>
            </w:r>
          </w:p>
        </w:tc>
      </w:tr>
      <w:tr>
        <w:trPr>
          <w:cantSplit/>
          <w:trHeight w:hRule="exact" w:val="340"/>
          <w:jc w:val="center"/>
        </w:trPr>
        <w:tc>
          <w:tcPr>
            <w:tcW w:w="1567" w:type="dxa"/>
            <w:shd w:val="clear" w:color="auto" w:fill="auto"/>
          </w:tcPr>
          <w:p>
            <w:pPr>
              <w:ind w:right="-29"/>
              <w:rPr>
                <w:rFonts w:ascii="Times New Roman" w:hAnsi="Times New Roman"/>
                <w:lang w:val="it-IT"/>
              </w:rPr>
            </w:pPr>
          </w:p>
        </w:tc>
        <w:tc>
          <w:tcPr>
            <w:tcW w:w="2823" w:type="dxa"/>
            <w:shd w:val="clear" w:color="auto" w:fill="auto"/>
            <w:noWrap/>
          </w:tcPr>
          <w:p>
            <w:pPr>
              <w:ind w:right="-29"/>
              <w:rPr>
                <w:rFonts w:ascii="Times New Roman" w:hAnsi="Times New Roman"/>
                <w:lang w:val="it-IT"/>
              </w:rPr>
            </w:pPr>
            <w:r>
              <w:rPr>
                <w:rFonts w:ascii="Times New Roman" w:hAnsi="Times New Roman"/>
                <w:lang w:val="it-IT"/>
              </w:rPr>
              <w:t>CLP+ASA(n=5,016)</w:t>
            </w:r>
          </w:p>
        </w:tc>
        <w:tc>
          <w:tcPr>
            <w:tcW w:w="1439" w:type="dxa"/>
            <w:shd w:val="clear" w:color="auto" w:fill="auto"/>
            <w:noWrap/>
          </w:tcPr>
          <w:p>
            <w:pPr>
              <w:ind w:right="-29"/>
              <w:jc w:val="center"/>
              <w:rPr>
                <w:rFonts w:ascii="Times New Roman" w:hAnsi="Times New Roman"/>
                <w:lang w:val="it-IT"/>
              </w:rPr>
            </w:pPr>
            <w:r>
              <w:rPr>
                <w:rFonts w:ascii="Times New Roman" w:hAnsi="Times New Roman"/>
                <w:lang w:val="it-IT"/>
              </w:rPr>
              <w:t>30</w:t>
            </w:r>
          </w:p>
        </w:tc>
        <w:tc>
          <w:tcPr>
            <w:tcW w:w="1440" w:type="dxa"/>
            <w:shd w:val="clear" w:color="auto" w:fill="auto"/>
            <w:noWrap/>
          </w:tcPr>
          <w:p>
            <w:pPr>
              <w:ind w:right="-29"/>
              <w:jc w:val="center"/>
              <w:rPr>
                <w:rFonts w:ascii="Times New Roman" w:hAnsi="Times New Roman"/>
                <w:lang w:val="it-IT"/>
              </w:rPr>
            </w:pPr>
            <w:r>
              <w:rPr>
                <w:rFonts w:ascii="Times New Roman" w:hAnsi="Times New Roman"/>
                <w:lang w:val="it-IT"/>
              </w:rPr>
              <w:t>10</w:t>
            </w:r>
          </w:p>
        </w:tc>
        <w:tc>
          <w:tcPr>
            <w:tcW w:w="1440" w:type="dxa"/>
            <w:shd w:val="clear" w:color="auto" w:fill="auto"/>
            <w:noWrap/>
          </w:tcPr>
          <w:p>
            <w:pPr>
              <w:ind w:right="-29"/>
              <w:jc w:val="center"/>
              <w:rPr>
                <w:rFonts w:ascii="Times New Roman" w:hAnsi="Times New Roman"/>
                <w:lang w:val="it-IT"/>
              </w:rPr>
            </w:pPr>
            <w:r>
              <w:rPr>
                <w:rFonts w:ascii="Times New Roman" w:hAnsi="Times New Roman"/>
                <w:lang w:val="it-IT"/>
              </w:rPr>
              <w:t>4</w:t>
            </w:r>
          </w:p>
        </w:tc>
        <w:tc>
          <w:tcPr>
            <w:tcW w:w="1440" w:type="dxa"/>
            <w:shd w:val="clear" w:color="auto" w:fill="auto"/>
            <w:noWrap/>
          </w:tcPr>
          <w:p>
            <w:pPr>
              <w:ind w:right="-29"/>
              <w:jc w:val="center"/>
              <w:rPr>
                <w:rFonts w:ascii="Times New Roman" w:hAnsi="Times New Roman"/>
                <w:lang w:val="it-IT"/>
              </w:rPr>
            </w:pPr>
            <w:r>
              <w:rPr>
                <w:rFonts w:ascii="Times New Roman" w:hAnsi="Times New Roman"/>
                <w:lang w:val="it-IT"/>
              </w:rPr>
              <w:t>2</w:t>
            </w:r>
          </w:p>
        </w:tc>
      </w:tr>
      <w:tr>
        <w:trPr>
          <w:cantSplit/>
          <w:trHeight w:hRule="exact" w:val="340"/>
          <w:jc w:val="center"/>
        </w:trPr>
        <w:tc>
          <w:tcPr>
            <w:tcW w:w="1567" w:type="dxa"/>
            <w:shd w:val="clear" w:color="auto" w:fill="auto"/>
          </w:tcPr>
          <w:p>
            <w:pPr>
              <w:ind w:right="-29"/>
              <w:rPr>
                <w:rFonts w:ascii="Times New Roman" w:hAnsi="Times New Roman"/>
                <w:lang w:val="it-IT"/>
              </w:rPr>
            </w:pPr>
          </w:p>
        </w:tc>
        <w:tc>
          <w:tcPr>
            <w:tcW w:w="2823" w:type="dxa"/>
            <w:shd w:val="clear" w:color="auto" w:fill="auto"/>
            <w:noWrap/>
          </w:tcPr>
          <w:p>
            <w:pPr>
              <w:ind w:right="-29"/>
              <w:rPr>
                <w:rFonts w:ascii="Times New Roman" w:hAnsi="Times New Roman"/>
                <w:lang w:val="it-IT"/>
              </w:rPr>
            </w:pPr>
            <w:r>
              <w:rPr>
                <w:rFonts w:ascii="Times New Roman" w:hAnsi="Times New Roman"/>
                <w:lang w:val="it-IT"/>
              </w:rPr>
              <w:t>Differenza</w:t>
            </w:r>
          </w:p>
        </w:tc>
        <w:tc>
          <w:tcPr>
            <w:tcW w:w="1439" w:type="dxa"/>
            <w:shd w:val="clear" w:color="auto" w:fill="auto"/>
            <w:noWrap/>
            <w:vAlign w:val="center"/>
          </w:tcPr>
          <w:p>
            <w:pPr>
              <w:ind w:right="-29"/>
              <w:jc w:val="center"/>
              <w:rPr>
                <w:rFonts w:ascii="Times New Roman" w:hAnsi="Times New Roman"/>
                <w:lang w:val="it-IT"/>
              </w:rPr>
            </w:pPr>
            <w:r>
              <w:rPr>
                <w:rFonts w:ascii="Times New Roman" w:hAnsi="Times New Roman"/>
                <w:lang w:val="it-IT"/>
              </w:rPr>
              <w:t>-12</w:t>
            </w:r>
          </w:p>
        </w:tc>
        <w:tc>
          <w:tcPr>
            <w:tcW w:w="1440" w:type="dxa"/>
            <w:shd w:val="clear" w:color="auto" w:fill="auto"/>
            <w:noWrap/>
            <w:vAlign w:val="center"/>
          </w:tcPr>
          <w:p>
            <w:pPr>
              <w:ind w:right="-29"/>
              <w:jc w:val="center"/>
              <w:rPr>
                <w:rFonts w:ascii="Times New Roman" w:hAnsi="Times New Roman"/>
                <w:lang w:val="it-IT"/>
              </w:rPr>
            </w:pPr>
            <w:r>
              <w:rPr>
                <w:rFonts w:ascii="Times New Roman" w:hAnsi="Times New Roman"/>
                <w:lang w:val="it-IT"/>
              </w:rPr>
              <w:t>-6</w:t>
            </w:r>
          </w:p>
        </w:tc>
        <w:tc>
          <w:tcPr>
            <w:tcW w:w="1440" w:type="dxa"/>
            <w:shd w:val="clear" w:color="auto" w:fill="auto"/>
            <w:noWrap/>
            <w:vAlign w:val="center"/>
          </w:tcPr>
          <w:p>
            <w:pPr>
              <w:ind w:right="-29"/>
              <w:jc w:val="center"/>
              <w:rPr>
                <w:rFonts w:ascii="Times New Roman" w:hAnsi="Times New Roman"/>
                <w:lang w:val="it-IT"/>
              </w:rPr>
            </w:pPr>
            <w:r>
              <w:rPr>
                <w:rFonts w:ascii="Times New Roman" w:hAnsi="Times New Roman"/>
                <w:lang w:val="it-IT"/>
              </w:rPr>
              <w:t>-2</w:t>
            </w:r>
          </w:p>
        </w:tc>
        <w:tc>
          <w:tcPr>
            <w:tcW w:w="1440" w:type="dxa"/>
            <w:shd w:val="clear" w:color="auto" w:fill="auto"/>
            <w:noWrap/>
            <w:vAlign w:val="center"/>
          </w:tcPr>
          <w:p>
            <w:pPr>
              <w:ind w:right="-29"/>
              <w:jc w:val="center"/>
              <w:rPr>
                <w:rFonts w:ascii="Times New Roman" w:hAnsi="Times New Roman"/>
                <w:lang w:val="it-IT"/>
              </w:rPr>
            </w:pPr>
            <w:r>
              <w:rPr>
                <w:rFonts w:ascii="Times New Roman" w:hAnsi="Times New Roman"/>
                <w:lang w:val="it-IT"/>
              </w:rPr>
              <w:t>-1</w:t>
            </w:r>
          </w:p>
        </w:tc>
      </w:tr>
      <w:bookmarkEnd w:id="4"/>
    </w:tbl>
    <w:p>
      <w:pPr>
        <w:rPr>
          <w:rFonts w:ascii="Times New Roman" w:hAnsi="Times New Roman"/>
          <w:lang w:val="it-IT"/>
        </w:rPr>
      </w:pPr>
    </w:p>
    <w:p>
      <w:pPr>
        <w:rPr>
          <w:rFonts w:ascii="Times New Roman" w:hAnsi="Times New Roman"/>
          <w:lang w:val="it-IT"/>
        </w:rPr>
      </w:pPr>
    </w:p>
    <w:p>
      <w:pPr>
        <w:tabs>
          <w:tab w:val="left" w:pos="567"/>
        </w:tabs>
        <w:spacing w:after="0" w:line="240" w:lineRule="auto"/>
        <w:rPr>
          <w:rFonts w:ascii="Times New Roman" w:eastAsia="Times New Roman" w:hAnsi="Times New Roman"/>
          <w:b/>
          <w:bCs/>
          <w:color w:val="000000"/>
          <w:spacing w:val="1"/>
          <w:lang w:val="it-IT"/>
        </w:rPr>
      </w:pPr>
    </w:p>
    <w:p>
      <w:pPr>
        <w:tabs>
          <w:tab w:val="left" w:pos="567"/>
        </w:tabs>
        <w:spacing w:after="0" w:line="240" w:lineRule="auto"/>
        <w:rPr>
          <w:rFonts w:ascii="Times New Roman" w:eastAsia="Times New Roman" w:hAnsi="Times New Roman"/>
          <w:i/>
          <w:lang w:val="it-IT"/>
        </w:rPr>
      </w:pPr>
      <w:r>
        <w:rPr>
          <w:rFonts w:ascii="Times New Roman" w:eastAsia="Times New Roman" w:hAnsi="Times New Roman"/>
          <w:i/>
          <w:lang w:val="it-IT"/>
        </w:rPr>
        <w:t>Fibrillazione atriale</w:t>
      </w:r>
    </w:p>
    <w:p>
      <w:pPr>
        <w:tabs>
          <w:tab w:val="left" w:pos="567"/>
        </w:tabs>
        <w:spacing w:after="0" w:line="240" w:lineRule="auto"/>
        <w:rPr>
          <w:rFonts w:ascii="Times New Roman" w:eastAsia="Times New Roman" w:hAnsi="Times New Roman"/>
          <w:lang w:val="it-IT"/>
        </w:rPr>
      </w:pPr>
    </w:p>
    <w:p>
      <w:pPr>
        <w:tabs>
          <w:tab w:val="left" w:pos="567"/>
        </w:tabs>
        <w:spacing w:after="0" w:line="240" w:lineRule="auto"/>
        <w:rPr>
          <w:rFonts w:ascii="Times New Roman" w:eastAsia="Times New Roman" w:hAnsi="Times New Roman"/>
          <w:lang w:val="it-IT"/>
        </w:rPr>
      </w:pPr>
      <w:r>
        <w:rPr>
          <w:rFonts w:ascii="Times New Roman" w:eastAsia="Times New Roman" w:hAnsi="Times New Roman"/>
          <w:lang w:val="it-IT"/>
        </w:rPr>
        <w:t xml:space="preserve">Gli studi ACTIVE-W e ACTIVE-A, studi distinti facenti parte del programma ACTIVE, hanno incluso pazienti affetti da fibrillazione atriale (FA) che possedevano almeno un fattore di rischio per eventi vascolari. Sulla base dei criteri di arruolamento, i medici hanno incluso i pazienti nello studio ACTIVE-W se questi ultimi risultavano eleggibili al trattamento con antagonisti della vitamina K (AVK) (come warfarin). Lo studio ACTIVE-A ha incluso pazienti che non potevano ricevere il trattamento con AVK perché non erano in grado o non erano propensi a sottoporsi al trattamento. </w:t>
      </w:r>
    </w:p>
    <w:p>
      <w:pPr>
        <w:keepNext/>
        <w:tabs>
          <w:tab w:val="left" w:pos="540"/>
        </w:tabs>
        <w:spacing w:after="0" w:line="240" w:lineRule="auto"/>
        <w:ind w:right="14"/>
        <w:outlineLvl w:val="1"/>
        <w:rPr>
          <w:rFonts w:ascii="Times New Roman" w:eastAsia="Times New Roman" w:hAnsi="Times New Roman"/>
          <w:bCs/>
          <w:lang w:val="it-IT"/>
        </w:rPr>
      </w:pPr>
      <w:r>
        <w:rPr>
          <w:rFonts w:ascii="Times New Roman" w:eastAsia="Times New Roman" w:hAnsi="Times New Roman"/>
          <w:bCs/>
          <w:lang w:val="it-IT"/>
        </w:rPr>
        <w:t>Lo studio ACTIVE-W ha dimostrato che il trattamento anticoagulante con gli antagonisti della vitamina K era più efficace rispetto al trattamento con clopidogrel e ASA.</w:t>
      </w:r>
    </w:p>
    <w:p>
      <w:pPr>
        <w:tabs>
          <w:tab w:val="left" w:pos="567"/>
        </w:tabs>
        <w:spacing w:after="0" w:line="240" w:lineRule="auto"/>
        <w:rPr>
          <w:rFonts w:ascii="Times New Roman" w:eastAsia="Times New Roman" w:hAnsi="Times New Roman"/>
          <w:lang w:val="it-IT"/>
        </w:rPr>
      </w:pPr>
    </w:p>
    <w:p>
      <w:pPr>
        <w:tabs>
          <w:tab w:val="left" w:pos="567"/>
        </w:tabs>
        <w:spacing w:after="0" w:line="240" w:lineRule="auto"/>
        <w:rPr>
          <w:rFonts w:ascii="Times New Roman" w:eastAsia="Times New Roman" w:hAnsi="Times New Roman"/>
          <w:lang w:val="it-IT"/>
        </w:rPr>
      </w:pPr>
      <w:r>
        <w:rPr>
          <w:rFonts w:ascii="Times New Roman" w:eastAsia="Times New Roman" w:hAnsi="Times New Roman"/>
          <w:lang w:val="it-IT"/>
        </w:rPr>
        <w:t>Lo studio ACTIVE-A (n=7.544) è uno studio multicentrico, randomizzato, in doppio cieco, controllato con placebo che ha confrontato clopidogrel 75 mg/die + ASA (N=3.772) con placebo + ASA (N=3.782). La dose raccomandata di ASA era compresa tra 75 e 100 mg/die. I pazienti sono stati trattati fino a un massimo di 5 anni.</w:t>
      </w:r>
    </w:p>
    <w:p>
      <w:pPr>
        <w:tabs>
          <w:tab w:val="left" w:pos="567"/>
        </w:tabs>
        <w:spacing w:after="0" w:line="240" w:lineRule="auto"/>
        <w:rPr>
          <w:rFonts w:ascii="Times New Roman" w:eastAsia="Times New Roman" w:hAnsi="Times New Roman"/>
          <w:lang w:val="it-IT"/>
        </w:rPr>
      </w:pPr>
    </w:p>
    <w:p>
      <w:pPr>
        <w:tabs>
          <w:tab w:val="left" w:pos="567"/>
        </w:tabs>
        <w:spacing w:after="0" w:line="240" w:lineRule="auto"/>
        <w:rPr>
          <w:rFonts w:ascii="Times New Roman" w:eastAsia="Times New Roman" w:hAnsi="Times New Roman"/>
          <w:lang w:val="it-IT"/>
        </w:rPr>
      </w:pPr>
      <w:r>
        <w:rPr>
          <w:rFonts w:ascii="Times New Roman" w:eastAsia="Times New Roman" w:hAnsi="Times New Roman"/>
          <w:lang w:val="it-IT"/>
        </w:rPr>
        <w:t xml:space="preserve">I pazienti randomizzati nel programma ACTIVE dovevano presentare FA documentata, ad es. FA permanente o almeno 2 episodi di FA intermittente che si erano verificati negli ultimi 6 mesi e dovevano possedere almeno uno dei seguenti fattori di rischio: </w:t>
      </w:r>
    </w:p>
    <w:p>
      <w:pPr>
        <w:numPr>
          <w:ilvl w:val="0"/>
          <w:numId w:val="30"/>
        </w:numPr>
        <w:spacing w:after="0" w:line="240" w:lineRule="auto"/>
        <w:rPr>
          <w:rFonts w:ascii="Times New Roman" w:eastAsia="Times New Roman" w:hAnsi="Times New Roman"/>
          <w:lang w:val="it-IT"/>
        </w:rPr>
      </w:pPr>
      <w:r>
        <w:rPr>
          <w:rFonts w:ascii="Times New Roman" w:eastAsia="Times New Roman" w:hAnsi="Times New Roman"/>
          <w:lang w:val="it-IT"/>
        </w:rPr>
        <w:t xml:space="preserve">età ≥ 75 anni oppure </w:t>
      </w:r>
    </w:p>
    <w:p>
      <w:pPr>
        <w:numPr>
          <w:ilvl w:val="0"/>
          <w:numId w:val="30"/>
        </w:numPr>
        <w:spacing w:after="0" w:line="240" w:lineRule="auto"/>
        <w:rPr>
          <w:rFonts w:ascii="Times New Roman" w:eastAsia="Times New Roman" w:hAnsi="Times New Roman"/>
          <w:lang w:val="it-IT"/>
        </w:rPr>
      </w:pPr>
      <w:r>
        <w:rPr>
          <w:rFonts w:ascii="Times New Roman" w:eastAsia="Times New Roman" w:hAnsi="Times New Roman"/>
          <w:lang w:val="it-IT"/>
        </w:rPr>
        <w:t>età compresa tra 55 e 74 anni e</w:t>
      </w:r>
    </w:p>
    <w:p>
      <w:pPr>
        <w:numPr>
          <w:ilvl w:val="0"/>
          <w:numId w:val="31"/>
        </w:numPr>
        <w:tabs>
          <w:tab w:val="clear" w:pos="360"/>
          <w:tab w:val="num" w:pos="720"/>
        </w:tabs>
        <w:spacing w:after="0" w:line="240" w:lineRule="auto"/>
        <w:ind w:left="720"/>
        <w:rPr>
          <w:rFonts w:ascii="Times New Roman" w:eastAsia="Times New Roman" w:hAnsi="Times New Roman"/>
          <w:lang w:val="it-IT"/>
        </w:rPr>
      </w:pPr>
      <w:r>
        <w:rPr>
          <w:rFonts w:ascii="Times New Roman" w:eastAsia="Times New Roman" w:hAnsi="Times New Roman"/>
          <w:lang w:val="it-IT"/>
        </w:rPr>
        <w:t xml:space="preserve">diabete mellito che richiedeva una terapia farmacologica o </w:t>
      </w:r>
    </w:p>
    <w:p>
      <w:pPr>
        <w:numPr>
          <w:ilvl w:val="0"/>
          <w:numId w:val="31"/>
        </w:numPr>
        <w:tabs>
          <w:tab w:val="clear" w:pos="360"/>
          <w:tab w:val="num" w:pos="720"/>
        </w:tabs>
        <w:spacing w:after="0" w:line="240" w:lineRule="auto"/>
        <w:ind w:left="720"/>
        <w:rPr>
          <w:rFonts w:ascii="Times New Roman" w:eastAsia="Times New Roman" w:hAnsi="Times New Roman"/>
          <w:lang w:val="it-IT"/>
        </w:rPr>
      </w:pPr>
      <w:r>
        <w:rPr>
          <w:rFonts w:ascii="Times New Roman" w:eastAsia="Times New Roman" w:hAnsi="Times New Roman"/>
          <w:lang w:val="it-IT"/>
        </w:rPr>
        <w:t xml:space="preserve">pregresso IM documentato o </w:t>
      </w:r>
      <w:bookmarkStart w:id="5" w:name="OLE_LINK4"/>
      <w:bookmarkStart w:id="6" w:name="OLE_LINK5"/>
      <w:r>
        <w:rPr>
          <w:rFonts w:ascii="Times New Roman" w:eastAsia="Times New Roman" w:hAnsi="Times New Roman"/>
          <w:lang w:val="it-IT"/>
        </w:rPr>
        <w:t>malattia coronarica documentata</w:t>
      </w:r>
      <w:bookmarkEnd w:id="5"/>
      <w:bookmarkEnd w:id="6"/>
      <w:r>
        <w:rPr>
          <w:rFonts w:ascii="Times New Roman" w:eastAsia="Times New Roman" w:hAnsi="Times New Roman"/>
          <w:lang w:val="it-IT"/>
        </w:rPr>
        <w:t>;</w:t>
      </w:r>
    </w:p>
    <w:p>
      <w:pPr>
        <w:numPr>
          <w:ilvl w:val="0"/>
          <w:numId w:val="32"/>
        </w:numPr>
        <w:spacing w:after="0" w:line="240" w:lineRule="auto"/>
        <w:rPr>
          <w:rFonts w:ascii="Times New Roman" w:eastAsia="Times New Roman" w:hAnsi="Times New Roman"/>
          <w:lang w:val="it-IT"/>
        </w:rPr>
      </w:pPr>
      <w:r>
        <w:rPr>
          <w:rFonts w:ascii="Times New Roman" w:eastAsia="Times New Roman" w:hAnsi="Times New Roman"/>
          <w:lang w:val="it-IT"/>
        </w:rPr>
        <w:t xml:space="preserve"> in trattamento per ipertensione sistemica;</w:t>
      </w:r>
    </w:p>
    <w:p>
      <w:pPr>
        <w:numPr>
          <w:ilvl w:val="0"/>
          <w:numId w:val="32"/>
        </w:numPr>
        <w:spacing w:after="0" w:line="240" w:lineRule="auto"/>
        <w:rPr>
          <w:rFonts w:ascii="Times New Roman" w:eastAsia="Times New Roman" w:hAnsi="Times New Roman"/>
          <w:lang w:val="it-IT"/>
        </w:rPr>
      </w:pPr>
      <w:r>
        <w:rPr>
          <w:rFonts w:ascii="Times New Roman" w:eastAsia="Times New Roman" w:hAnsi="Times New Roman"/>
          <w:lang w:val="it-IT"/>
        </w:rPr>
        <w:t xml:space="preserve"> pregresso ictus, attacco ischemico transitorio (TIA) o embolia sistemica non a carico del SNC;</w:t>
      </w:r>
    </w:p>
    <w:p>
      <w:pPr>
        <w:numPr>
          <w:ilvl w:val="0"/>
          <w:numId w:val="32"/>
        </w:numPr>
        <w:spacing w:after="0" w:line="240" w:lineRule="auto"/>
        <w:rPr>
          <w:rFonts w:ascii="Times New Roman" w:eastAsia="Times New Roman" w:hAnsi="Times New Roman"/>
          <w:lang w:val="it-IT"/>
        </w:rPr>
      </w:pPr>
      <w:r>
        <w:rPr>
          <w:rFonts w:ascii="Times New Roman" w:eastAsia="Times New Roman" w:hAnsi="Times New Roman"/>
          <w:lang w:val="it-IT"/>
        </w:rPr>
        <w:t>disfunzione ventricolare sinistra con frazione di eiezione del ventricolo sinistro &lt;45%;</w:t>
      </w:r>
    </w:p>
    <w:p>
      <w:pPr>
        <w:numPr>
          <w:ilvl w:val="0"/>
          <w:numId w:val="32"/>
        </w:numPr>
        <w:spacing w:after="0" w:line="240" w:lineRule="auto"/>
        <w:rPr>
          <w:rFonts w:ascii="Times New Roman" w:eastAsia="Times New Roman" w:hAnsi="Times New Roman"/>
          <w:lang w:val="it-IT"/>
        </w:rPr>
      </w:pPr>
      <w:r>
        <w:rPr>
          <w:rFonts w:ascii="Times New Roman" w:eastAsia="Times New Roman" w:hAnsi="Times New Roman"/>
          <w:lang w:val="it-IT"/>
        </w:rPr>
        <w:t xml:space="preserve">documentata arteriopatia obliterante periferica. </w:t>
      </w:r>
    </w:p>
    <w:p>
      <w:pPr>
        <w:tabs>
          <w:tab w:val="left" w:pos="567"/>
        </w:tabs>
        <w:spacing w:after="0" w:line="240" w:lineRule="auto"/>
        <w:rPr>
          <w:rFonts w:ascii="Times New Roman" w:eastAsia="Times New Roman" w:hAnsi="Times New Roman"/>
          <w:lang w:val="it-IT"/>
        </w:rPr>
      </w:pPr>
      <w:r>
        <w:rPr>
          <w:rFonts w:ascii="Times New Roman" w:eastAsia="Times New Roman" w:hAnsi="Times New Roman"/>
          <w:lang w:val="it-IT"/>
        </w:rPr>
        <w:t>Il punteggio CHADS</w:t>
      </w:r>
      <w:r>
        <w:rPr>
          <w:rFonts w:ascii="Times New Roman" w:eastAsia="Times New Roman" w:hAnsi="Times New Roman"/>
          <w:vertAlign w:val="subscript"/>
          <w:lang w:val="it-IT"/>
        </w:rPr>
        <w:t xml:space="preserve">2 </w:t>
      </w:r>
      <w:r>
        <w:rPr>
          <w:rFonts w:ascii="Times New Roman" w:eastAsia="Times New Roman" w:hAnsi="Times New Roman"/>
          <w:lang w:val="it-IT"/>
        </w:rPr>
        <w:t>medio era 2.0 (range 0-6).</w:t>
      </w:r>
    </w:p>
    <w:p>
      <w:pPr>
        <w:tabs>
          <w:tab w:val="left" w:pos="567"/>
        </w:tabs>
        <w:spacing w:after="0" w:line="240" w:lineRule="auto"/>
        <w:rPr>
          <w:rFonts w:ascii="Times New Roman" w:eastAsia="Times New Roman" w:hAnsi="Times New Roman"/>
          <w:lang w:val="it-IT"/>
        </w:rPr>
      </w:pPr>
    </w:p>
    <w:p>
      <w:pPr>
        <w:tabs>
          <w:tab w:val="left" w:pos="567"/>
        </w:tabs>
        <w:spacing w:after="0" w:line="240" w:lineRule="auto"/>
        <w:rPr>
          <w:rFonts w:ascii="Times New Roman" w:eastAsia="Times New Roman" w:hAnsi="Times New Roman"/>
          <w:lang w:val="it-IT"/>
        </w:rPr>
      </w:pPr>
      <w:r>
        <w:rPr>
          <w:rFonts w:ascii="Times New Roman" w:eastAsia="Times New Roman" w:hAnsi="Times New Roman"/>
          <w:lang w:val="it-IT"/>
        </w:rPr>
        <w:t>I principali criteri di esclusione dei pazienti erano costituiti da ulcera peptica documentata nei 6 mesi precedenti; precedente emorragia intracerebrale; trombocitopenia importante (conta piastrinica &lt; 50 x 10</w:t>
      </w:r>
      <w:r>
        <w:rPr>
          <w:rFonts w:ascii="Times New Roman" w:eastAsia="Times New Roman" w:hAnsi="Times New Roman"/>
          <w:vertAlign w:val="superscript"/>
          <w:lang w:val="it-IT"/>
        </w:rPr>
        <w:t>9</w:t>
      </w:r>
      <w:r>
        <w:rPr>
          <w:rFonts w:ascii="Times New Roman" w:eastAsia="Times New Roman" w:hAnsi="Times New Roman"/>
          <w:lang w:val="it-IT"/>
        </w:rPr>
        <w:t>/1); richiesta di clopidogrel o anticoagulanti orali (OAC); o intolleranza a uno dei due componenti.</w:t>
      </w:r>
    </w:p>
    <w:p>
      <w:pPr>
        <w:tabs>
          <w:tab w:val="left" w:pos="567"/>
        </w:tabs>
        <w:spacing w:after="0" w:line="240" w:lineRule="auto"/>
        <w:rPr>
          <w:rFonts w:ascii="Times New Roman" w:eastAsia="Times New Roman" w:hAnsi="Times New Roman"/>
          <w:lang w:val="it-IT"/>
        </w:rPr>
      </w:pPr>
    </w:p>
    <w:p>
      <w:pPr>
        <w:tabs>
          <w:tab w:val="left" w:pos="567"/>
        </w:tabs>
        <w:spacing w:after="0" w:line="240" w:lineRule="auto"/>
        <w:rPr>
          <w:rFonts w:ascii="Times New Roman" w:eastAsia="Times New Roman" w:hAnsi="Times New Roman"/>
          <w:lang w:val="it-IT"/>
        </w:rPr>
      </w:pPr>
      <w:r>
        <w:rPr>
          <w:rFonts w:ascii="Times New Roman" w:eastAsia="Times New Roman" w:hAnsi="Times New Roman"/>
          <w:lang w:val="it-IT"/>
        </w:rPr>
        <w:t>Il settantatre per cento (73%) dei pazienti arruolati nello studio ACTIVE-A non era idoneo ad assumere un AVK in seguito a valutazione medica, incapacità di conformarsi al monitoraggio dell’INR (International Normalised Ratio), predisposizione a cadere o a subire un trauma cranico, o rischio specifico di sanguinamento; per il 26% dei pazienti la decisione del medico si basava sulla riluttanza del paziente ad assumere un AVK.</w:t>
      </w:r>
    </w:p>
    <w:p>
      <w:pPr>
        <w:spacing w:after="0" w:line="240" w:lineRule="auto"/>
        <w:rPr>
          <w:rFonts w:ascii="Times New Roman" w:hAnsi="Times New Roman"/>
          <w:lang w:val="it-IT"/>
        </w:rPr>
      </w:pPr>
    </w:p>
    <w:p>
      <w:pPr>
        <w:tabs>
          <w:tab w:val="left" w:pos="567"/>
        </w:tabs>
        <w:spacing w:after="0" w:line="240" w:lineRule="auto"/>
        <w:rPr>
          <w:rFonts w:ascii="Times New Roman" w:eastAsia="Times New Roman" w:hAnsi="Times New Roman"/>
          <w:lang w:val="it-IT"/>
        </w:rPr>
      </w:pPr>
      <w:r>
        <w:rPr>
          <w:rFonts w:ascii="Times New Roman" w:eastAsia="Times New Roman" w:hAnsi="Times New Roman"/>
          <w:lang w:val="it-IT"/>
        </w:rPr>
        <w:t>Il 41,8% della popolazione in studio era rappresentato da donne. L’età media era 71 anni, il 41,6% dei pazienti era di età ≥75 anni. In totale, il 23% dei pazienti sono stati trattati con antiaritmici, il 52,1% con beta bloccanti, il 54,6% con ACE inibitori ed il 25% con statine.</w:t>
      </w:r>
    </w:p>
    <w:p>
      <w:pPr>
        <w:tabs>
          <w:tab w:val="left" w:pos="567"/>
        </w:tabs>
        <w:spacing w:after="0" w:line="240" w:lineRule="auto"/>
        <w:rPr>
          <w:rFonts w:ascii="Times New Roman" w:eastAsia="Times New Roman" w:hAnsi="Times New Roman"/>
          <w:lang w:val="it-IT"/>
        </w:rPr>
      </w:pPr>
    </w:p>
    <w:p>
      <w:pPr>
        <w:tabs>
          <w:tab w:val="left" w:pos="567"/>
        </w:tabs>
        <w:spacing w:after="0" w:line="240" w:lineRule="auto"/>
        <w:rPr>
          <w:rFonts w:ascii="Times New Roman" w:eastAsia="Times New Roman" w:hAnsi="Times New Roman"/>
          <w:lang w:val="it-IT"/>
        </w:rPr>
      </w:pPr>
      <w:r>
        <w:rPr>
          <w:rFonts w:ascii="Times New Roman" w:eastAsia="Times New Roman" w:hAnsi="Times New Roman"/>
          <w:lang w:val="it-IT"/>
        </w:rPr>
        <w:t>Il numero di pazienti che ha raggiunto l’endpoint primario (tempo al primo episodio di ictus, IM, embolia sistemica non a carico del SNC o morte vascolare) è stato di 832 pazienti (22.1%) nel gruppo trattato con clopidogrel + ASA e di 924 pazienti (24,4%) nel gruppo trattato con placebo + ASA (riduzione del rischio relativo dell’11, 1%; 95% CI  2,4% -19,1%; p=0,013), dovuto principalmente alla forte riduzione dell’incidenza di ictus. L’ictus si è presentato in 296 pazienti (7,8%) trattati con clopidogrel + ASA e in 408 pazienti (10,8%) trattati con placebo + ASA (riduzione del rischio relativo del 28,4%; 95% CI, 16,8%-38,3%; p=0,00001).</w:t>
      </w:r>
    </w:p>
    <w:p>
      <w:pPr>
        <w:widowControl w:val="0"/>
        <w:suppressAutoHyphens/>
        <w:autoSpaceDE w:val="0"/>
        <w:spacing w:after="0" w:line="240" w:lineRule="auto"/>
        <w:rPr>
          <w:rFonts w:ascii="Times New Roman" w:eastAsia="Times New Roman" w:hAnsi="Times New Roman"/>
          <w:i/>
          <w:lang w:val="it-IT" w:eastAsia="ar-SA"/>
        </w:rPr>
      </w:pPr>
    </w:p>
    <w:p>
      <w:pPr>
        <w:widowControl w:val="0"/>
        <w:suppressAutoHyphens/>
        <w:autoSpaceDE w:val="0"/>
        <w:spacing w:after="0" w:line="240" w:lineRule="auto"/>
        <w:rPr>
          <w:rFonts w:ascii="Times New Roman" w:eastAsia="Times New Roman" w:hAnsi="Times New Roman"/>
          <w:i/>
          <w:lang w:val="it-IT" w:eastAsia="ar-SA"/>
        </w:rPr>
      </w:pPr>
      <w:r>
        <w:rPr>
          <w:rFonts w:ascii="Times New Roman" w:eastAsia="Times New Roman" w:hAnsi="Times New Roman"/>
          <w:i/>
          <w:lang w:val="it-IT" w:eastAsia="ar-SA"/>
        </w:rPr>
        <w:t>Popolazione pediatrica</w:t>
      </w:r>
    </w:p>
    <w:p>
      <w:pPr>
        <w:widowControl w:val="0"/>
        <w:tabs>
          <w:tab w:val="center" w:pos="4536"/>
          <w:tab w:val="right" w:pos="9072"/>
        </w:tabs>
        <w:suppressAutoHyphens/>
        <w:autoSpaceDE w:val="0"/>
        <w:spacing w:after="0" w:line="240" w:lineRule="auto"/>
        <w:rPr>
          <w:rFonts w:ascii="Times New Roman" w:eastAsia="Times New Roman" w:hAnsi="Times New Roman"/>
          <w:lang w:val="it-IT" w:eastAsia="ar-SA"/>
        </w:rPr>
      </w:pPr>
    </w:p>
    <w:p>
      <w:pPr>
        <w:widowControl w:val="0"/>
        <w:suppressAutoHyphens/>
        <w:autoSpaceDE w:val="0"/>
        <w:spacing w:after="0" w:line="240" w:lineRule="auto"/>
        <w:rPr>
          <w:rFonts w:ascii="Times New Roman" w:eastAsia="Times New Roman" w:hAnsi="Times New Roman"/>
          <w:lang w:val="it-IT" w:eastAsia="ar-SA"/>
        </w:rPr>
      </w:pPr>
      <w:r>
        <w:rPr>
          <w:rFonts w:ascii="Times New Roman" w:eastAsia="Times New Roman" w:hAnsi="Times New Roman"/>
          <w:lang w:val="it-IT" w:eastAsia="ar-SA"/>
        </w:rPr>
        <w:t>In uno studio di dosaggi incrementali su 86 neonati o lattanti fino a 24 mesi di età a rischio di trombosi (PICOLO), il clopidogrel è stato valutato a dosi consecutive di 0,01, 0,1 e 0,2 mg / kg nei neonati e nei lattanti e di 0,15 mg / kg solo nei neonati. La dose di 0,2 mg / kg ha ottenuto l’inibizione percentuale media del 49,3% (aggregazione piastrinica indotta da 5μM di ADP), paragonabile a quella di adulti che avevano assunto clopidogrel 75 mg / die.</w:t>
      </w:r>
    </w:p>
    <w:p>
      <w:pPr>
        <w:widowControl w:val="0"/>
        <w:suppressAutoHyphens/>
        <w:autoSpaceDE w:val="0"/>
        <w:spacing w:after="0" w:line="240" w:lineRule="auto"/>
        <w:rPr>
          <w:rFonts w:ascii="Times New Roman" w:eastAsia="Times New Roman" w:hAnsi="Times New Roman"/>
          <w:lang w:val="it-IT" w:eastAsia="ar-SA"/>
        </w:rPr>
      </w:pPr>
    </w:p>
    <w:p>
      <w:pPr>
        <w:widowControl w:val="0"/>
        <w:suppressAutoHyphens/>
        <w:autoSpaceDE w:val="0"/>
        <w:spacing w:after="0" w:line="240" w:lineRule="auto"/>
        <w:rPr>
          <w:rFonts w:ascii="Times New Roman" w:eastAsia="Times New Roman" w:hAnsi="Times New Roman"/>
          <w:lang w:val="it-IT" w:eastAsia="ar-SA"/>
        </w:rPr>
      </w:pPr>
      <w:r>
        <w:rPr>
          <w:rFonts w:ascii="Times New Roman" w:eastAsia="Times New Roman" w:hAnsi="Times New Roman"/>
          <w:lang w:val="it-IT" w:eastAsia="ar-SA"/>
        </w:rPr>
        <w:t>In uno studio randomizzato, in doppio cieco, a gruppi paralleli (CLARINET), 906 pazienti in età pediatrica (neonati e lattanti), con cardiopatia congenita cianotica attenuata con uno shunt arterioso sistemico polmonare sono stati randomizzati a ricevere clopidogrel 0,2 mg / kg (n = 467) o placebo (n = 439) con concomitante terapia di base fino al momento della seconda fase chirurgica. Il tempo medio tra l’impianto dello shunt palliativo e la prima somministrazione del medicinale in studio è stato di 20 giorni. Circa l’88% dei pazienti ha ricevuto contemporaneamente ASA (tra 1 e 23 mg / kg / die). Non c’è stata differenza significativa tra i gruppi per l’endpoint primario composito di morte, trombosi dello shunt o intervento cardiaco correlato prima di 120 giorni di età a seguito di un evento considerato di natura trombotica (89 [19,1%] per il gruppo clopidogrel e 90 [20,5%] per il gruppo placebo) (vedere paragrafo 4.2). Il sanguinamento è stata la reazione avversa più frequentemente riportata in entrambi i gruppi clopidogrel e placebo, tuttavia, non c’è stata alcuna differenza significativa nel tasso di sanguinamento tra i gruppi. Nel follow-up relativo alla sicurezza a lungo termine di questo studio, 26 pazienti con shunt ancora posizionato ad un anno di età hanno ricevuto clopidogrel fino a 18 mesi di età. Nessun problema di sicurezza è stato notato nel corso di questo lungo periodo di follow-up.</w:t>
      </w:r>
    </w:p>
    <w:p>
      <w:pPr>
        <w:widowControl w:val="0"/>
        <w:tabs>
          <w:tab w:val="center" w:pos="4536"/>
          <w:tab w:val="right" w:pos="9072"/>
        </w:tabs>
        <w:suppressAutoHyphens/>
        <w:autoSpaceDE w:val="0"/>
        <w:spacing w:after="0" w:line="240" w:lineRule="auto"/>
        <w:rPr>
          <w:rFonts w:ascii="Times New Roman" w:eastAsia="Times New Roman" w:hAnsi="Times New Roman"/>
          <w:lang w:val="it-IT" w:eastAsia="ar-SA"/>
        </w:rPr>
      </w:pPr>
    </w:p>
    <w:p>
      <w:pPr>
        <w:widowControl w:val="0"/>
        <w:tabs>
          <w:tab w:val="center" w:pos="4536"/>
          <w:tab w:val="right" w:pos="9072"/>
        </w:tabs>
        <w:suppressAutoHyphens/>
        <w:autoSpaceDE w:val="0"/>
        <w:spacing w:after="0" w:line="240" w:lineRule="auto"/>
        <w:rPr>
          <w:rFonts w:ascii="Times New Roman" w:eastAsia="Times New Roman" w:hAnsi="Times New Roman"/>
          <w:lang w:val="it-IT" w:eastAsia="ar-SA"/>
        </w:rPr>
      </w:pPr>
      <w:r>
        <w:rPr>
          <w:rFonts w:ascii="Times New Roman" w:eastAsia="Times New Roman" w:hAnsi="Times New Roman"/>
          <w:lang w:val="it-IT" w:eastAsia="ar-SA"/>
        </w:rPr>
        <w:t>Gli studi CLARINET e PICOLO sono stati condotti usando una soluzione costituita di clopidogrel. In uno studio di biodisponibilità relativa negli adulti, la soluzione costituita di clopidogrel ha mostrato un grado di assorbimento paragonabile e una velocità di assorbimento del principale metabolita circolante (inattivo) leggermente più elevata rispetto alla compressa autorizzata.</w:t>
      </w:r>
    </w:p>
    <w:p>
      <w:pPr>
        <w:widowControl w:val="0"/>
        <w:shd w:val="clear" w:color="auto" w:fill="FFFFFF"/>
        <w:suppressAutoHyphens/>
        <w:autoSpaceDE w:val="0"/>
        <w:spacing w:after="0" w:line="240" w:lineRule="auto"/>
        <w:rPr>
          <w:rFonts w:ascii="Times New Roman" w:eastAsia="Times New Roman" w:hAnsi="Times New Roman"/>
          <w:color w:val="000000"/>
          <w:spacing w:val="-1"/>
          <w:lang w:val="it-IT" w:eastAsia="ar-SA"/>
        </w:rPr>
      </w:pPr>
    </w:p>
    <w:p>
      <w:pPr>
        <w:widowControl w:val="0"/>
        <w:shd w:val="clear" w:color="auto" w:fill="FFFFFF"/>
        <w:tabs>
          <w:tab w:val="left" w:pos="567"/>
        </w:tabs>
        <w:suppressAutoHyphens/>
        <w:autoSpaceDE w:val="0"/>
        <w:spacing w:after="0" w:line="240" w:lineRule="auto"/>
        <w:rPr>
          <w:rFonts w:ascii="Times New Roman" w:eastAsia="Times New Roman" w:hAnsi="Times New Roman"/>
          <w:b/>
          <w:bCs/>
          <w:color w:val="000000"/>
          <w:spacing w:val="1"/>
          <w:lang w:val="it-IT" w:eastAsia="ar-SA"/>
        </w:rPr>
      </w:pPr>
      <w:r>
        <w:rPr>
          <w:rFonts w:ascii="Times New Roman" w:eastAsia="Times New Roman" w:hAnsi="Times New Roman"/>
          <w:b/>
          <w:bCs/>
          <w:color w:val="000000"/>
          <w:spacing w:val="1"/>
          <w:lang w:val="it-IT" w:eastAsia="ar-SA"/>
        </w:rPr>
        <w:t>5.2</w:t>
      </w:r>
      <w:r>
        <w:rPr>
          <w:rFonts w:ascii="Times New Roman" w:eastAsia="Times New Roman" w:hAnsi="Times New Roman"/>
          <w:b/>
          <w:bCs/>
          <w:color w:val="000000"/>
          <w:spacing w:val="1"/>
          <w:lang w:val="it-IT" w:eastAsia="ar-SA"/>
        </w:rPr>
        <w:tab/>
        <w:t>Proprietà farmacocinetiche</w:t>
      </w:r>
    </w:p>
    <w:p>
      <w:pPr>
        <w:widowControl w:val="0"/>
        <w:shd w:val="clear" w:color="auto" w:fill="FFFFFF"/>
        <w:suppressAutoHyphens/>
        <w:autoSpaceDE w:val="0"/>
        <w:spacing w:after="0" w:line="240" w:lineRule="auto"/>
        <w:rPr>
          <w:rFonts w:ascii="Times New Roman" w:eastAsia="Times New Roman" w:hAnsi="Times New Roman"/>
          <w:color w:val="000000"/>
          <w:lang w:val="it-IT" w:eastAsia="ar-SA"/>
        </w:rPr>
      </w:pPr>
    </w:p>
    <w:p>
      <w:pPr>
        <w:widowControl w:val="0"/>
        <w:suppressAutoHyphens/>
        <w:autoSpaceDE w:val="0"/>
        <w:spacing w:after="0" w:line="240" w:lineRule="auto"/>
        <w:rPr>
          <w:rFonts w:ascii="Times New Roman" w:eastAsia="Times New Roman" w:hAnsi="Times New Roman"/>
          <w:i/>
          <w:lang w:val="it-IT" w:eastAsia="ar-SA"/>
        </w:rPr>
      </w:pPr>
      <w:r>
        <w:rPr>
          <w:rFonts w:ascii="Times New Roman" w:eastAsia="Times New Roman" w:hAnsi="Times New Roman"/>
          <w:i/>
          <w:lang w:val="it-IT" w:eastAsia="ar-SA"/>
        </w:rPr>
        <w:t>Assorbimento</w:t>
      </w:r>
    </w:p>
    <w:p>
      <w:pPr>
        <w:widowControl w:val="0"/>
        <w:suppressAutoHyphens/>
        <w:autoSpaceDE w:val="0"/>
        <w:spacing w:after="0" w:line="240" w:lineRule="auto"/>
        <w:rPr>
          <w:rFonts w:ascii="Times New Roman" w:eastAsia="Times New Roman" w:hAnsi="Times New Roman"/>
          <w:lang w:val="it-IT" w:eastAsia="ar-SA"/>
        </w:rPr>
      </w:pPr>
      <w:r>
        <w:rPr>
          <w:rFonts w:ascii="Times New Roman" w:eastAsia="Times New Roman" w:hAnsi="Times New Roman"/>
          <w:lang w:val="it-IT" w:eastAsia="ar-SA"/>
        </w:rPr>
        <w:t>Dopo dosi orali singole e ripetute di 75 mg/die, clopidogrel viene rapidamente assorbito. Il picco dei livelli plasmatici del farmaco come tale (circa 2,2-2,5 ng/ml dopo una singola dose orale di 75 mg) si verifica 45 minuti circa dopo la somministrazione. L'assorbimento è almeno del 50% sulla base dell’escrezione urinaria dei metaboliti di clopidogrel.</w:t>
      </w:r>
    </w:p>
    <w:p>
      <w:pPr>
        <w:widowControl w:val="0"/>
        <w:suppressAutoHyphens/>
        <w:autoSpaceDE w:val="0"/>
        <w:spacing w:after="0" w:line="240" w:lineRule="auto"/>
        <w:rPr>
          <w:rFonts w:ascii="Times New Roman" w:eastAsia="Times New Roman" w:hAnsi="Times New Roman"/>
          <w:lang w:val="it-IT" w:eastAsia="ar-SA"/>
        </w:rPr>
      </w:pPr>
    </w:p>
    <w:p>
      <w:pPr>
        <w:widowControl w:val="0"/>
        <w:suppressAutoHyphens/>
        <w:autoSpaceDE w:val="0"/>
        <w:spacing w:after="0" w:line="240" w:lineRule="auto"/>
        <w:rPr>
          <w:rFonts w:ascii="Times New Roman" w:eastAsia="Times New Roman" w:hAnsi="Times New Roman"/>
          <w:i/>
          <w:lang w:val="it-IT" w:eastAsia="ar-SA"/>
        </w:rPr>
      </w:pPr>
      <w:r>
        <w:rPr>
          <w:rFonts w:ascii="Times New Roman" w:eastAsia="Times New Roman" w:hAnsi="Times New Roman"/>
          <w:i/>
          <w:lang w:val="it-IT" w:eastAsia="ar-SA"/>
        </w:rPr>
        <w:t>Distribuzione</w:t>
      </w:r>
    </w:p>
    <w:p>
      <w:pPr>
        <w:widowControl w:val="0"/>
        <w:suppressAutoHyphens/>
        <w:autoSpaceDE w:val="0"/>
        <w:spacing w:after="0" w:line="240" w:lineRule="auto"/>
        <w:rPr>
          <w:rFonts w:ascii="Times New Roman" w:eastAsia="Times New Roman" w:hAnsi="Times New Roman"/>
          <w:lang w:val="it-IT" w:eastAsia="ar-SA"/>
        </w:rPr>
      </w:pPr>
      <w:r>
        <w:rPr>
          <w:rFonts w:ascii="Times New Roman" w:eastAsia="Times New Roman" w:hAnsi="Times New Roman"/>
          <w:i/>
          <w:iCs/>
          <w:lang w:val="it-IT" w:eastAsia="ar-SA"/>
        </w:rPr>
        <w:t>In vitr</w:t>
      </w:r>
      <w:r>
        <w:rPr>
          <w:rFonts w:ascii="Times New Roman" w:eastAsia="Times New Roman" w:hAnsi="Times New Roman"/>
          <w:lang w:val="it-IT" w:eastAsia="ar-SA"/>
        </w:rPr>
        <w:t xml:space="preserve">o, clopidogrel ed il suo principale metabolita (inattivo) si legano in modo reversibile alle proteine plasmatiche umane (98% e 94%, rispettivamente). Il legame non è saturabile </w:t>
      </w:r>
      <w:r>
        <w:rPr>
          <w:rFonts w:ascii="Times New Roman" w:eastAsia="Times New Roman" w:hAnsi="Times New Roman"/>
          <w:i/>
          <w:iCs/>
          <w:lang w:val="it-IT" w:eastAsia="ar-SA"/>
        </w:rPr>
        <w:t xml:space="preserve">in vitro </w:t>
      </w:r>
      <w:r>
        <w:rPr>
          <w:rFonts w:ascii="Times New Roman" w:eastAsia="Times New Roman" w:hAnsi="Times New Roman"/>
          <w:lang w:val="it-IT" w:eastAsia="ar-SA"/>
        </w:rPr>
        <w:t>entro un ampio intervallo di concentrazioni.</w:t>
      </w:r>
    </w:p>
    <w:p>
      <w:pPr>
        <w:widowControl w:val="0"/>
        <w:suppressAutoHyphens/>
        <w:autoSpaceDE w:val="0"/>
        <w:spacing w:after="0" w:line="240" w:lineRule="auto"/>
        <w:rPr>
          <w:rFonts w:ascii="Times New Roman" w:eastAsia="Times New Roman" w:hAnsi="Times New Roman"/>
          <w:lang w:val="it-IT" w:eastAsia="ar-SA"/>
        </w:rPr>
      </w:pPr>
    </w:p>
    <w:p>
      <w:pPr>
        <w:tabs>
          <w:tab w:val="left" w:pos="567"/>
        </w:tabs>
        <w:spacing w:after="0" w:line="240" w:lineRule="auto"/>
        <w:rPr>
          <w:rFonts w:ascii="Times New Roman" w:eastAsia="Times New Roman" w:hAnsi="Times New Roman"/>
          <w:i/>
          <w:lang w:val="it-IT"/>
        </w:rPr>
      </w:pPr>
      <w:r>
        <w:rPr>
          <w:rFonts w:ascii="Times New Roman" w:eastAsia="Times New Roman" w:hAnsi="Times New Roman"/>
          <w:i/>
          <w:lang w:val="it-IT"/>
        </w:rPr>
        <w:t>Biotrasformazione</w:t>
      </w:r>
    </w:p>
    <w:p>
      <w:pPr>
        <w:widowControl w:val="0"/>
        <w:suppressAutoHyphens/>
        <w:autoSpaceDE w:val="0"/>
        <w:spacing w:after="0" w:line="240" w:lineRule="auto"/>
        <w:rPr>
          <w:rFonts w:ascii="Times New Roman" w:eastAsia="Times New Roman" w:hAnsi="Times New Roman"/>
          <w:lang w:val="it-IT" w:eastAsia="ar-SA"/>
        </w:rPr>
      </w:pPr>
      <w:r>
        <w:rPr>
          <w:rFonts w:ascii="Times New Roman" w:eastAsia="Times New Roman" w:hAnsi="Times New Roman"/>
          <w:lang w:val="it-IT" w:eastAsia="ar-SA"/>
        </w:rPr>
        <w:t xml:space="preserve">Clopidogrel è ampiamente metabolizzato dal fegato. </w:t>
      </w:r>
      <w:r>
        <w:rPr>
          <w:rFonts w:ascii="Times New Roman" w:eastAsia="Times New Roman" w:hAnsi="Times New Roman"/>
          <w:i/>
          <w:lang w:val="it-IT" w:eastAsia="ar-SA"/>
        </w:rPr>
        <w:t>In vitro</w:t>
      </w:r>
      <w:r>
        <w:rPr>
          <w:rFonts w:ascii="Times New Roman" w:eastAsia="Times New Roman" w:hAnsi="Times New Roman"/>
          <w:lang w:val="it-IT" w:eastAsia="ar-SA"/>
        </w:rPr>
        <w:t xml:space="preserve"> e </w:t>
      </w:r>
      <w:r>
        <w:rPr>
          <w:rFonts w:ascii="Times New Roman" w:eastAsia="Times New Roman" w:hAnsi="Times New Roman"/>
          <w:i/>
          <w:lang w:val="it-IT" w:eastAsia="ar-SA"/>
        </w:rPr>
        <w:t>in vivo</w:t>
      </w:r>
      <w:r>
        <w:rPr>
          <w:rFonts w:ascii="Times New Roman" w:eastAsia="Times New Roman" w:hAnsi="Times New Roman"/>
          <w:lang w:val="it-IT" w:eastAsia="ar-SA"/>
        </w:rPr>
        <w:t xml:space="preserve">, clopidogrel è metabolizzato secondo due vie metaboliche principali: una mediata dalle esterasi che porta all’idrolisi nel suo derivato carbossilico acido inattivo (85% dei metaboliti circolanti), e una mediata da molteplici citocromi P450. Clopidogrel è dapprima metabolizzato al metabolita intermedio 2-oxo-clopidogrel. La successiva trasformazione del metabolita intermedio 2-oxo-clopidogrel porta alla formazione del metabolita attivo, un derivato tiolico del clopidogrel. Il metabolita attivo si forma principalmente per azione del CYP2C19 con il contributo di diversi altri enzimi, tra cui CYP1A2, CYP2B6 e CYP3A4. Il metabolita tiolico attivo che è stato isolato </w:t>
      </w:r>
      <w:r>
        <w:rPr>
          <w:rFonts w:ascii="Times New Roman" w:eastAsia="Times New Roman" w:hAnsi="Times New Roman"/>
          <w:i/>
          <w:iCs/>
          <w:lang w:val="it-IT" w:eastAsia="ar-SA"/>
        </w:rPr>
        <w:t>in vitr</w:t>
      </w:r>
      <w:r>
        <w:rPr>
          <w:rFonts w:ascii="Times New Roman" w:eastAsia="Times New Roman" w:hAnsi="Times New Roman"/>
          <w:lang w:val="it-IT" w:eastAsia="ar-SA"/>
        </w:rPr>
        <w:t>o, si lega rapidamente ed irreversibilmente ai recettori piastrinici, con conseguente inibizione dell’aggregazione piastrinica.</w:t>
      </w:r>
    </w:p>
    <w:p>
      <w:pPr>
        <w:widowControl w:val="0"/>
        <w:suppressAutoHyphens/>
        <w:autoSpaceDE w:val="0"/>
        <w:spacing w:after="0" w:line="240" w:lineRule="auto"/>
        <w:rPr>
          <w:rFonts w:ascii="Times New Roman" w:eastAsia="Times New Roman" w:hAnsi="Times New Roman"/>
          <w:lang w:val="it-IT" w:eastAsia="ar-SA"/>
        </w:rPr>
      </w:pPr>
    </w:p>
    <w:p>
      <w:pPr>
        <w:widowControl w:val="0"/>
        <w:suppressAutoHyphens/>
        <w:autoSpaceDE w:val="0"/>
        <w:spacing w:after="0" w:line="240" w:lineRule="auto"/>
        <w:rPr>
          <w:rFonts w:ascii="Times New Roman" w:eastAsia="Times New Roman" w:hAnsi="Times New Roman"/>
          <w:lang w:val="it-IT" w:eastAsia="ar-SA"/>
        </w:rPr>
      </w:pPr>
      <w:r>
        <w:rPr>
          <w:rFonts w:ascii="Times New Roman" w:eastAsia="Times New Roman" w:hAnsi="Times New Roman"/>
          <w:lang w:val="it-IT" w:eastAsia="ar-SA"/>
        </w:rPr>
        <w:t>Dopo somministrazione di una singola dose di carico da 300 mg di clopidogrel, la C</w:t>
      </w:r>
      <w:r>
        <w:rPr>
          <w:rFonts w:ascii="Times New Roman" w:eastAsia="Times New Roman" w:hAnsi="Times New Roman"/>
          <w:vertAlign w:val="subscript"/>
          <w:lang w:val="it-IT" w:eastAsia="ar-SA"/>
        </w:rPr>
        <w:t xml:space="preserve">max </w:t>
      </w:r>
      <w:r>
        <w:rPr>
          <w:rFonts w:ascii="Times New Roman" w:eastAsia="Times New Roman" w:hAnsi="Times New Roman"/>
          <w:lang w:val="it-IT" w:eastAsia="ar-SA"/>
        </w:rPr>
        <w:t>del metabolita attivo è risultata due volte superiore a quella dopo somministrazione della dose di mantenimento di 75 mg per la durata di 4 giorni. La C</w:t>
      </w:r>
      <w:r>
        <w:rPr>
          <w:rFonts w:ascii="Times New Roman" w:eastAsia="Times New Roman" w:hAnsi="Times New Roman"/>
          <w:vertAlign w:val="subscript"/>
          <w:lang w:val="it-IT" w:eastAsia="ar-SA"/>
        </w:rPr>
        <w:t>max</w:t>
      </w:r>
      <w:r>
        <w:rPr>
          <w:rFonts w:ascii="Times New Roman" w:eastAsia="Times New Roman" w:hAnsi="Times New Roman"/>
          <w:lang w:val="it-IT" w:eastAsia="ar-SA"/>
        </w:rPr>
        <w:t xml:space="preserve"> si osserva approssimativamente tra 30 e 60 minuti dalla somministrazione.</w:t>
      </w:r>
    </w:p>
    <w:p>
      <w:pPr>
        <w:widowControl w:val="0"/>
        <w:suppressAutoHyphens/>
        <w:autoSpaceDE w:val="0"/>
        <w:spacing w:after="0" w:line="240" w:lineRule="auto"/>
        <w:ind w:firstLine="567"/>
        <w:rPr>
          <w:rFonts w:ascii="Times New Roman" w:eastAsia="Times New Roman" w:hAnsi="Times New Roman"/>
          <w:lang w:val="it-IT" w:eastAsia="ar-SA"/>
        </w:rPr>
      </w:pPr>
    </w:p>
    <w:p>
      <w:pPr>
        <w:widowControl w:val="0"/>
        <w:suppressAutoHyphens/>
        <w:autoSpaceDE w:val="0"/>
        <w:spacing w:after="0" w:line="240" w:lineRule="auto"/>
        <w:rPr>
          <w:rFonts w:ascii="Times New Roman" w:eastAsia="Times New Roman" w:hAnsi="Times New Roman"/>
          <w:i/>
          <w:lang w:val="it-IT" w:eastAsia="ar-SA"/>
        </w:rPr>
      </w:pPr>
      <w:r>
        <w:rPr>
          <w:rFonts w:ascii="Times New Roman" w:eastAsia="Times New Roman" w:hAnsi="Times New Roman"/>
          <w:i/>
          <w:lang w:val="it-IT" w:eastAsia="ar-SA"/>
        </w:rPr>
        <w:t>Eliminazione</w:t>
      </w:r>
    </w:p>
    <w:p>
      <w:pPr>
        <w:widowControl w:val="0"/>
        <w:suppressAutoHyphens/>
        <w:autoSpaceDE w:val="0"/>
        <w:spacing w:after="0" w:line="240" w:lineRule="auto"/>
        <w:rPr>
          <w:rFonts w:ascii="Times New Roman" w:eastAsia="Times New Roman" w:hAnsi="Times New Roman"/>
          <w:lang w:val="it-IT" w:eastAsia="ar-SA"/>
        </w:rPr>
      </w:pPr>
      <w:r>
        <w:rPr>
          <w:rFonts w:ascii="Times New Roman" w:eastAsia="Times New Roman" w:hAnsi="Times New Roman"/>
          <w:lang w:val="it-IT" w:eastAsia="ar-SA"/>
        </w:rPr>
        <w:t xml:space="preserve">Nell’uomo dopo una dose orale di clopidogrel marcato con </w:t>
      </w:r>
      <w:r>
        <w:rPr>
          <w:rFonts w:ascii="Times New Roman" w:eastAsia="Times New Roman" w:hAnsi="Times New Roman"/>
          <w:vertAlign w:val="superscript"/>
          <w:lang w:val="it-IT" w:eastAsia="ar-SA"/>
        </w:rPr>
        <w:t>14</w:t>
      </w:r>
      <w:r>
        <w:rPr>
          <w:rFonts w:ascii="Times New Roman" w:eastAsia="Times New Roman" w:hAnsi="Times New Roman"/>
          <w:lang w:val="it-IT" w:eastAsia="ar-SA"/>
        </w:rPr>
        <w:t>C, circa il 50% viene escreto nelle urine e circa il 46% nelle feci entro 120 ore dalla somministrazione. Dopo una dose singola di 75 mg, clopidogrel ha un’emivita di circa 6 ore. L’emivita di eliminazione del principale metabolita circolante (inattivo) è di otto ore sia dopo somministrazione di dose singola che ripetuta.</w:t>
      </w:r>
    </w:p>
    <w:p>
      <w:pPr>
        <w:widowControl w:val="0"/>
        <w:suppressAutoHyphens/>
        <w:autoSpaceDE w:val="0"/>
        <w:spacing w:after="0" w:line="240" w:lineRule="auto"/>
        <w:rPr>
          <w:rFonts w:ascii="Times New Roman" w:eastAsia="Times New Roman" w:hAnsi="Times New Roman"/>
          <w:lang w:val="it-IT" w:eastAsia="ar-SA"/>
        </w:rPr>
      </w:pPr>
    </w:p>
    <w:p>
      <w:pPr>
        <w:widowControl w:val="0"/>
        <w:suppressAutoHyphens/>
        <w:autoSpaceDE w:val="0"/>
        <w:spacing w:after="0" w:line="240" w:lineRule="auto"/>
        <w:rPr>
          <w:rFonts w:ascii="Times New Roman" w:eastAsia="Times New Roman" w:hAnsi="Times New Roman"/>
          <w:i/>
          <w:lang w:val="it-IT" w:eastAsia="ar-SA"/>
        </w:rPr>
      </w:pPr>
      <w:r>
        <w:rPr>
          <w:rFonts w:ascii="Times New Roman" w:eastAsia="Times New Roman" w:hAnsi="Times New Roman"/>
          <w:i/>
          <w:lang w:val="it-IT" w:eastAsia="ar-SA"/>
        </w:rPr>
        <w:t>Farmacogenetica</w:t>
      </w:r>
    </w:p>
    <w:p>
      <w:pPr>
        <w:widowControl w:val="0"/>
        <w:suppressAutoHyphens/>
        <w:autoSpaceDE w:val="0"/>
        <w:spacing w:after="0" w:line="240" w:lineRule="auto"/>
        <w:rPr>
          <w:rFonts w:ascii="Times New Roman" w:eastAsia="Times New Roman" w:hAnsi="Times New Roman"/>
          <w:lang w:val="it-IT" w:eastAsia="ar-SA"/>
        </w:rPr>
      </w:pPr>
      <w:r>
        <w:rPr>
          <w:rFonts w:ascii="Times New Roman" w:eastAsia="Times New Roman" w:hAnsi="Times New Roman"/>
          <w:lang w:val="it-IT" w:eastAsia="ar-SA"/>
        </w:rPr>
        <w:t xml:space="preserve">Il CYP2C19 è coinvolto nella formazione sia del metabolita attivo che del metabolita intermedio 2-oxo-clopidogrel. La farmacocinetica del metabolita attivo di clopidogrel e gli effetti antipiastrinici, misurati con metodiche di aggregazione piastrinica </w:t>
      </w:r>
      <w:r>
        <w:rPr>
          <w:rFonts w:ascii="Times New Roman" w:eastAsia="Times New Roman" w:hAnsi="Times New Roman"/>
          <w:i/>
          <w:lang w:val="it-IT" w:eastAsia="ar-SA"/>
        </w:rPr>
        <w:t>ex-vivo</w:t>
      </w:r>
      <w:r>
        <w:rPr>
          <w:rFonts w:ascii="Times New Roman" w:eastAsia="Times New Roman" w:hAnsi="Times New Roman"/>
          <w:lang w:val="it-IT" w:eastAsia="ar-SA"/>
        </w:rPr>
        <w:t>, variano a seconda del genotipo del CYP2C19. L’allele CYP2C19*1 è responsabile di un metabolismo pienamente funzionante mentre gli alleli CYP2C19*2 e CYP2C19*3 non sono funzionanti. Gli alleli CYP2C19*2 e CYP2C19*3 costituiscono la maggior parte degli alleli a ridotta funzionalità nei metabolizzatori lenti caucasici (85%) e negli asiatici (99%). Altri alleli associati ad un metabolismo assente o ridotto sono meno frequenti e includono CYP2C19*4, *5, *6, *7 e *8. Un soggetto metabolizzatore lento possiederà due alleli non funzionanti come riportato sopra. Le frequenze pubblicate per i genotipi del CYP2C19 appartenenti a metabolizzatori lenti sono approssimativamente del 2% per i caucasici, 4% per i neri e 14% per i cinesi. Sono disponibili dei test per identificare il genotipo CYP2C19 di un paziente.</w:t>
      </w:r>
    </w:p>
    <w:p>
      <w:pPr>
        <w:widowControl w:val="0"/>
        <w:suppressAutoHyphens/>
        <w:autoSpaceDE w:val="0"/>
        <w:spacing w:after="0" w:line="240" w:lineRule="auto"/>
        <w:rPr>
          <w:rFonts w:ascii="Times New Roman" w:eastAsia="Times New Roman" w:hAnsi="Times New Roman"/>
          <w:lang w:val="it-IT" w:eastAsia="ar-SA"/>
        </w:rPr>
      </w:pPr>
    </w:p>
    <w:p>
      <w:pPr>
        <w:widowControl w:val="0"/>
        <w:suppressAutoHyphens/>
        <w:autoSpaceDE w:val="0"/>
        <w:spacing w:after="0" w:line="240" w:lineRule="auto"/>
        <w:rPr>
          <w:rFonts w:ascii="Times New Roman" w:eastAsia="Times New Roman" w:hAnsi="Times New Roman"/>
          <w:lang w:val="it-IT" w:eastAsia="ar-SA"/>
        </w:rPr>
      </w:pPr>
      <w:r>
        <w:rPr>
          <w:rFonts w:ascii="Times New Roman" w:eastAsia="Times New Roman" w:hAnsi="Times New Roman"/>
          <w:lang w:val="it-IT" w:eastAsia="ar-SA"/>
        </w:rPr>
        <w:t>Uno studio cross-over su 40 soggetti sani,10 soggetti per ciascuno dei 4 gruppi metabolizzatori del CYP2C19 (ultrarapido, estensivo, intermedio e lento), ha valutato la risposta farmacocinetica e antipiastrinica utilizzando clopidogrel 300 mg seguito da 75 mg/die e 600 mg seguito da 150mg/die per una durata di 5 giorni (stato stazionario) per ciascun gruppo. Non sono state rilevate differenze sostanziali nell’esposizione al metabolita attivo e nell’inibizione media dell’aggregazione piastrinica (IPA) tra i soggetti metabolizzatori ultrarapidi, estensivi ed intermedi. Nei soggetti metabolizzatori lenti, l’esposizione al metabolita attivo è diminuita del 63-71% rispetto ai metabolizzatori estensivi. La risposta antipiastrinica in seguito a un regime posologico di 300 mg/75 mg di clopidogrel, era diminuita nei soggetti metabolizzatori lenti con IPA media (5 μM ADP) del 24% (24 ore) e del 37% (giorno 5) rispetto all’IPA riscontrata nei metabolizzatori estensivi del 39% (24 ore) e del 58% (giorno 5) e a quella osservata nei metabolizzatori intermedi del 37% (24 ore) e del 60% (giorno 5). Quando i metabolizzatori lenti hanno ricevuto un regime posologico di 600 mg/150 mg, l’esposizione al metabolita attivo è stata superiore rispetto all’esposizione riscontrata nel gruppo trattato con clopidogrel 300 mg/75 mg. Inoltre, l’IPA è stata del 32% (24 ore) e del 61% (giorno 5), un valore superiore a quello osservato nel gruppo di metabolizzatori lenti trattati con un regime posologico di 300 mg/75 mg ed è stata simile a quella degli altri gruppi di metabolizzatori del CYP2C19 trattati con un regime posologico di 300 mg/75 mg. I risultati provenienti dagli studi clinici non hanno stabilito un dosaggio appropriato per questa popolazione di pazienti.</w:t>
      </w:r>
    </w:p>
    <w:p>
      <w:pPr>
        <w:widowControl w:val="0"/>
        <w:suppressAutoHyphens/>
        <w:autoSpaceDE w:val="0"/>
        <w:spacing w:after="0" w:line="240" w:lineRule="auto"/>
        <w:rPr>
          <w:rFonts w:ascii="Times New Roman" w:eastAsia="Times New Roman" w:hAnsi="Times New Roman"/>
          <w:lang w:val="it-IT" w:eastAsia="ar-SA"/>
        </w:rPr>
      </w:pPr>
    </w:p>
    <w:p>
      <w:pPr>
        <w:widowControl w:val="0"/>
        <w:suppressAutoHyphens/>
        <w:autoSpaceDE w:val="0"/>
        <w:spacing w:after="0" w:line="240" w:lineRule="auto"/>
        <w:rPr>
          <w:rFonts w:ascii="Times New Roman" w:eastAsia="Times New Roman" w:hAnsi="Times New Roman"/>
          <w:lang w:val="it-IT" w:eastAsia="ar-SA"/>
        </w:rPr>
      </w:pPr>
      <w:r>
        <w:rPr>
          <w:rFonts w:ascii="Times New Roman" w:eastAsia="Times New Roman" w:hAnsi="Times New Roman"/>
          <w:lang w:val="it-IT" w:eastAsia="ar-SA"/>
        </w:rPr>
        <w:t>In accordo ai risultati sopra riportati, una meta-analisi che comprendeva 6 studi per un totale di 335 soggetti trattati con clopidogrel allo stato stazionario, ha mostrato una diminuzione dell’esposizione al metabolita attivo del 28% per i metabolizzatori intermedi e del 72% per i metabolizzatori lenti mentre l’inibizione dell’aggregazione piastrinica (5 μM ADP) era diminuita con differenze nell’IPA del 5,9% e del 21,4% rispettivamente in confronto ai metabolizzatori estensivi.</w:t>
      </w:r>
    </w:p>
    <w:p>
      <w:pPr>
        <w:widowControl w:val="0"/>
        <w:suppressAutoHyphens/>
        <w:autoSpaceDE w:val="0"/>
        <w:spacing w:after="0" w:line="240" w:lineRule="auto"/>
        <w:rPr>
          <w:rFonts w:ascii="Times New Roman" w:eastAsia="Times New Roman" w:hAnsi="Times New Roman"/>
          <w:lang w:val="it-IT" w:eastAsia="ar-SA"/>
        </w:rPr>
      </w:pPr>
    </w:p>
    <w:p>
      <w:pPr>
        <w:widowControl w:val="0"/>
        <w:suppressAutoHyphens/>
        <w:autoSpaceDE w:val="0"/>
        <w:spacing w:after="0" w:line="240" w:lineRule="auto"/>
        <w:rPr>
          <w:rFonts w:ascii="Times New Roman" w:eastAsia="Times New Roman" w:hAnsi="Times New Roman"/>
          <w:lang w:val="it-IT" w:eastAsia="ar-SA"/>
        </w:rPr>
      </w:pPr>
      <w:r>
        <w:rPr>
          <w:rFonts w:ascii="Times New Roman" w:eastAsia="Times New Roman" w:hAnsi="Times New Roman"/>
          <w:lang w:val="it-IT" w:eastAsia="ar-SA"/>
        </w:rPr>
        <w:t>L’influenza del genotipo CYP2C19 sui risultati clinici nei pazienti trattati con clopidogrel non è stata valutata in studi clinici prospettici, randomizzati e controllati. Tuttavia, esiste un certo numero di analisi retrospettive al fine di valutare questo effetto nei pazienti trattati con clopidogrel per i quali esistono risultati sul genotipo: CURE (n=2721), CHARISMA (n=2428), CLARITY-TIMI 28 (N=227), TRITON-TIMI 38 (N=1477) e ACTIVE-A (n=601), ed un certo numero di studi di coorte pubblicati.</w:t>
      </w:r>
    </w:p>
    <w:p>
      <w:pPr>
        <w:widowControl w:val="0"/>
        <w:suppressAutoHyphens/>
        <w:autoSpaceDE w:val="0"/>
        <w:spacing w:after="0" w:line="240" w:lineRule="auto"/>
        <w:rPr>
          <w:rFonts w:ascii="Times New Roman" w:eastAsia="Times New Roman" w:hAnsi="Times New Roman"/>
          <w:lang w:val="it-IT" w:eastAsia="ar-SA"/>
        </w:rPr>
      </w:pPr>
    </w:p>
    <w:p>
      <w:pPr>
        <w:widowControl w:val="0"/>
        <w:suppressAutoHyphens/>
        <w:autoSpaceDE w:val="0"/>
        <w:spacing w:after="0" w:line="240" w:lineRule="auto"/>
        <w:rPr>
          <w:rFonts w:ascii="Times New Roman" w:eastAsia="Times New Roman" w:hAnsi="Times New Roman"/>
          <w:lang w:val="it-IT" w:eastAsia="ar-SA"/>
        </w:rPr>
      </w:pPr>
      <w:r>
        <w:rPr>
          <w:rFonts w:ascii="Times New Roman" w:eastAsia="Times New Roman" w:hAnsi="Times New Roman"/>
          <w:lang w:val="it-IT" w:eastAsia="ar-SA"/>
        </w:rPr>
        <w:t>Nello studio TRITON-TIMI 38 ed in 3 studi di coorte (Collet, Sibbing, Giusti) il gruppo combinato di pazienti metabolizzatori sia intermedi che lenti ha riportato un’incidenza maggiore di eventi cardiovascolari (morte, infarto del miocardio e ictus) o trombosi da stent rispetto ai metabolizzatori estensivi.</w:t>
      </w:r>
    </w:p>
    <w:p>
      <w:pPr>
        <w:widowControl w:val="0"/>
        <w:suppressAutoHyphens/>
        <w:autoSpaceDE w:val="0"/>
        <w:spacing w:after="0" w:line="240" w:lineRule="auto"/>
        <w:rPr>
          <w:rFonts w:ascii="Times New Roman" w:eastAsia="Times New Roman" w:hAnsi="Times New Roman"/>
          <w:lang w:val="it-IT" w:eastAsia="ar-SA"/>
        </w:rPr>
      </w:pPr>
    </w:p>
    <w:p>
      <w:pPr>
        <w:widowControl w:val="0"/>
        <w:suppressAutoHyphens/>
        <w:autoSpaceDE w:val="0"/>
        <w:spacing w:after="0" w:line="240" w:lineRule="auto"/>
        <w:rPr>
          <w:rFonts w:ascii="Times New Roman" w:eastAsia="Times New Roman" w:hAnsi="Times New Roman"/>
          <w:lang w:val="it-IT" w:eastAsia="ar-SA"/>
        </w:rPr>
      </w:pPr>
      <w:r>
        <w:rPr>
          <w:rFonts w:ascii="Times New Roman" w:eastAsia="Times New Roman" w:hAnsi="Times New Roman"/>
          <w:lang w:val="it-IT" w:eastAsia="ar-SA"/>
        </w:rPr>
        <w:t>Nello studio CHARISMA e in uno studio di coorte (Simon) si è osservato un aumento dell’incidenza di eventi solo nei soggetti metabolizzatori lenti rispetto ai metabolizzatori estensivi.</w:t>
      </w:r>
    </w:p>
    <w:p>
      <w:pPr>
        <w:widowControl w:val="0"/>
        <w:suppressAutoHyphens/>
        <w:autoSpaceDE w:val="0"/>
        <w:spacing w:after="0" w:line="240" w:lineRule="auto"/>
        <w:rPr>
          <w:rFonts w:ascii="Times New Roman" w:eastAsia="Times New Roman" w:hAnsi="Times New Roman"/>
          <w:lang w:val="it-IT" w:eastAsia="ar-SA"/>
        </w:rPr>
      </w:pPr>
    </w:p>
    <w:p>
      <w:pPr>
        <w:widowControl w:val="0"/>
        <w:suppressAutoHyphens/>
        <w:autoSpaceDE w:val="0"/>
        <w:spacing w:after="0" w:line="240" w:lineRule="auto"/>
        <w:rPr>
          <w:rFonts w:ascii="Times New Roman" w:eastAsia="Times New Roman" w:hAnsi="Times New Roman"/>
          <w:lang w:val="it-IT" w:eastAsia="ar-SA"/>
        </w:rPr>
      </w:pPr>
      <w:r>
        <w:rPr>
          <w:rFonts w:ascii="Times New Roman" w:eastAsia="Times New Roman" w:hAnsi="Times New Roman"/>
          <w:lang w:val="it-IT" w:eastAsia="ar-SA"/>
        </w:rPr>
        <w:t>Negli studi CURE, CLARITY, ACTIVE-A e in uno degli studi di coorte (Trenk) non si è osservato nessun aumento dell’incidenza di eventi sulla base dello stato dei metabolizzatori.</w:t>
      </w:r>
    </w:p>
    <w:p>
      <w:pPr>
        <w:widowControl w:val="0"/>
        <w:suppressAutoHyphens/>
        <w:autoSpaceDE w:val="0"/>
        <w:spacing w:after="0" w:line="240" w:lineRule="auto"/>
        <w:rPr>
          <w:rFonts w:ascii="Times New Roman" w:eastAsia="Times New Roman" w:hAnsi="Times New Roman"/>
          <w:lang w:val="it-IT" w:eastAsia="ar-SA"/>
        </w:rPr>
      </w:pPr>
    </w:p>
    <w:p>
      <w:pPr>
        <w:widowControl w:val="0"/>
        <w:suppressAutoHyphens/>
        <w:autoSpaceDE w:val="0"/>
        <w:spacing w:after="0" w:line="240" w:lineRule="auto"/>
        <w:rPr>
          <w:rFonts w:ascii="Times New Roman" w:eastAsia="Times New Roman" w:hAnsi="Times New Roman"/>
          <w:lang w:val="it-IT" w:eastAsia="ar-SA"/>
        </w:rPr>
      </w:pPr>
      <w:r>
        <w:rPr>
          <w:rFonts w:ascii="Times New Roman" w:eastAsia="Times New Roman" w:hAnsi="Times New Roman"/>
          <w:lang w:val="it-IT" w:eastAsia="ar-SA"/>
        </w:rPr>
        <w:t>Nessuna di queste analisi era adeguatamente dimensionata per rilevare differenze di risultati nei metabolizzatori lenti.</w:t>
      </w:r>
    </w:p>
    <w:p>
      <w:pPr>
        <w:widowControl w:val="0"/>
        <w:suppressAutoHyphens/>
        <w:autoSpaceDE w:val="0"/>
        <w:spacing w:after="0" w:line="240" w:lineRule="auto"/>
        <w:rPr>
          <w:rFonts w:ascii="Times New Roman" w:eastAsia="Times New Roman" w:hAnsi="Times New Roman"/>
          <w:lang w:val="it-IT" w:eastAsia="ar-SA"/>
        </w:rPr>
      </w:pPr>
    </w:p>
    <w:p>
      <w:pPr>
        <w:widowControl w:val="0"/>
        <w:suppressAutoHyphens/>
        <w:autoSpaceDE w:val="0"/>
        <w:spacing w:after="0" w:line="240" w:lineRule="auto"/>
        <w:rPr>
          <w:rFonts w:ascii="Times New Roman" w:eastAsia="Times New Roman" w:hAnsi="Times New Roman"/>
          <w:u w:val="single"/>
          <w:lang w:val="it-IT" w:eastAsia="ar-SA"/>
        </w:rPr>
      </w:pPr>
      <w:r>
        <w:rPr>
          <w:rFonts w:ascii="Times New Roman" w:eastAsia="Times New Roman" w:hAnsi="Times New Roman"/>
          <w:u w:val="single"/>
          <w:lang w:val="it-IT" w:eastAsia="ar-SA"/>
        </w:rPr>
        <w:t>Popolazioni speciali</w:t>
      </w:r>
    </w:p>
    <w:p>
      <w:pPr>
        <w:widowControl w:val="0"/>
        <w:suppressAutoHyphens/>
        <w:autoSpaceDE w:val="0"/>
        <w:spacing w:after="0" w:line="240" w:lineRule="auto"/>
        <w:rPr>
          <w:rFonts w:ascii="Times New Roman" w:eastAsia="Times New Roman" w:hAnsi="Times New Roman"/>
          <w:lang w:val="it-IT" w:eastAsia="ar-SA"/>
        </w:rPr>
      </w:pPr>
    </w:p>
    <w:p>
      <w:pPr>
        <w:widowControl w:val="0"/>
        <w:suppressAutoHyphens/>
        <w:autoSpaceDE w:val="0"/>
        <w:spacing w:after="0" w:line="240" w:lineRule="auto"/>
        <w:rPr>
          <w:rFonts w:ascii="Times New Roman" w:eastAsia="Times New Roman" w:hAnsi="Times New Roman"/>
          <w:lang w:val="it-IT" w:eastAsia="ar-SA"/>
        </w:rPr>
      </w:pPr>
      <w:r>
        <w:rPr>
          <w:rFonts w:ascii="Times New Roman" w:eastAsia="Times New Roman" w:hAnsi="Times New Roman"/>
          <w:lang w:val="it-IT" w:eastAsia="ar-SA"/>
        </w:rPr>
        <w:t>La farmacocinetica del metabolita attivo di clopidogrel non è nota in queste popolazioni speciali.</w:t>
      </w:r>
    </w:p>
    <w:p>
      <w:pPr>
        <w:widowControl w:val="0"/>
        <w:suppressAutoHyphens/>
        <w:autoSpaceDE w:val="0"/>
        <w:spacing w:after="0" w:line="240" w:lineRule="auto"/>
        <w:rPr>
          <w:rFonts w:ascii="Times New Roman" w:eastAsia="Times New Roman" w:hAnsi="Times New Roman"/>
          <w:lang w:val="it-IT" w:eastAsia="ar-SA"/>
        </w:rPr>
      </w:pPr>
    </w:p>
    <w:p>
      <w:pPr>
        <w:widowControl w:val="0"/>
        <w:suppressAutoHyphens/>
        <w:autoSpaceDE w:val="0"/>
        <w:spacing w:after="0" w:line="240" w:lineRule="auto"/>
        <w:rPr>
          <w:rFonts w:ascii="Times New Roman" w:eastAsia="Times New Roman" w:hAnsi="Times New Roman"/>
          <w:i/>
          <w:lang w:val="it-IT" w:eastAsia="ar-SA"/>
        </w:rPr>
      </w:pPr>
      <w:r>
        <w:rPr>
          <w:rFonts w:ascii="Times New Roman" w:eastAsia="Times New Roman" w:hAnsi="Times New Roman"/>
          <w:i/>
          <w:lang w:val="it-IT" w:eastAsia="ar-SA"/>
        </w:rPr>
        <w:t>Insufficienza renale</w:t>
      </w:r>
    </w:p>
    <w:p>
      <w:pPr>
        <w:widowControl w:val="0"/>
        <w:suppressAutoHyphens/>
        <w:autoSpaceDE w:val="0"/>
        <w:spacing w:after="0" w:line="240" w:lineRule="auto"/>
        <w:rPr>
          <w:rFonts w:ascii="Times New Roman" w:eastAsia="Times New Roman" w:hAnsi="Times New Roman"/>
          <w:lang w:val="it-IT" w:eastAsia="ar-SA"/>
        </w:rPr>
      </w:pPr>
      <w:r>
        <w:rPr>
          <w:rFonts w:ascii="Times New Roman" w:eastAsia="Times New Roman" w:hAnsi="Times New Roman"/>
          <w:lang w:val="it-IT" w:eastAsia="ar-SA"/>
        </w:rPr>
        <w:t>Dopo dosi giornaliere ripetute di 75 mg/die di clopidogrel in soggetti con grave disfunzione renale (clearance della creatinina da 5 a 15 ml/min) l’inibizione dell’aggregazione piastrinica indotta da ADP era più bassa (25%) di quella osservata in soggetti sani, tuttavia il prolungamento del tempo di sanguinamento era simile a quello osservato in soggetti sani che avevano ricevuto 75 mg/die di clopidogrel. In aggiunta la tollerabilità clinica è stata buona in tutti i pazienti.</w:t>
      </w:r>
    </w:p>
    <w:p>
      <w:pPr>
        <w:widowControl w:val="0"/>
        <w:suppressAutoHyphens/>
        <w:autoSpaceDE w:val="0"/>
        <w:spacing w:after="0" w:line="240" w:lineRule="auto"/>
        <w:rPr>
          <w:rFonts w:ascii="Times New Roman" w:eastAsia="Times New Roman" w:hAnsi="Times New Roman"/>
          <w:lang w:val="it-IT" w:eastAsia="ar-SA"/>
        </w:rPr>
      </w:pPr>
    </w:p>
    <w:p>
      <w:pPr>
        <w:widowControl w:val="0"/>
        <w:suppressAutoHyphens/>
        <w:autoSpaceDE w:val="0"/>
        <w:spacing w:after="0" w:line="240" w:lineRule="auto"/>
        <w:rPr>
          <w:rFonts w:ascii="Times New Roman" w:eastAsia="Times New Roman" w:hAnsi="Times New Roman"/>
          <w:i/>
          <w:lang w:val="it-IT" w:eastAsia="ar-SA"/>
        </w:rPr>
      </w:pPr>
      <w:r>
        <w:rPr>
          <w:rFonts w:ascii="Times New Roman" w:eastAsia="Times New Roman" w:hAnsi="Times New Roman"/>
          <w:i/>
          <w:lang w:val="it-IT" w:eastAsia="ar-SA"/>
        </w:rPr>
        <w:t>Insufficienza epatica</w:t>
      </w:r>
    </w:p>
    <w:p>
      <w:pPr>
        <w:widowControl w:val="0"/>
        <w:suppressAutoHyphens/>
        <w:autoSpaceDE w:val="0"/>
        <w:spacing w:after="0" w:line="240" w:lineRule="auto"/>
        <w:rPr>
          <w:rFonts w:ascii="Times New Roman" w:eastAsia="Times New Roman" w:hAnsi="Times New Roman"/>
          <w:lang w:val="it-IT" w:eastAsia="ar-SA"/>
        </w:rPr>
      </w:pPr>
      <w:r>
        <w:rPr>
          <w:rFonts w:ascii="Times New Roman" w:eastAsia="Times New Roman" w:hAnsi="Times New Roman"/>
          <w:lang w:val="it-IT" w:eastAsia="ar-SA"/>
        </w:rPr>
        <w:t>Dopo dosi ripetute di clopidogrel 75 mg/die per 10 giorni in pazienti con grave insufficienza epatica, l’inibizione dell’aggregazione piastrinica indotta da ADP era simile a quella osservata in soggetti sani. Anche il prolungamento medio del tempo di sanguinamento era simile fra i due gruppi.</w:t>
      </w:r>
    </w:p>
    <w:p>
      <w:pPr>
        <w:widowControl w:val="0"/>
        <w:suppressAutoHyphens/>
        <w:autoSpaceDE w:val="0"/>
        <w:spacing w:after="0" w:line="240" w:lineRule="auto"/>
        <w:rPr>
          <w:rFonts w:ascii="Times New Roman" w:eastAsia="Times New Roman" w:hAnsi="Times New Roman"/>
          <w:i/>
          <w:lang w:val="it-IT" w:eastAsia="ar-SA"/>
        </w:rPr>
      </w:pPr>
    </w:p>
    <w:p>
      <w:pPr>
        <w:widowControl w:val="0"/>
        <w:suppressAutoHyphens/>
        <w:autoSpaceDE w:val="0"/>
        <w:spacing w:after="0" w:line="240" w:lineRule="auto"/>
        <w:rPr>
          <w:rFonts w:ascii="Times New Roman" w:eastAsia="Times New Roman" w:hAnsi="Times New Roman"/>
          <w:i/>
          <w:lang w:val="it-IT" w:eastAsia="ar-SA"/>
        </w:rPr>
      </w:pPr>
      <w:r>
        <w:rPr>
          <w:rFonts w:ascii="Times New Roman" w:eastAsia="Times New Roman" w:hAnsi="Times New Roman"/>
          <w:i/>
          <w:lang w:val="it-IT" w:eastAsia="ar-SA"/>
        </w:rPr>
        <w:t>Razza</w:t>
      </w:r>
    </w:p>
    <w:p>
      <w:pPr>
        <w:widowControl w:val="0"/>
        <w:shd w:val="clear" w:color="auto" w:fill="FFFFFF"/>
        <w:suppressAutoHyphens/>
        <w:autoSpaceDE w:val="0"/>
        <w:spacing w:after="0" w:line="240" w:lineRule="auto"/>
        <w:rPr>
          <w:rFonts w:ascii="Times New Roman" w:eastAsia="Times New Roman" w:hAnsi="Times New Roman"/>
          <w:color w:val="000000"/>
          <w:lang w:val="it-IT" w:eastAsia="ar-SA"/>
        </w:rPr>
      </w:pPr>
      <w:r>
        <w:rPr>
          <w:rFonts w:ascii="Times New Roman" w:eastAsia="Times New Roman" w:hAnsi="Times New Roman"/>
          <w:lang w:val="it-IT" w:eastAsia="ar-SA"/>
        </w:rPr>
        <w:t>La prevalenza degli alleli del CYP2C19 che portano ad un’attività metabolica ridotta e intermedia del CYP2C19 varia secondo la razza/etnia (vedere farmacogenetica). Dalla letteratura, sono disponibili dati limitati nelle popolazioni asiatiche per valutare l’implicazione clinica della genotipizzazione di questo CYP sugli eventi clinici.</w:t>
      </w:r>
    </w:p>
    <w:p>
      <w:pPr>
        <w:widowControl w:val="0"/>
        <w:shd w:val="clear" w:color="auto" w:fill="FFFFFF"/>
        <w:suppressAutoHyphens/>
        <w:autoSpaceDE w:val="0"/>
        <w:spacing w:after="0" w:line="240" w:lineRule="auto"/>
        <w:rPr>
          <w:rFonts w:ascii="Times New Roman" w:eastAsia="Times New Roman" w:hAnsi="Times New Roman"/>
          <w:color w:val="000000"/>
          <w:lang w:val="it-IT" w:eastAsia="ar-SA"/>
        </w:rPr>
      </w:pPr>
    </w:p>
    <w:p>
      <w:pPr>
        <w:widowControl w:val="0"/>
        <w:shd w:val="clear" w:color="auto" w:fill="FFFFFF"/>
        <w:suppressAutoHyphens/>
        <w:autoSpaceDE w:val="0"/>
        <w:spacing w:after="0" w:line="240" w:lineRule="auto"/>
        <w:rPr>
          <w:rFonts w:ascii="Times New Roman" w:eastAsia="Times New Roman" w:hAnsi="Times New Roman"/>
          <w:b/>
          <w:bCs/>
          <w:color w:val="000000"/>
          <w:spacing w:val="1"/>
          <w:lang w:val="it-IT" w:eastAsia="ar-SA"/>
        </w:rPr>
      </w:pPr>
      <w:r>
        <w:rPr>
          <w:rFonts w:ascii="Times New Roman" w:eastAsia="Times New Roman" w:hAnsi="Times New Roman"/>
          <w:b/>
          <w:bCs/>
          <w:color w:val="000000"/>
          <w:spacing w:val="1"/>
          <w:lang w:val="it-IT" w:eastAsia="ar-SA"/>
        </w:rPr>
        <w:t>5.3</w:t>
      </w:r>
      <w:r>
        <w:rPr>
          <w:rFonts w:ascii="Times New Roman" w:eastAsia="Times New Roman" w:hAnsi="Times New Roman"/>
          <w:b/>
          <w:bCs/>
          <w:color w:val="000000"/>
          <w:spacing w:val="1"/>
          <w:lang w:val="it-IT" w:eastAsia="ar-SA"/>
        </w:rPr>
        <w:tab/>
        <w:t>Dati preclinici di sicurezza</w:t>
      </w:r>
    </w:p>
    <w:p>
      <w:pPr>
        <w:widowControl w:val="0"/>
        <w:shd w:val="clear" w:color="auto" w:fill="FFFFFF"/>
        <w:suppressAutoHyphens/>
        <w:autoSpaceDE w:val="0"/>
        <w:spacing w:after="0" w:line="240" w:lineRule="auto"/>
        <w:rPr>
          <w:rFonts w:ascii="Times New Roman" w:eastAsia="Times New Roman" w:hAnsi="Times New Roman"/>
          <w:color w:val="000000"/>
          <w:lang w:val="it-IT" w:eastAsia="ar-SA"/>
        </w:rPr>
      </w:pPr>
    </w:p>
    <w:p>
      <w:pPr>
        <w:spacing w:after="0" w:line="240" w:lineRule="auto"/>
        <w:rPr>
          <w:rFonts w:ascii="Times New Roman" w:hAnsi="Times New Roman"/>
          <w:lang w:val="it-IT" w:eastAsia="ar-SA"/>
        </w:rPr>
      </w:pPr>
      <w:r>
        <w:rPr>
          <w:rFonts w:ascii="Times New Roman" w:hAnsi="Times New Roman"/>
          <w:lang w:val="it-IT" w:eastAsia="ar-SA"/>
        </w:rPr>
        <w:t xml:space="preserve">Nel corso di studi non-clinici condotti nel ratto e nel babbuino, la modificazione dei parametri epatici </w:t>
      </w:r>
      <w:r>
        <w:rPr>
          <w:rFonts w:ascii="Times New Roman" w:hAnsi="Times New Roman"/>
          <w:spacing w:val="-1"/>
          <w:lang w:val="it-IT" w:eastAsia="ar-SA"/>
        </w:rPr>
        <w:t xml:space="preserve">è stato l'effetto più frequentemente osservato. Ciò si è verificato per dosi superiori di almeno 25 volte </w:t>
      </w:r>
      <w:r>
        <w:rPr>
          <w:rFonts w:ascii="Times New Roman" w:hAnsi="Times New Roman"/>
          <w:lang w:val="it-IT" w:eastAsia="ar-SA"/>
        </w:rPr>
        <w:t xml:space="preserve">alla dose clinica corrispondente di 75 mg/die, somministrata nell'uomo, ed era conseguenza di un </w:t>
      </w:r>
      <w:r>
        <w:rPr>
          <w:rFonts w:ascii="Times New Roman" w:hAnsi="Times New Roman"/>
          <w:spacing w:val="-1"/>
          <w:lang w:val="it-IT" w:eastAsia="ar-SA"/>
        </w:rPr>
        <w:t xml:space="preserve">effetto sugli enzimi metabolici epatici. </w:t>
      </w:r>
      <w:r>
        <w:rPr>
          <w:rFonts w:ascii="Times New Roman" w:hAnsi="Times New Roman"/>
          <w:lang w:val="it-IT" w:eastAsia="ar-SA"/>
        </w:rPr>
        <w:t>Nessun effetto di clopidogrel sugli enzimi metabolici epatici è stato osservato nell’uomo alle dosi terapeutiche.</w:t>
      </w:r>
    </w:p>
    <w:p>
      <w:pPr>
        <w:spacing w:after="0" w:line="240" w:lineRule="auto"/>
        <w:rPr>
          <w:rFonts w:ascii="Times New Roman" w:hAnsi="Times New Roman"/>
          <w:lang w:val="it-IT" w:eastAsia="ar-SA"/>
        </w:rPr>
      </w:pPr>
      <w:r>
        <w:rPr>
          <w:rFonts w:ascii="Times New Roman" w:hAnsi="Times New Roman"/>
          <w:lang w:val="it-IT" w:eastAsia="ar-SA"/>
        </w:rPr>
        <w:t>A dosi molto elevate, è stata riportata nel ratto e nel babbuino una scarsa tollerabilità gastrica (gastriti, erosioni gastriche e/o vomito).</w:t>
      </w:r>
    </w:p>
    <w:p>
      <w:pPr>
        <w:widowControl w:val="0"/>
        <w:shd w:val="clear" w:color="auto" w:fill="FFFFFF"/>
        <w:suppressAutoHyphens/>
        <w:autoSpaceDE w:val="0"/>
        <w:spacing w:after="0" w:line="240" w:lineRule="auto"/>
        <w:rPr>
          <w:rFonts w:ascii="Times New Roman" w:eastAsia="Times New Roman" w:hAnsi="Times New Roman"/>
          <w:color w:val="000000"/>
          <w:spacing w:val="1"/>
          <w:lang w:val="it-IT" w:eastAsia="ar-SA"/>
        </w:rPr>
      </w:pPr>
    </w:p>
    <w:p>
      <w:pPr>
        <w:widowControl w:val="0"/>
        <w:shd w:val="clear" w:color="auto" w:fill="FFFFFF"/>
        <w:suppressAutoHyphens/>
        <w:autoSpaceDE w:val="0"/>
        <w:spacing w:after="0" w:line="240" w:lineRule="auto"/>
        <w:rPr>
          <w:rFonts w:ascii="Times New Roman" w:eastAsia="Times New Roman" w:hAnsi="Times New Roman"/>
          <w:color w:val="000000"/>
          <w:spacing w:val="1"/>
          <w:lang w:val="it-IT" w:eastAsia="ar-SA"/>
        </w:rPr>
      </w:pPr>
      <w:r>
        <w:rPr>
          <w:rFonts w:ascii="Times New Roman" w:eastAsia="Times New Roman" w:hAnsi="Times New Roman"/>
          <w:color w:val="000000"/>
          <w:spacing w:val="1"/>
          <w:lang w:val="it-IT" w:eastAsia="ar-SA"/>
        </w:rPr>
        <w:t>N</w:t>
      </w:r>
      <w:r>
        <w:rPr>
          <w:rFonts w:ascii="Times New Roman" w:eastAsia="Times New Roman" w:hAnsi="Times New Roman"/>
          <w:color w:val="000000"/>
          <w:lang w:val="it-IT" w:eastAsia="ar-SA"/>
        </w:rPr>
        <w:t xml:space="preserve">on è stato osservato alcun effetto carcinogenico in seguito a somministrazione di clopidogrel nel </w:t>
      </w:r>
      <w:r>
        <w:rPr>
          <w:rFonts w:ascii="Times New Roman" w:eastAsia="Times New Roman" w:hAnsi="Times New Roman"/>
          <w:color w:val="000000"/>
          <w:spacing w:val="-1"/>
          <w:lang w:val="it-IT" w:eastAsia="ar-SA"/>
        </w:rPr>
        <w:t xml:space="preserve">topo per 78 settimane e nel ratto per 104 settimane, fino alla dose di 77 mg/kg/die (il che rappresenta </w:t>
      </w:r>
      <w:r>
        <w:rPr>
          <w:rFonts w:ascii="Times New Roman" w:eastAsia="Times New Roman" w:hAnsi="Times New Roman"/>
          <w:color w:val="000000"/>
          <w:spacing w:val="1"/>
          <w:lang w:val="it-IT" w:eastAsia="ar-SA"/>
        </w:rPr>
        <w:t>almeno 25 volte l'esposizione che si verifica alla dose clinica di 75 mg/die nell'uomo).</w:t>
      </w:r>
    </w:p>
    <w:p>
      <w:pPr>
        <w:widowControl w:val="0"/>
        <w:shd w:val="clear" w:color="auto" w:fill="FFFFFF"/>
        <w:suppressAutoHyphens/>
        <w:autoSpaceDE w:val="0"/>
        <w:spacing w:after="0" w:line="240" w:lineRule="auto"/>
        <w:rPr>
          <w:rFonts w:ascii="Times New Roman" w:eastAsia="Times New Roman" w:hAnsi="Times New Roman"/>
          <w:color w:val="000000"/>
          <w:spacing w:val="-1"/>
          <w:lang w:val="it-IT" w:eastAsia="ar-SA"/>
        </w:rPr>
      </w:pPr>
    </w:p>
    <w:p>
      <w:pPr>
        <w:widowControl w:val="0"/>
        <w:shd w:val="clear" w:color="auto" w:fill="FFFFFF"/>
        <w:suppressAutoHyphens/>
        <w:autoSpaceDE w:val="0"/>
        <w:spacing w:after="0" w:line="240" w:lineRule="auto"/>
        <w:rPr>
          <w:rFonts w:ascii="Times New Roman" w:eastAsia="Times New Roman" w:hAnsi="Times New Roman"/>
          <w:color w:val="000000"/>
          <w:spacing w:val="-1"/>
          <w:lang w:val="it-IT" w:eastAsia="ar-SA"/>
        </w:rPr>
      </w:pPr>
      <w:r>
        <w:rPr>
          <w:rFonts w:ascii="Times New Roman" w:eastAsia="Times New Roman" w:hAnsi="Times New Roman"/>
          <w:color w:val="000000"/>
          <w:spacing w:val="-1"/>
          <w:lang w:val="it-IT" w:eastAsia="ar-SA"/>
        </w:rPr>
        <w:t xml:space="preserve">Clopidogrel valutato in una serie di studi di genotossicità in </w:t>
      </w:r>
      <w:r>
        <w:rPr>
          <w:rFonts w:ascii="Times New Roman" w:eastAsia="Times New Roman" w:hAnsi="Times New Roman"/>
          <w:i/>
          <w:iCs/>
          <w:color w:val="000000"/>
          <w:spacing w:val="-1"/>
          <w:lang w:val="it-IT" w:eastAsia="ar-SA"/>
        </w:rPr>
        <w:t xml:space="preserve">vitro </w:t>
      </w:r>
      <w:r>
        <w:rPr>
          <w:rFonts w:ascii="Times New Roman" w:eastAsia="Times New Roman" w:hAnsi="Times New Roman"/>
          <w:color w:val="000000"/>
          <w:spacing w:val="-1"/>
          <w:lang w:val="it-IT" w:eastAsia="ar-SA"/>
        </w:rPr>
        <w:t xml:space="preserve">e in </w:t>
      </w:r>
      <w:r>
        <w:rPr>
          <w:rFonts w:ascii="Times New Roman" w:eastAsia="Times New Roman" w:hAnsi="Times New Roman"/>
          <w:i/>
          <w:iCs/>
          <w:color w:val="000000"/>
          <w:spacing w:val="-1"/>
          <w:lang w:val="it-IT" w:eastAsia="ar-SA"/>
        </w:rPr>
        <w:t xml:space="preserve">vivo, </w:t>
      </w:r>
      <w:r>
        <w:rPr>
          <w:rFonts w:ascii="Times New Roman" w:eastAsia="Times New Roman" w:hAnsi="Times New Roman"/>
          <w:color w:val="000000"/>
          <w:spacing w:val="-1"/>
          <w:lang w:val="it-IT" w:eastAsia="ar-SA"/>
        </w:rPr>
        <w:t>non ha mostrato alcuna attività genotossica.</w:t>
      </w:r>
    </w:p>
    <w:p>
      <w:pPr>
        <w:widowControl w:val="0"/>
        <w:shd w:val="clear" w:color="auto" w:fill="FFFFFF"/>
        <w:suppressAutoHyphens/>
        <w:autoSpaceDE w:val="0"/>
        <w:spacing w:after="0" w:line="240" w:lineRule="auto"/>
        <w:rPr>
          <w:rFonts w:ascii="Times New Roman" w:eastAsia="Times New Roman" w:hAnsi="Times New Roman"/>
          <w:color w:val="000000"/>
          <w:spacing w:val="-1"/>
          <w:lang w:val="it-IT" w:eastAsia="ar-SA"/>
        </w:rPr>
      </w:pPr>
    </w:p>
    <w:p>
      <w:pPr>
        <w:widowControl w:val="0"/>
        <w:shd w:val="clear" w:color="auto" w:fill="FFFFFF"/>
        <w:suppressAutoHyphens/>
        <w:autoSpaceDE w:val="0"/>
        <w:spacing w:after="0" w:line="240" w:lineRule="auto"/>
        <w:rPr>
          <w:rFonts w:ascii="Times New Roman" w:eastAsia="Times New Roman" w:hAnsi="Times New Roman"/>
          <w:color w:val="000000"/>
          <w:lang w:val="it-IT" w:eastAsia="ar-SA"/>
        </w:rPr>
      </w:pPr>
      <w:r>
        <w:rPr>
          <w:rFonts w:ascii="Times New Roman" w:eastAsia="Times New Roman" w:hAnsi="Times New Roman"/>
          <w:color w:val="000000"/>
          <w:spacing w:val="-1"/>
          <w:lang w:val="it-IT" w:eastAsia="ar-SA"/>
        </w:rPr>
        <w:t xml:space="preserve">Clopidogrel non ha mostrato alcun effetto sulla fertilità in ratti maschi e femmine e non ha mostrato </w:t>
      </w:r>
      <w:r>
        <w:rPr>
          <w:rFonts w:ascii="Times New Roman" w:eastAsia="Times New Roman" w:hAnsi="Times New Roman"/>
          <w:color w:val="000000"/>
          <w:lang w:val="it-IT" w:eastAsia="ar-SA"/>
        </w:rPr>
        <w:t xml:space="preserve">alcun effetto teratogeno né nel ratto né nel coniglio. Quando somministrato in ratti che allattavano, </w:t>
      </w:r>
      <w:r>
        <w:rPr>
          <w:rFonts w:ascii="Times New Roman" w:eastAsia="Times New Roman" w:hAnsi="Times New Roman"/>
          <w:color w:val="000000"/>
          <w:spacing w:val="-1"/>
          <w:lang w:val="it-IT" w:eastAsia="ar-SA"/>
        </w:rPr>
        <w:t xml:space="preserve">clopidogrel ha causato un leggero ritardo nello sviluppo della prole. Studi farmacocinetici specifici </w:t>
      </w:r>
      <w:r>
        <w:rPr>
          <w:rFonts w:ascii="Times New Roman" w:eastAsia="Times New Roman" w:hAnsi="Times New Roman"/>
          <w:color w:val="000000"/>
          <w:lang w:val="it-IT" w:eastAsia="ar-SA"/>
        </w:rPr>
        <w:t xml:space="preserve">condotti con clopidogrel marcato hanno permesso di osservare che il composto principale e i suoi </w:t>
      </w:r>
      <w:r>
        <w:rPr>
          <w:rFonts w:ascii="Times New Roman" w:eastAsia="Times New Roman" w:hAnsi="Times New Roman"/>
          <w:color w:val="000000"/>
          <w:spacing w:val="-1"/>
          <w:lang w:val="it-IT" w:eastAsia="ar-SA"/>
        </w:rPr>
        <w:t xml:space="preserve">metaboliti sono escreti nel latte. Conseguentemente non può essere escluso un effetto diretto (lieve </w:t>
      </w:r>
      <w:r>
        <w:rPr>
          <w:rFonts w:ascii="Times New Roman" w:eastAsia="Times New Roman" w:hAnsi="Times New Roman"/>
          <w:color w:val="000000"/>
          <w:lang w:val="it-IT" w:eastAsia="ar-SA"/>
        </w:rPr>
        <w:t>tossicità) o indiretto (scarsa palatabilità).</w:t>
      </w:r>
    </w:p>
    <w:p>
      <w:pPr>
        <w:widowControl w:val="0"/>
        <w:shd w:val="clear" w:color="auto" w:fill="FFFFFF"/>
        <w:suppressAutoHyphens/>
        <w:autoSpaceDE w:val="0"/>
        <w:spacing w:after="0" w:line="240" w:lineRule="auto"/>
        <w:rPr>
          <w:rFonts w:ascii="Times New Roman" w:eastAsia="Times New Roman" w:hAnsi="Times New Roman"/>
          <w:color w:val="000000"/>
          <w:lang w:val="it-IT" w:eastAsia="ar-SA"/>
        </w:rPr>
      </w:pPr>
    </w:p>
    <w:p>
      <w:pPr>
        <w:widowControl w:val="0"/>
        <w:shd w:val="clear" w:color="auto" w:fill="FFFFFF"/>
        <w:suppressAutoHyphens/>
        <w:autoSpaceDE w:val="0"/>
        <w:spacing w:after="0" w:line="240" w:lineRule="auto"/>
        <w:rPr>
          <w:rFonts w:ascii="Times New Roman" w:eastAsia="Times New Roman" w:hAnsi="Times New Roman"/>
          <w:color w:val="000000"/>
          <w:lang w:val="it-IT" w:eastAsia="ar-SA"/>
        </w:rPr>
      </w:pPr>
    </w:p>
    <w:p>
      <w:pPr>
        <w:widowControl w:val="0"/>
        <w:shd w:val="clear" w:color="auto" w:fill="FFFFFF"/>
        <w:tabs>
          <w:tab w:val="left" w:pos="594"/>
        </w:tabs>
        <w:suppressAutoHyphens/>
        <w:autoSpaceDE w:val="0"/>
        <w:spacing w:after="0" w:line="240" w:lineRule="auto"/>
        <w:rPr>
          <w:rFonts w:ascii="Times New Roman" w:eastAsia="Times New Roman" w:hAnsi="Times New Roman"/>
          <w:b/>
          <w:bCs/>
          <w:color w:val="000000"/>
          <w:lang w:val="it-IT" w:eastAsia="ar-SA"/>
        </w:rPr>
      </w:pPr>
      <w:r>
        <w:rPr>
          <w:rFonts w:ascii="Times New Roman" w:eastAsia="Times New Roman" w:hAnsi="Times New Roman"/>
          <w:b/>
          <w:bCs/>
          <w:color w:val="000000"/>
          <w:spacing w:val="-7"/>
          <w:lang w:val="it-IT" w:eastAsia="ar-SA"/>
        </w:rPr>
        <w:t>6.</w:t>
      </w:r>
      <w:r>
        <w:rPr>
          <w:rFonts w:ascii="Times New Roman" w:eastAsia="Times New Roman" w:hAnsi="Times New Roman"/>
          <w:b/>
          <w:bCs/>
          <w:color w:val="000000"/>
          <w:lang w:val="it-IT" w:eastAsia="ar-SA"/>
        </w:rPr>
        <w:tab/>
        <w:t>INFORMAZIONI FARMACEUTICHE</w:t>
      </w:r>
    </w:p>
    <w:p>
      <w:pPr>
        <w:widowControl w:val="0"/>
        <w:shd w:val="clear" w:color="auto" w:fill="FFFFFF"/>
        <w:tabs>
          <w:tab w:val="left" w:pos="567"/>
        </w:tabs>
        <w:suppressAutoHyphens/>
        <w:autoSpaceDE w:val="0"/>
        <w:spacing w:after="0" w:line="240" w:lineRule="auto"/>
        <w:rPr>
          <w:rFonts w:ascii="Times New Roman" w:eastAsia="Times New Roman" w:hAnsi="Times New Roman"/>
          <w:b/>
          <w:bCs/>
          <w:color w:val="000000"/>
          <w:spacing w:val="-5"/>
          <w:lang w:val="it-IT" w:eastAsia="ar-SA"/>
        </w:rPr>
      </w:pPr>
    </w:p>
    <w:p>
      <w:pPr>
        <w:widowControl w:val="0"/>
        <w:shd w:val="clear" w:color="auto" w:fill="FFFFFF"/>
        <w:tabs>
          <w:tab w:val="left" w:pos="567"/>
        </w:tabs>
        <w:suppressAutoHyphens/>
        <w:autoSpaceDE w:val="0"/>
        <w:spacing w:after="0" w:line="240" w:lineRule="auto"/>
        <w:rPr>
          <w:rFonts w:ascii="Times New Roman" w:eastAsia="Times New Roman" w:hAnsi="Times New Roman"/>
          <w:b/>
          <w:bCs/>
          <w:color w:val="000000"/>
          <w:lang w:val="it-IT" w:eastAsia="ar-SA"/>
        </w:rPr>
      </w:pPr>
      <w:r>
        <w:rPr>
          <w:rFonts w:ascii="Times New Roman" w:eastAsia="Times New Roman" w:hAnsi="Times New Roman"/>
          <w:b/>
          <w:bCs/>
          <w:color w:val="000000"/>
          <w:spacing w:val="-5"/>
          <w:lang w:val="it-IT" w:eastAsia="ar-SA"/>
        </w:rPr>
        <w:t>6.1</w:t>
      </w:r>
      <w:r>
        <w:rPr>
          <w:rFonts w:ascii="Times New Roman" w:eastAsia="Times New Roman" w:hAnsi="Times New Roman"/>
          <w:b/>
          <w:bCs/>
          <w:color w:val="000000"/>
          <w:lang w:val="it-IT" w:eastAsia="ar-SA"/>
        </w:rPr>
        <w:tab/>
        <w:t>Elenco degli eccipienti</w:t>
      </w:r>
    </w:p>
    <w:p>
      <w:pPr>
        <w:widowControl w:val="0"/>
        <w:shd w:val="clear" w:color="auto" w:fill="FFFFFF"/>
        <w:suppressAutoHyphens/>
        <w:autoSpaceDE w:val="0"/>
        <w:spacing w:after="0" w:line="240" w:lineRule="auto"/>
        <w:rPr>
          <w:rFonts w:ascii="Times New Roman" w:eastAsia="Times New Roman" w:hAnsi="Times New Roman"/>
          <w:i/>
          <w:iCs/>
          <w:color w:val="000000"/>
          <w:spacing w:val="-1"/>
          <w:lang w:val="it-IT" w:eastAsia="ar-SA"/>
        </w:rPr>
      </w:pPr>
    </w:p>
    <w:p>
      <w:pPr>
        <w:widowControl w:val="0"/>
        <w:shd w:val="clear" w:color="auto" w:fill="FFFFFF"/>
        <w:suppressAutoHyphens/>
        <w:autoSpaceDE w:val="0"/>
        <w:spacing w:after="0" w:line="240" w:lineRule="auto"/>
        <w:rPr>
          <w:rFonts w:ascii="Times New Roman" w:eastAsia="Times New Roman" w:hAnsi="Times New Roman"/>
          <w:iCs/>
          <w:color w:val="000000"/>
          <w:spacing w:val="-1"/>
          <w:u w:val="single"/>
          <w:lang w:val="it-IT" w:eastAsia="ar-SA"/>
        </w:rPr>
      </w:pPr>
      <w:r>
        <w:rPr>
          <w:rFonts w:ascii="Times New Roman" w:eastAsia="Times New Roman" w:hAnsi="Times New Roman"/>
          <w:iCs/>
          <w:color w:val="000000"/>
          <w:spacing w:val="-1"/>
          <w:u w:val="single"/>
          <w:lang w:val="it-IT" w:eastAsia="ar-SA"/>
        </w:rPr>
        <w:t>Nucleo:</w:t>
      </w:r>
    </w:p>
    <w:p>
      <w:pPr>
        <w:widowControl w:val="0"/>
        <w:shd w:val="clear" w:color="auto" w:fill="FFFFFF"/>
        <w:suppressAutoHyphens/>
        <w:autoSpaceDE w:val="0"/>
        <w:spacing w:after="0" w:line="240" w:lineRule="auto"/>
        <w:rPr>
          <w:rFonts w:ascii="Times New Roman" w:eastAsia="Times New Roman" w:hAnsi="Times New Roman"/>
          <w:color w:val="000000"/>
          <w:lang w:val="it-IT" w:eastAsia="ar-SA"/>
        </w:rPr>
      </w:pPr>
      <w:r>
        <w:rPr>
          <w:rFonts w:ascii="Times New Roman" w:eastAsia="Times New Roman" w:hAnsi="Times New Roman"/>
          <w:color w:val="000000"/>
          <w:lang w:val="it-IT" w:eastAsia="ar-SA"/>
        </w:rPr>
        <w:t>Cellulosa microcristallina</w:t>
      </w:r>
    </w:p>
    <w:p>
      <w:pPr>
        <w:widowControl w:val="0"/>
        <w:shd w:val="clear" w:color="auto" w:fill="FFFFFF"/>
        <w:suppressAutoHyphens/>
        <w:autoSpaceDE w:val="0"/>
        <w:spacing w:after="0" w:line="240" w:lineRule="auto"/>
        <w:rPr>
          <w:rFonts w:ascii="Times New Roman" w:eastAsia="Times New Roman" w:hAnsi="Times New Roman"/>
          <w:color w:val="000000"/>
          <w:lang w:val="it-IT" w:eastAsia="ar-SA"/>
        </w:rPr>
      </w:pPr>
      <w:r>
        <w:rPr>
          <w:rFonts w:ascii="Times New Roman" w:eastAsia="Times New Roman" w:hAnsi="Times New Roman"/>
          <w:color w:val="000000"/>
          <w:lang w:val="it-IT" w:eastAsia="ar-SA"/>
        </w:rPr>
        <w:t>Silice colloidale anidra</w:t>
      </w:r>
    </w:p>
    <w:p>
      <w:pPr>
        <w:widowControl w:val="0"/>
        <w:shd w:val="clear" w:color="auto" w:fill="FFFFFF"/>
        <w:suppressAutoHyphens/>
        <w:autoSpaceDE w:val="0"/>
        <w:spacing w:after="0" w:line="240" w:lineRule="auto"/>
        <w:rPr>
          <w:rFonts w:ascii="Times New Roman" w:eastAsia="Times New Roman" w:hAnsi="Times New Roman"/>
          <w:color w:val="000000"/>
          <w:lang w:val="it-IT" w:eastAsia="ar-SA"/>
        </w:rPr>
      </w:pPr>
      <w:r>
        <w:rPr>
          <w:rFonts w:ascii="Times New Roman" w:eastAsia="Times New Roman" w:hAnsi="Times New Roman"/>
          <w:color w:val="000000"/>
          <w:lang w:val="it-IT" w:eastAsia="ar-SA"/>
        </w:rPr>
        <w:t>Crospovidone (tipo A)</w:t>
      </w:r>
    </w:p>
    <w:p>
      <w:pPr>
        <w:widowControl w:val="0"/>
        <w:shd w:val="clear" w:color="auto" w:fill="FFFFFF"/>
        <w:suppressAutoHyphens/>
        <w:autoSpaceDE w:val="0"/>
        <w:spacing w:after="0" w:line="240" w:lineRule="auto"/>
        <w:rPr>
          <w:rFonts w:ascii="Times New Roman" w:eastAsia="Times New Roman" w:hAnsi="Times New Roman"/>
          <w:color w:val="000000"/>
          <w:lang w:val="it-IT" w:eastAsia="ar-SA"/>
        </w:rPr>
      </w:pPr>
      <w:r>
        <w:rPr>
          <w:rFonts w:ascii="Times New Roman" w:eastAsia="Times New Roman" w:hAnsi="Times New Roman"/>
          <w:color w:val="000000"/>
          <w:lang w:val="it-IT" w:eastAsia="ar-SA"/>
        </w:rPr>
        <w:t>Macrogol 6000</w:t>
      </w:r>
    </w:p>
    <w:p>
      <w:pPr>
        <w:widowControl w:val="0"/>
        <w:shd w:val="clear" w:color="auto" w:fill="FFFFFF"/>
        <w:suppressAutoHyphens/>
        <w:autoSpaceDE w:val="0"/>
        <w:spacing w:after="0" w:line="240" w:lineRule="auto"/>
        <w:rPr>
          <w:rFonts w:ascii="Times New Roman" w:eastAsia="Times New Roman" w:hAnsi="Times New Roman"/>
          <w:color w:val="000000"/>
          <w:lang w:val="it-IT" w:eastAsia="ar-SA"/>
        </w:rPr>
      </w:pPr>
      <w:r>
        <w:rPr>
          <w:rFonts w:ascii="Times New Roman" w:eastAsia="Times New Roman" w:hAnsi="Times New Roman"/>
          <w:color w:val="000000"/>
          <w:lang w:val="it-IT" w:eastAsia="ar-SA"/>
        </w:rPr>
        <w:t>Olio di ricino idrogenato</w:t>
      </w:r>
    </w:p>
    <w:p>
      <w:pPr>
        <w:widowControl w:val="0"/>
        <w:shd w:val="clear" w:color="auto" w:fill="FFFFFF"/>
        <w:suppressAutoHyphens/>
        <w:autoSpaceDE w:val="0"/>
        <w:spacing w:after="0" w:line="240" w:lineRule="auto"/>
        <w:rPr>
          <w:rFonts w:ascii="Times New Roman" w:eastAsia="Times New Roman" w:hAnsi="Times New Roman"/>
          <w:iCs/>
          <w:color w:val="000000"/>
          <w:spacing w:val="-1"/>
          <w:u w:val="single"/>
          <w:lang w:val="it-IT" w:eastAsia="ar-SA"/>
        </w:rPr>
      </w:pPr>
    </w:p>
    <w:p>
      <w:pPr>
        <w:widowControl w:val="0"/>
        <w:shd w:val="clear" w:color="auto" w:fill="FFFFFF"/>
        <w:suppressAutoHyphens/>
        <w:autoSpaceDE w:val="0"/>
        <w:spacing w:after="0" w:line="240" w:lineRule="auto"/>
        <w:rPr>
          <w:rFonts w:ascii="Times New Roman" w:eastAsia="Times New Roman" w:hAnsi="Times New Roman"/>
          <w:i/>
          <w:iCs/>
          <w:color w:val="000000"/>
          <w:lang w:val="it-IT" w:eastAsia="ar-SA"/>
        </w:rPr>
      </w:pPr>
      <w:r>
        <w:rPr>
          <w:rFonts w:ascii="Times New Roman" w:eastAsia="Times New Roman" w:hAnsi="Times New Roman"/>
          <w:iCs/>
          <w:color w:val="000000"/>
          <w:spacing w:val="-1"/>
          <w:u w:val="single"/>
          <w:lang w:val="it-IT" w:eastAsia="ar-SA"/>
        </w:rPr>
        <w:t>Rivestimento:</w:t>
      </w:r>
    </w:p>
    <w:p>
      <w:pPr>
        <w:widowControl w:val="0"/>
        <w:shd w:val="clear" w:color="auto" w:fill="FFFFFF"/>
        <w:tabs>
          <w:tab w:val="left" w:pos="2582"/>
        </w:tabs>
        <w:suppressAutoHyphens/>
        <w:autoSpaceDE w:val="0"/>
        <w:spacing w:after="0" w:line="240" w:lineRule="auto"/>
        <w:rPr>
          <w:rFonts w:ascii="Times New Roman" w:eastAsia="Times New Roman" w:hAnsi="Times New Roman"/>
          <w:color w:val="000000"/>
          <w:spacing w:val="-3"/>
          <w:lang w:val="it-IT" w:eastAsia="ar-SA"/>
        </w:rPr>
      </w:pPr>
      <w:r>
        <w:rPr>
          <w:rFonts w:ascii="Times New Roman" w:eastAsia="Times New Roman" w:hAnsi="Times New Roman"/>
          <w:lang w:val="it-IT" w:eastAsia="ar-SA"/>
        </w:rPr>
        <w:t>Alcool polivinilico</w:t>
      </w:r>
    </w:p>
    <w:p>
      <w:pPr>
        <w:widowControl w:val="0"/>
        <w:shd w:val="clear" w:color="auto" w:fill="FFFFFF"/>
        <w:tabs>
          <w:tab w:val="left" w:pos="2582"/>
        </w:tabs>
        <w:suppressAutoHyphens/>
        <w:autoSpaceDE w:val="0"/>
        <w:spacing w:after="0" w:line="240" w:lineRule="auto"/>
        <w:rPr>
          <w:rFonts w:ascii="Times New Roman" w:eastAsia="Times New Roman" w:hAnsi="Times New Roman"/>
          <w:color w:val="000000"/>
          <w:spacing w:val="-3"/>
          <w:lang w:val="it-IT" w:eastAsia="ar-SA"/>
        </w:rPr>
      </w:pPr>
      <w:r>
        <w:rPr>
          <w:rFonts w:ascii="Times New Roman" w:eastAsia="Times New Roman" w:hAnsi="Times New Roman"/>
          <w:color w:val="000000"/>
          <w:spacing w:val="-3"/>
          <w:lang w:val="it-IT" w:eastAsia="ar-SA"/>
        </w:rPr>
        <w:t>Titanio diossido (E171)</w:t>
      </w:r>
    </w:p>
    <w:p>
      <w:pPr>
        <w:widowControl w:val="0"/>
        <w:shd w:val="clear" w:color="auto" w:fill="FFFFFF"/>
        <w:tabs>
          <w:tab w:val="left" w:pos="2582"/>
        </w:tabs>
        <w:suppressAutoHyphens/>
        <w:autoSpaceDE w:val="0"/>
        <w:spacing w:after="0" w:line="240" w:lineRule="auto"/>
        <w:rPr>
          <w:rFonts w:ascii="Times New Roman" w:eastAsia="Times New Roman" w:hAnsi="Times New Roman"/>
          <w:color w:val="000000"/>
          <w:spacing w:val="-3"/>
          <w:lang w:val="it-IT" w:eastAsia="ar-SA"/>
        </w:rPr>
      </w:pPr>
      <w:r>
        <w:rPr>
          <w:rFonts w:ascii="Times New Roman" w:eastAsia="Times New Roman" w:hAnsi="Times New Roman"/>
          <w:color w:val="000000"/>
          <w:spacing w:val="-3"/>
          <w:lang w:val="it-IT" w:eastAsia="ar-SA"/>
        </w:rPr>
        <w:t>Ossido di ferro rosso (E172)</w:t>
      </w:r>
    </w:p>
    <w:p>
      <w:pPr>
        <w:widowControl w:val="0"/>
        <w:shd w:val="clear" w:color="auto" w:fill="FFFFFF"/>
        <w:tabs>
          <w:tab w:val="left" w:pos="2582"/>
        </w:tabs>
        <w:suppressAutoHyphens/>
        <w:autoSpaceDE w:val="0"/>
        <w:spacing w:after="0" w:line="240" w:lineRule="auto"/>
        <w:rPr>
          <w:rFonts w:ascii="Times New Roman" w:eastAsia="Times New Roman" w:hAnsi="Times New Roman"/>
          <w:spacing w:val="-2"/>
          <w:lang w:val="it-IT" w:eastAsia="ar-SA"/>
        </w:rPr>
      </w:pPr>
      <w:r>
        <w:rPr>
          <w:rFonts w:ascii="Times New Roman" w:eastAsia="Times New Roman" w:hAnsi="Times New Roman"/>
          <w:spacing w:val="-2"/>
          <w:lang w:val="it-IT" w:eastAsia="ar-SA"/>
        </w:rPr>
        <w:t>Ossido di ferro giallo (E 172)</w:t>
      </w:r>
    </w:p>
    <w:p>
      <w:pPr>
        <w:widowControl w:val="0"/>
        <w:shd w:val="clear" w:color="auto" w:fill="FFFFFF"/>
        <w:tabs>
          <w:tab w:val="left" w:pos="2582"/>
        </w:tabs>
        <w:suppressAutoHyphens/>
        <w:autoSpaceDE w:val="0"/>
        <w:spacing w:after="0" w:line="240" w:lineRule="auto"/>
        <w:rPr>
          <w:rFonts w:ascii="Times New Roman" w:eastAsia="Times New Roman" w:hAnsi="Times New Roman"/>
          <w:color w:val="000000"/>
          <w:lang w:val="it-IT" w:eastAsia="ar-SA"/>
        </w:rPr>
      </w:pPr>
      <w:r>
        <w:rPr>
          <w:rFonts w:ascii="Times New Roman" w:eastAsia="Times New Roman" w:hAnsi="Times New Roman"/>
          <w:color w:val="000000"/>
          <w:lang w:val="it-IT" w:eastAsia="ar-SA"/>
        </w:rPr>
        <w:t>Talco</w:t>
      </w:r>
    </w:p>
    <w:p>
      <w:pPr>
        <w:widowControl w:val="0"/>
        <w:shd w:val="clear" w:color="auto" w:fill="FFFFFF"/>
        <w:suppressAutoHyphens/>
        <w:autoSpaceDE w:val="0"/>
        <w:spacing w:after="0" w:line="240" w:lineRule="auto"/>
        <w:rPr>
          <w:rFonts w:ascii="Times New Roman" w:eastAsia="Times New Roman" w:hAnsi="Times New Roman"/>
          <w:color w:val="000000"/>
          <w:lang w:val="it-IT" w:eastAsia="ar-SA"/>
        </w:rPr>
      </w:pPr>
      <w:r>
        <w:rPr>
          <w:rFonts w:ascii="Times New Roman" w:eastAsia="Times New Roman" w:hAnsi="Times New Roman"/>
          <w:color w:val="000000"/>
          <w:lang w:val="it-IT" w:eastAsia="ar-SA"/>
        </w:rPr>
        <w:t>Macrogol 3000</w:t>
      </w:r>
    </w:p>
    <w:p>
      <w:pPr>
        <w:widowControl w:val="0"/>
        <w:shd w:val="clear" w:color="auto" w:fill="FFFFFF"/>
        <w:tabs>
          <w:tab w:val="left" w:pos="2582"/>
        </w:tabs>
        <w:suppressAutoHyphens/>
        <w:autoSpaceDE w:val="0"/>
        <w:spacing w:after="0" w:line="240" w:lineRule="auto"/>
        <w:rPr>
          <w:rFonts w:ascii="Times New Roman" w:eastAsia="Times New Roman" w:hAnsi="Times New Roman"/>
          <w:color w:val="000000"/>
          <w:lang w:val="it-IT" w:eastAsia="ar-SA"/>
        </w:rPr>
      </w:pPr>
    </w:p>
    <w:p>
      <w:pPr>
        <w:widowControl w:val="0"/>
        <w:numPr>
          <w:ilvl w:val="0"/>
          <w:numId w:val="1"/>
        </w:numPr>
        <w:shd w:val="clear" w:color="auto" w:fill="FFFFFF"/>
        <w:tabs>
          <w:tab w:val="clear" w:pos="0"/>
          <w:tab w:val="left" w:pos="20"/>
          <w:tab w:val="left" w:pos="567"/>
        </w:tabs>
        <w:suppressAutoHyphens/>
        <w:autoSpaceDE w:val="0"/>
        <w:spacing w:after="0" w:line="240" w:lineRule="auto"/>
        <w:rPr>
          <w:rFonts w:ascii="Times New Roman" w:eastAsia="Times New Roman" w:hAnsi="Times New Roman"/>
          <w:b/>
          <w:bCs/>
          <w:color w:val="000000"/>
          <w:spacing w:val="-1"/>
          <w:lang w:val="it-IT" w:eastAsia="ar-SA"/>
        </w:rPr>
      </w:pPr>
      <w:r>
        <w:rPr>
          <w:rFonts w:ascii="Times New Roman" w:eastAsia="Times New Roman" w:hAnsi="Times New Roman"/>
          <w:b/>
          <w:bCs/>
          <w:color w:val="000000"/>
          <w:spacing w:val="-1"/>
          <w:lang w:val="it-IT" w:eastAsia="ar-SA"/>
        </w:rPr>
        <w:t>Incompatibilità</w:t>
      </w:r>
    </w:p>
    <w:p>
      <w:pPr>
        <w:widowControl w:val="0"/>
        <w:shd w:val="clear" w:color="auto" w:fill="FFFFFF"/>
        <w:tabs>
          <w:tab w:val="left" w:pos="567"/>
        </w:tabs>
        <w:suppressAutoHyphens/>
        <w:autoSpaceDE w:val="0"/>
        <w:spacing w:after="0" w:line="240" w:lineRule="auto"/>
        <w:rPr>
          <w:rFonts w:ascii="Times New Roman" w:eastAsia="Times New Roman" w:hAnsi="Times New Roman"/>
          <w:b/>
          <w:bCs/>
          <w:color w:val="000000"/>
          <w:spacing w:val="-1"/>
          <w:lang w:val="it-IT" w:eastAsia="ar-SA"/>
        </w:rPr>
      </w:pPr>
    </w:p>
    <w:p>
      <w:pPr>
        <w:widowControl w:val="0"/>
        <w:shd w:val="clear" w:color="auto" w:fill="FFFFFF"/>
        <w:tabs>
          <w:tab w:val="left" w:pos="567"/>
        </w:tabs>
        <w:suppressAutoHyphens/>
        <w:autoSpaceDE w:val="0"/>
        <w:spacing w:after="0" w:line="240" w:lineRule="auto"/>
        <w:rPr>
          <w:rFonts w:ascii="Times New Roman" w:eastAsia="Times New Roman" w:hAnsi="Times New Roman"/>
          <w:color w:val="000000"/>
          <w:lang w:val="it-IT" w:eastAsia="ar-SA"/>
        </w:rPr>
      </w:pPr>
      <w:r>
        <w:rPr>
          <w:rFonts w:ascii="Times New Roman" w:eastAsia="Times New Roman" w:hAnsi="Times New Roman"/>
          <w:color w:val="000000"/>
          <w:lang w:val="it-IT" w:eastAsia="ar-SA"/>
        </w:rPr>
        <w:t>Non pertinente</w:t>
      </w:r>
    </w:p>
    <w:p>
      <w:pPr>
        <w:widowControl w:val="0"/>
        <w:shd w:val="clear" w:color="auto" w:fill="FFFFFF"/>
        <w:tabs>
          <w:tab w:val="left" w:pos="567"/>
        </w:tabs>
        <w:suppressAutoHyphens/>
        <w:autoSpaceDE w:val="0"/>
        <w:spacing w:after="0" w:line="240" w:lineRule="auto"/>
        <w:rPr>
          <w:rFonts w:ascii="Times New Roman" w:eastAsia="Times New Roman" w:hAnsi="Times New Roman"/>
          <w:color w:val="000000"/>
          <w:lang w:val="it-IT" w:eastAsia="ar-SA"/>
        </w:rPr>
      </w:pPr>
    </w:p>
    <w:p>
      <w:pPr>
        <w:widowControl w:val="0"/>
        <w:numPr>
          <w:ilvl w:val="0"/>
          <w:numId w:val="1"/>
        </w:numPr>
        <w:shd w:val="clear" w:color="auto" w:fill="FFFFFF"/>
        <w:tabs>
          <w:tab w:val="clear" w:pos="0"/>
          <w:tab w:val="left" w:pos="20"/>
          <w:tab w:val="left" w:pos="567"/>
        </w:tabs>
        <w:suppressAutoHyphens/>
        <w:autoSpaceDE w:val="0"/>
        <w:spacing w:after="0" w:line="240" w:lineRule="auto"/>
        <w:rPr>
          <w:rFonts w:ascii="Times New Roman" w:eastAsia="Times New Roman" w:hAnsi="Times New Roman"/>
          <w:b/>
          <w:bCs/>
          <w:color w:val="000000"/>
          <w:spacing w:val="-1"/>
          <w:lang w:val="it-IT" w:eastAsia="ar-SA"/>
        </w:rPr>
      </w:pPr>
      <w:r>
        <w:rPr>
          <w:rFonts w:ascii="Times New Roman" w:eastAsia="Times New Roman" w:hAnsi="Times New Roman"/>
          <w:b/>
          <w:bCs/>
          <w:color w:val="000000"/>
          <w:spacing w:val="-1"/>
          <w:lang w:val="it-IT" w:eastAsia="ar-SA"/>
        </w:rPr>
        <w:t>Periodo di validità</w:t>
      </w:r>
    </w:p>
    <w:p>
      <w:pPr>
        <w:widowControl w:val="0"/>
        <w:shd w:val="clear" w:color="auto" w:fill="FFFFFF"/>
        <w:tabs>
          <w:tab w:val="left" w:pos="567"/>
        </w:tabs>
        <w:suppressAutoHyphens/>
        <w:autoSpaceDE w:val="0"/>
        <w:spacing w:after="0" w:line="240" w:lineRule="auto"/>
        <w:rPr>
          <w:rFonts w:ascii="Times New Roman" w:eastAsia="Times New Roman" w:hAnsi="Times New Roman"/>
          <w:b/>
          <w:bCs/>
          <w:color w:val="000000"/>
          <w:spacing w:val="-1"/>
          <w:lang w:val="it-IT" w:eastAsia="ar-SA"/>
        </w:rPr>
      </w:pPr>
    </w:p>
    <w:p>
      <w:pPr>
        <w:widowControl w:val="0"/>
        <w:shd w:val="clear" w:color="auto" w:fill="FFFFFF"/>
        <w:tabs>
          <w:tab w:val="left" w:pos="567"/>
        </w:tabs>
        <w:suppressAutoHyphens/>
        <w:autoSpaceDE w:val="0"/>
        <w:spacing w:after="0" w:line="240" w:lineRule="auto"/>
        <w:rPr>
          <w:rFonts w:ascii="Times New Roman" w:eastAsia="Times New Roman" w:hAnsi="Times New Roman"/>
          <w:color w:val="000000"/>
          <w:spacing w:val="-1"/>
          <w:lang w:val="it-IT" w:eastAsia="ar-SA"/>
        </w:rPr>
      </w:pPr>
      <w:r>
        <w:rPr>
          <w:rFonts w:ascii="Times New Roman" w:eastAsia="Times New Roman" w:hAnsi="Times New Roman"/>
          <w:color w:val="000000"/>
          <w:spacing w:val="-1"/>
          <w:lang w:val="it-IT" w:eastAsia="ar-SA"/>
        </w:rPr>
        <w:t>3 anni</w:t>
      </w:r>
    </w:p>
    <w:p>
      <w:pPr>
        <w:widowControl w:val="0"/>
        <w:shd w:val="clear" w:color="auto" w:fill="FFFFFF"/>
        <w:tabs>
          <w:tab w:val="left" w:pos="567"/>
        </w:tabs>
        <w:suppressAutoHyphens/>
        <w:autoSpaceDE w:val="0"/>
        <w:spacing w:after="0" w:line="240" w:lineRule="auto"/>
        <w:rPr>
          <w:rFonts w:ascii="Times New Roman" w:eastAsia="Times New Roman" w:hAnsi="Times New Roman"/>
          <w:color w:val="000000"/>
          <w:spacing w:val="-1"/>
          <w:lang w:val="it-IT" w:eastAsia="ar-SA"/>
        </w:rPr>
      </w:pPr>
    </w:p>
    <w:p>
      <w:pPr>
        <w:widowControl w:val="0"/>
        <w:numPr>
          <w:ilvl w:val="0"/>
          <w:numId w:val="1"/>
        </w:numPr>
        <w:shd w:val="clear" w:color="auto" w:fill="FFFFFF"/>
        <w:tabs>
          <w:tab w:val="clear" w:pos="0"/>
          <w:tab w:val="left" w:pos="20"/>
          <w:tab w:val="left" w:pos="567"/>
        </w:tabs>
        <w:suppressAutoHyphens/>
        <w:autoSpaceDE w:val="0"/>
        <w:spacing w:after="0" w:line="240" w:lineRule="auto"/>
        <w:rPr>
          <w:rFonts w:ascii="Times New Roman" w:eastAsia="Times New Roman" w:hAnsi="Times New Roman"/>
          <w:b/>
          <w:bCs/>
          <w:color w:val="000000"/>
          <w:spacing w:val="2"/>
          <w:lang w:val="it-IT" w:eastAsia="ar-SA"/>
        </w:rPr>
      </w:pPr>
      <w:r>
        <w:rPr>
          <w:rFonts w:ascii="Times New Roman" w:eastAsia="Times New Roman" w:hAnsi="Times New Roman"/>
          <w:b/>
          <w:bCs/>
          <w:color w:val="000000"/>
          <w:spacing w:val="2"/>
          <w:lang w:val="it-IT" w:eastAsia="ar-SA"/>
        </w:rPr>
        <w:t>Precauzioni particolari per la conservazione</w:t>
      </w:r>
    </w:p>
    <w:p>
      <w:pPr>
        <w:widowControl w:val="0"/>
        <w:shd w:val="clear" w:color="auto" w:fill="FFFFFF"/>
        <w:suppressAutoHyphens/>
        <w:autoSpaceDE w:val="0"/>
        <w:spacing w:after="0" w:line="240" w:lineRule="auto"/>
        <w:rPr>
          <w:rFonts w:ascii="Times New Roman" w:eastAsia="Times New Roman" w:hAnsi="Times New Roman"/>
          <w:color w:val="000000"/>
          <w:lang w:val="it-IT" w:eastAsia="ar-SA"/>
        </w:rPr>
      </w:pPr>
    </w:p>
    <w:p>
      <w:pPr>
        <w:widowControl w:val="0"/>
        <w:shd w:val="clear" w:color="auto" w:fill="FFFFFF"/>
        <w:suppressAutoHyphens/>
        <w:autoSpaceDE w:val="0"/>
        <w:spacing w:after="0" w:line="240" w:lineRule="auto"/>
        <w:rPr>
          <w:rFonts w:ascii="Times New Roman" w:eastAsia="Times New Roman" w:hAnsi="Times New Roman"/>
          <w:color w:val="000000"/>
          <w:lang w:val="it-IT" w:eastAsia="ar-SA"/>
        </w:rPr>
      </w:pPr>
      <w:r>
        <w:rPr>
          <w:rFonts w:ascii="Times New Roman" w:eastAsia="Times New Roman" w:hAnsi="Times New Roman"/>
          <w:color w:val="000000"/>
          <w:lang w:val="it-IT" w:eastAsia="ar-SA"/>
        </w:rPr>
        <w:t>Conservare nella confezione originale per proteggere il medicinale dall’umidità e dalla luce.</w:t>
      </w:r>
    </w:p>
    <w:p>
      <w:pPr>
        <w:widowControl w:val="0"/>
        <w:shd w:val="clear" w:color="auto" w:fill="FFFFFF"/>
        <w:tabs>
          <w:tab w:val="left" w:pos="567"/>
        </w:tabs>
        <w:suppressAutoHyphens/>
        <w:autoSpaceDE w:val="0"/>
        <w:spacing w:after="0" w:line="240" w:lineRule="auto"/>
        <w:rPr>
          <w:rFonts w:ascii="Times New Roman" w:eastAsia="Times New Roman" w:hAnsi="Times New Roman"/>
          <w:b/>
          <w:bCs/>
          <w:color w:val="000000"/>
          <w:spacing w:val="-2"/>
          <w:lang w:val="it-IT" w:eastAsia="ar-SA"/>
        </w:rPr>
      </w:pPr>
    </w:p>
    <w:p>
      <w:pPr>
        <w:widowControl w:val="0"/>
        <w:shd w:val="clear" w:color="auto" w:fill="FFFFFF"/>
        <w:tabs>
          <w:tab w:val="left" w:pos="567"/>
        </w:tabs>
        <w:suppressAutoHyphens/>
        <w:autoSpaceDE w:val="0"/>
        <w:spacing w:after="0" w:line="240" w:lineRule="auto"/>
        <w:rPr>
          <w:rFonts w:ascii="Times New Roman" w:eastAsia="Times New Roman" w:hAnsi="Times New Roman"/>
          <w:b/>
          <w:bCs/>
          <w:color w:val="000000"/>
          <w:lang w:val="it-IT" w:eastAsia="ar-SA"/>
        </w:rPr>
      </w:pPr>
      <w:r>
        <w:rPr>
          <w:rFonts w:ascii="Times New Roman" w:eastAsia="Times New Roman" w:hAnsi="Times New Roman"/>
          <w:b/>
          <w:bCs/>
          <w:color w:val="000000"/>
          <w:spacing w:val="-2"/>
          <w:lang w:val="it-IT" w:eastAsia="ar-SA"/>
        </w:rPr>
        <w:t>6.5</w:t>
      </w:r>
      <w:r>
        <w:rPr>
          <w:rFonts w:ascii="Times New Roman" w:eastAsia="Times New Roman" w:hAnsi="Times New Roman"/>
          <w:b/>
          <w:bCs/>
          <w:color w:val="000000"/>
          <w:lang w:val="it-IT" w:eastAsia="ar-SA"/>
        </w:rPr>
        <w:tab/>
        <w:t>Natura e contenuto del contenitore</w:t>
      </w:r>
    </w:p>
    <w:p>
      <w:pPr>
        <w:widowControl w:val="0"/>
        <w:shd w:val="clear" w:color="auto" w:fill="FFFFFF"/>
        <w:suppressAutoHyphens/>
        <w:autoSpaceDE w:val="0"/>
        <w:spacing w:after="0" w:line="240" w:lineRule="auto"/>
        <w:rPr>
          <w:rFonts w:ascii="Times New Roman" w:eastAsia="Times New Roman" w:hAnsi="Times New Roman"/>
          <w:color w:val="000000"/>
          <w:spacing w:val="-1"/>
          <w:lang w:val="it-IT" w:eastAsia="ar-SA"/>
        </w:rPr>
      </w:pPr>
    </w:p>
    <w:p>
      <w:pPr>
        <w:widowControl w:val="0"/>
        <w:shd w:val="clear" w:color="auto" w:fill="FFFFFF"/>
        <w:suppressAutoHyphens/>
        <w:autoSpaceDE w:val="0"/>
        <w:spacing w:after="0" w:line="240" w:lineRule="auto"/>
        <w:rPr>
          <w:rFonts w:ascii="Times New Roman" w:eastAsia="Times New Roman" w:hAnsi="Times New Roman"/>
          <w:color w:val="000000"/>
          <w:lang w:val="it-IT" w:eastAsia="ar-SA"/>
        </w:rPr>
      </w:pPr>
      <w:r>
        <w:rPr>
          <w:rFonts w:ascii="Times New Roman" w:eastAsia="Times New Roman" w:hAnsi="Times New Roman"/>
          <w:color w:val="000000"/>
          <w:spacing w:val="-1"/>
          <w:lang w:val="it-IT" w:eastAsia="ar-SA"/>
        </w:rPr>
        <w:t xml:space="preserve">Blister in OPA/Al/PVC -Al contenente 7, 14, 28, </w:t>
      </w:r>
      <w:r>
        <w:rPr>
          <w:rFonts w:ascii="Times New Roman" w:eastAsia="Times New Roman" w:hAnsi="Times New Roman"/>
          <w:color w:val="000000"/>
          <w:lang w:val="it-IT" w:eastAsia="ar-SA"/>
        </w:rPr>
        <w:t>30, 50, 56, 60, 84, 90, 100, 112 e 120 compresse rivestite con film in una scatola.</w:t>
      </w:r>
    </w:p>
    <w:p>
      <w:pPr>
        <w:widowControl w:val="0"/>
        <w:shd w:val="clear" w:color="auto" w:fill="FFFFFF"/>
        <w:suppressAutoHyphens/>
        <w:autoSpaceDE w:val="0"/>
        <w:spacing w:after="0" w:line="240" w:lineRule="auto"/>
        <w:rPr>
          <w:rFonts w:ascii="Times New Roman" w:eastAsia="Times New Roman" w:hAnsi="Times New Roman"/>
          <w:color w:val="000000"/>
          <w:lang w:val="it-IT" w:eastAsia="ar-SA"/>
        </w:rPr>
      </w:pPr>
      <w:r>
        <w:rPr>
          <w:rFonts w:ascii="Times New Roman" w:eastAsia="Times New Roman" w:hAnsi="Times New Roman"/>
          <w:color w:val="000000"/>
          <w:lang w:val="it-IT" w:eastAsia="ar-SA"/>
        </w:rPr>
        <w:t>È possibile che non tutte le confezioni siano commercializzate.</w:t>
      </w:r>
    </w:p>
    <w:p>
      <w:pPr>
        <w:widowControl w:val="0"/>
        <w:shd w:val="clear" w:color="auto" w:fill="FFFFFF"/>
        <w:tabs>
          <w:tab w:val="left" w:pos="656"/>
        </w:tabs>
        <w:suppressAutoHyphens/>
        <w:autoSpaceDE w:val="0"/>
        <w:spacing w:after="0" w:line="240" w:lineRule="auto"/>
        <w:rPr>
          <w:rFonts w:ascii="Times New Roman" w:eastAsia="Times New Roman" w:hAnsi="Times New Roman"/>
          <w:b/>
          <w:bCs/>
          <w:color w:val="000000"/>
          <w:spacing w:val="-3"/>
          <w:lang w:val="it-IT" w:eastAsia="ar-SA"/>
        </w:rPr>
      </w:pPr>
    </w:p>
    <w:p>
      <w:pPr>
        <w:widowControl w:val="0"/>
        <w:shd w:val="clear" w:color="auto" w:fill="FFFFFF"/>
        <w:tabs>
          <w:tab w:val="left" w:pos="567"/>
        </w:tabs>
        <w:suppressAutoHyphens/>
        <w:autoSpaceDE w:val="0"/>
        <w:spacing w:after="0" w:line="240" w:lineRule="auto"/>
        <w:rPr>
          <w:rFonts w:ascii="Times New Roman" w:eastAsia="Times New Roman" w:hAnsi="Times New Roman"/>
          <w:b/>
          <w:bCs/>
          <w:color w:val="000000"/>
          <w:lang w:val="it-IT" w:eastAsia="ar-SA"/>
        </w:rPr>
      </w:pPr>
      <w:r>
        <w:rPr>
          <w:rFonts w:ascii="Times New Roman" w:eastAsia="Times New Roman" w:hAnsi="Times New Roman"/>
          <w:b/>
          <w:bCs/>
          <w:color w:val="000000"/>
          <w:spacing w:val="-3"/>
          <w:lang w:val="it-IT" w:eastAsia="ar-SA"/>
        </w:rPr>
        <w:t>6.6</w:t>
      </w:r>
      <w:r>
        <w:rPr>
          <w:rFonts w:ascii="Times New Roman" w:eastAsia="Times New Roman" w:hAnsi="Times New Roman"/>
          <w:b/>
          <w:bCs/>
          <w:color w:val="000000"/>
          <w:lang w:val="it-IT" w:eastAsia="ar-SA"/>
        </w:rPr>
        <w:tab/>
        <w:t>Precauzioni particolari per lo smaltimento</w:t>
      </w:r>
    </w:p>
    <w:p>
      <w:pPr>
        <w:widowControl w:val="0"/>
        <w:shd w:val="clear" w:color="auto" w:fill="FFFFFF"/>
        <w:suppressAutoHyphens/>
        <w:autoSpaceDE w:val="0"/>
        <w:spacing w:after="0" w:line="240" w:lineRule="auto"/>
        <w:rPr>
          <w:rFonts w:ascii="Times New Roman" w:eastAsia="Times New Roman" w:hAnsi="Times New Roman"/>
          <w:color w:val="000000"/>
          <w:spacing w:val="-1"/>
          <w:lang w:val="it-IT" w:eastAsia="ar-SA"/>
        </w:rPr>
      </w:pPr>
    </w:p>
    <w:p>
      <w:pPr>
        <w:widowControl w:val="0"/>
        <w:suppressAutoHyphens/>
        <w:autoSpaceDE w:val="0"/>
        <w:spacing w:after="0" w:line="240" w:lineRule="auto"/>
        <w:rPr>
          <w:rFonts w:ascii="Times New Roman" w:eastAsia="Times New Roman" w:hAnsi="Times New Roman"/>
          <w:lang w:val="it-IT" w:eastAsia="ar-SA"/>
        </w:rPr>
      </w:pPr>
      <w:r>
        <w:rPr>
          <w:rFonts w:ascii="Times New Roman" w:eastAsia="Times New Roman" w:hAnsi="Times New Roman"/>
          <w:lang w:val="it-IT" w:eastAsia="ar-SA"/>
        </w:rPr>
        <w:t>Nessuna istruzione particolare.</w:t>
      </w:r>
    </w:p>
    <w:p>
      <w:pPr>
        <w:widowControl w:val="0"/>
        <w:shd w:val="clear" w:color="auto" w:fill="FFFFFF"/>
        <w:tabs>
          <w:tab w:val="left" w:pos="915"/>
        </w:tabs>
        <w:suppressAutoHyphens/>
        <w:autoSpaceDE w:val="0"/>
        <w:spacing w:after="0" w:line="240" w:lineRule="auto"/>
        <w:rPr>
          <w:rFonts w:ascii="Times New Roman" w:eastAsia="Times New Roman" w:hAnsi="Times New Roman"/>
          <w:color w:val="000000"/>
          <w:spacing w:val="-1"/>
          <w:lang w:val="it-IT" w:eastAsia="ar-SA"/>
        </w:rPr>
      </w:pPr>
      <w:r>
        <w:rPr>
          <w:rFonts w:ascii="Times New Roman" w:eastAsia="Times New Roman" w:hAnsi="Times New Roman"/>
          <w:color w:val="000000"/>
          <w:spacing w:val="-1"/>
          <w:lang w:val="it-IT" w:eastAsia="ar-SA"/>
        </w:rPr>
        <w:tab/>
      </w:r>
    </w:p>
    <w:p>
      <w:pPr>
        <w:widowControl w:val="0"/>
        <w:shd w:val="clear" w:color="auto" w:fill="FFFFFF"/>
        <w:suppressAutoHyphens/>
        <w:autoSpaceDE w:val="0"/>
        <w:spacing w:after="0" w:line="240" w:lineRule="auto"/>
        <w:rPr>
          <w:rFonts w:ascii="Times New Roman" w:eastAsia="Times New Roman" w:hAnsi="Times New Roman"/>
          <w:color w:val="000000"/>
          <w:spacing w:val="-1"/>
          <w:lang w:val="it-IT" w:eastAsia="ar-SA"/>
        </w:rPr>
      </w:pPr>
    </w:p>
    <w:p>
      <w:pPr>
        <w:widowControl w:val="0"/>
        <w:shd w:val="clear" w:color="auto" w:fill="FFFFFF"/>
        <w:tabs>
          <w:tab w:val="left" w:pos="567"/>
        </w:tabs>
        <w:suppressAutoHyphens/>
        <w:autoSpaceDE w:val="0"/>
        <w:spacing w:after="0" w:line="240" w:lineRule="auto"/>
        <w:rPr>
          <w:rFonts w:ascii="Times New Roman" w:eastAsia="Times New Roman" w:hAnsi="Times New Roman"/>
          <w:b/>
          <w:bCs/>
          <w:color w:val="000000"/>
          <w:lang w:val="it-IT" w:eastAsia="ar-SA"/>
        </w:rPr>
      </w:pPr>
      <w:r>
        <w:rPr>
          <w:rFonts w:ascii="Times New Roman" w:eastAsia="Times New Roman" w:hAnsi="Times New Roman"/>
          <w:b/>
          <w:bCs/>
          <w:color w:val="000000"/>
          <w:spacing w:val="-7"/>
          <w:lang w:val="it-IT" w:eastAsia="ar-SA"/>
        </w:rPr>
        <w:t>7.</w:t>
      </w:r>
      <w:r>
        <w:rPr>
          <w:rFonts w:ascii="Times New Roman" w:eastAsia="Times New Roman" w:hAnsi="Times New Roman"/>
          <w:b/>
          <w:bCs/>
          <w:color w:val="000000"/>
          <w:lang w:val="it-IT" w:eastAsia="ar-SA"/>
        </w:rPr>
        <w:tab/>
        <w:t>TITOLARE DELL'AUTORIZZAZIONE ALL'IMMISSIONE IN COMMERCIO</w:t>
      </w:r>
    </w:p>
    <w:p>
      <w:pPr>
        <w:widowControl w:val="0"/>
        <w:shd w:val="clear" w:color="auto" w:fill="FFFFFF"/>
        <w:tabs>
          <w:tab w:val="left" w:pos="5559"/>
        </w:tabs>
        <w:suppressAutoHyphens/>
        <w:autoSpaceDE w:val="0"/>
        <w:spacing w:after="0" w:line="240" w:lineRule="auto"/>
        <w:rPr>
          <w:rFonts w:ascii="Times New Roman" w:eastAsia="Times New Roman" w:hAnsi="Times New Roman"/>
          <w:color w:val="000000"/>
          <w:spacing w:val="-1"/>
          <w:lang w:val="it-IT" w:eastAsia="ar-SA"/>
        </w:rPr>
      </w:pPr>
    </w:p>
    <w:p>
      <w:pPr>
        <w:widowControl w:val="0"/>
        <w:shd w:val="clear" w:color="auto" w:fill="FFFFFF"/>
        <w:tabs>
          <w:tab w:val="left" w:pos="5559"/>
        </w:tabs>
        <w:suppressAutoHyphens/>
        <w:autoSpaceDE w:val="0"/>
        <w:spacing w:after="0" w:line="240" w:lineRule="auto"/>
        <w:rPr>
          <w:rFonts w:ascii="Times New Roman" w:eastAsia="Times New Roman" w:hAnsi="Times New Roman"/>
          <w:color w:val="000000"/>
          <w:spacing w:val="-1"/>
          <w:lang w:val="it-IT" w:eastAsia="ar-SA"/>
        </w:rPr>
      </w:pPr>
      <w:r>
        <w:rPr>
          <w:rFonts w:ascii="Times New Roman" w:eastAsia="Times New Roman" w:hAnsi="Times New Roman"/>
          <w:color w:val="000000"/>
          <w:spacing w:val="-1"/>
          <w:lang w:val="it-IT" w:eastAsia="ar-SA"/>
        </w:rPr>
        <w:t>KRKA, d.d., Novo mesto, Šmarješka cesta 6, 8501 Novo mesto, Slovenia</w:t>
      </w:r>
    </w:p>
    <w:p>
      <w:pPr>
        <w:widowControl w:val="0"/>
        <w:shd w:val="clear" w:color="auto" w:fill="FFFFFF"/>
        <w:tabs>
          <w:tab w:val="left" w:pos="5559"/>
        </w:tabs>
        <w:suppressAutoHyphens/>
        <w:autoSpaceDE w:val="0"/>
        <w:spacing w:after="0" w:line="240" w:lineRule="auto"/>
        <w:rPr>
          <w:rFonts w:ascii="Times New Roman" w:eastAsia="Times New Roman" w:hAnsi="Times New Roman"/>
          <w:color w:val="000000"/>
          <w:spacing w:val="2"/>
          <w:lang w:val="it-IT" w:eastAsia="ar-SA"/>
        </w:rPr>
      </w:pPr>
    </w:p>
    <w:p>
      <w:pPr>
        <w:widowControl w:val="0"/>
        <w:shd w:val="clear" w:color="auto" w:fill="FFFFFF"/>
        <w:tabs>
          <w:tab w:val="left" w:pos="5559"/>
        </w:tabs>
        <w:suppressAutoHyphens/>
        <w:autoSpaceDE w:val="0"/>
        <w:spacing w:after="0" w:line="240" w:lineRule="auto"/>
        <w:rPr>
          <w:rFonts w:ascii="Times New Roman" w:eastAsia="Times New Roman" w:hAnsi="Times New Roman"/>
          <w:color w:val="000000"/>
          <w:spacing w:val="2"/>
          <w:lang w:val="it-IT" w:eastAsia="ar-SA"/>
        </w:rPr>
      </w:pPr>
    </w:p>
    <w:p>
      <w:pPr>
        <w:widowControl w:val="0"/>
        <w:shd w:val="clear" w:color="auto" w:fill="FFFFFF"/>
        <w:tabs>
          <w:tab w:val="left" w:pos="567"/>
        </w:tabs>
        <w:suppressAutoHyphens/>
        <w:autoSpaceDE w:val="0"/>
        <w:spacing w:after="0" w:line="240" w:lineRule="auto"/>
        <w:ind w:left="5"/>
        <w:rPr>
          <w:rFonts w:ascii="Times New Roman" w:eastAsia="Times New Roman" w:hAnsi="Times New Roman"/>
          <w:b/>
          <w:bCs/>
          <w:color w:val="000000"/>
          <w:lang w:val="it-IT" w:eastAsia="ar-SA"/>
        </w:rPr>
      </w:pPr>
      <w:r>
        <w:rPr>
          <w:rFonts w:ascii="Times New Roman" w:eastAsia="Times New Roman" w:hAnsi="Times New Roman"/>
          <w:b/>
          <w:bCs/>
          <w:color w:val="000000"/>
          <w:spacing w:val="-7"/>
          <w:lang w:val="it-IT" w:eastAsia="ar-SA"/>
        </w:rPr>
        <w:t>8.</w:t>
      </w:r>
      <w:r>
        <w:rPr>
          <w:rFonts w:ascii="Times New Roman" w:eastAsia="Times New Roman" w:hAnsi="Times New Roman"/>
          <w:b/>
          <w:bCs/>
          <w:color w:val="000000"/>
          <w:lang w:val="it-IT" w:eastAsia="ar-SA"/>
        </w:rPr>
        <w:tab/>
        <w:t>NUMERI DELLE AUTORIZZAZIONI ALL'IMMISSIONE IN COMMERCIO</w:t>
      </w:r>
    </w:p>
    <w:p>
      <w:pPr>
        <w:widowControl w:val="0"/>
        <w:shd w:val="clear" w:color="auto" w:fill="FFFFFF"/>
        <w:tabs>
          <w:tab w:val="left" w:pos="567"/>
        </w:tabs>
        <w:suppressAutoHyphens/>
        <w:autoSpaceDE w:val="0"/>
        <w:spacing w:after="0" w:line="240" w:lineRule="auto"/>
        <w:ind w:left="5"/>
        <w:rPr>
          <w:rFonts w:ascii="Times New Roman" w:eastAsia="Times New Roman" w:hAnsi="Times New Roman"/>
          <w:b/>
          <w:bCs/>
          <w:color w:val="000000"/>
          <w:lang w:val="it-IT" w:eastAsia="ar-SA"/>
        </w:rPr>
      </w:pPr>
    </w:p>
    <w:p>
      <w:pPr>
        <w:widowControl w:val="0"/>
        <w:suppressAutoHyphens/>
        <w:autoSpaceDE w:val="0"/>
        <w:spacing w:after="0" w:line="240" w:lineRule="auto"/>
        <w:rPr>
          <w:rFonts w:ascii="Times New Roman" w:eastAsia="Times New Roman" w:hAnsi="Times New Roman"/>
          <w:lang w:val="it-IT" w:eastAsia="ar-SA"/>
        </w:rPr>
      </w:pPr>
      <w:r>
        <w:rPr>
          <w:rFonts w:ascii="Times New Roman" w:eastAsia="Times New Roman" w:hAnsi="Times New Roman"/>
          <w:lang w:val="it-IT" w:eastAsia="ar-SA"/>
        </w:rPr>
        <w:t>7 compresse rivestite con film: EU/1/09/556/001</w:t>
      </w:r>
    </w:p>
    <w:p>
      <w:pPr>
        <w:widowControl w:val="0"/>
        <w:suppressAutoHyphens/>
        <w:autoSpaceDE w:val="0"/>
        <w:spacing w:after="0" w:line="240" w:lineRule="auto"/>
        <w:rPr>
          <w:rFonts w:ascii="Times New Roman" w:eastAsia="Times New Roman" w:hAnsi="Times New Roman"/>
          <w:shd w:val="clear" w:color="auto" w:fill="CCCCCC"/>
          <w:lang w:val="it-IT" w:eastAsia="ar-SA"/>
        </w:rPr>
      </w:pPr>
      <w:r>
        <w:rPr>
          <w:rFonts w:ascii="Times New Roman" w:eastAsia="Times New Roman" w:hAnsi="Times New Roman"/>
          <w:color w:val="000000"/>
          <w:lang w:val="it-IT" w:eastAsia="sl-SI"/>
        </w:rPr>
        <w:t>14 compresse rivestite con film</w:t>
      </w:r>
      <w:r>
        <w:rPr>
          <w:rFonts w:ascii="Times New Roman" w:eastAsia="Times New Roman" w:hAnsi="Times New Roman"/>
          <w:lang w:val="it-IT" w:eastAsia="ar-SA"/>
        </w:rPr>
        <w:t>: EU/1/09/556/002</w:t>
      </w:r>
    </w:p>
    <w:p>
      <w:pPr>
        <w:widowControl w:val="0"/>
        <w:suppressAutoHyphens/>
        <w:autoSpaceDE w:val="0"/>
        <w:spacing w:after="0" w:line="240" w:lineRule="auto"/>
        <w:rPr>
          <w:rFonts w:ascii="Times New Roman" w:eastAsia="Times New Roman" w:hAnsi="Times New Roman"/>
          <w:shd w:val="clear" w:color="auto" w:fill="CCCCCC"/>
          <w:lang w:val="it-IT" w:eastAsia="ar-SA"/>
        </w:rPr>
      </w:pPr>
      <w:r>
        <w:rPr>
          <w:rFonts w:ascii="Times New Roman" w:eastAsia="Times New Roman" w:hAnsi="Times New Roman"/>
          <w:color w:val="000000"/>
          <w:lang w:val="it-IT" w:eastAsia="sl-SI"/>
        </w:rPr>
        <w:t>28 compresse rivestite con film</w:t>
      </w:r>
      <w:r>
        <w:rPr>
          <w:rFonts w:ascii="Times New Roman" w:eastAsia="Times New Roman" w:hAnsi="Times New Roman"/>
          <w:lang w:val="it-IT" w:eastAsia="ar-SA"/>
        </w:rPr>
        <w:t>: EU/1/09/556/003</w:t>
      </w:r>
    </w:p>
    <w:p>
      <w:pPr>
        <w:widowControl w:val="0"/>
        <w:suppressAutoHyphens/>
        <w:autoSpaceDE w:val="0"/>
        <w:spacing w:after="0" w:line="240" w:lineRule="auto"/>
        <w:rPr>
          <w:rFonts w:ascii="Times New Roman" w:eastAsia="Times New Roman" w:hAnsi="Times New Roman"/>
          <w:shd w:val="clear" w:color="auto" w:fill="CCCCCC"/>
          <w:lang w:val="it-IT" w:eastAsia="ar-SA"/>
        </w:rPr>
      </w:pPr>
      <w:r>
        <w:rPr>
          <w:rFonts w:ascii="Times New Roman" w:eastAsia="Times New Roman" w:hAnsi="Times New Roman"/>
          <w:lang w:val="it-IT" w:eastAsia="ar-SA"/>
        </w:rPr>
        <w:t>30 compresse rivestite con film: EU/1/09/556/004</w:t>
      </w:r>
    </w:p>
    <w:p>
      <w:pPr>
        <w:widowControl w:val="0"/>
        <w:suppressAutoHyphens/>
        <w:autoSpaceDE w:val="0"/>
        <w:spacing w:after="0" w:line="240" w:lineRule="auto"/>
        <w:rPr>
          <w:rFonts w:ascii="Times New Roman" w:eastAsia="Times New Roman" w:hAnsi="Times New Roman"/>
          <w:shd w:val="clear" w:color="auto" w:fill="CCCCCC"/>
          <w:lang w:val="it-IT" w:eastAsia="ar-SA"/>
        </w:rPr>
      </w:pPr>
      <w:r>
        <w:rPr>
          <w:rFonts w:ascii="Times New Roman" w:eastAsia="Times New Roman" w:hAnsi="Times New Roman"/>
          <w:lang w:val="it-IT" w:eastAsia="ar-SA"/>
        </w:rPr>
        <w:t>50 compresse rivestite con film: EU/1/09/556/005</w:t>
      </w:r>
    </w:p>
    <w:p>
      <w:pPr>
        <w:widowControl w:val="0"/>
        <w:suppressAutoHyphens/>
        <w:autoSpaceDE w:val="0"/>
        <w:spacing w:after="0" w:line="240" w:lineRule="auto"/>
        <w:rPr>
          <w:rFonts w:ascii="Times New Roman" w:eastAsia="Times New Roman" w:hAnsi="Times New Roman"/>
          <w:shd w:val="clear" w:color="auto" w:fill="CCCCCC"/>
          <w:lang w:val="it-IT" w:eastAsia="ar-SA"/>
        </w:rPr>
      </w:pPr>
      <w:r>
        <w:rPr>
          <w:rFonts w:ascii="Times New Roman" w:eastAsia="Times New Roman" w:hAnsi="Times New Roman"/>
          <w:lang w:val="it-IT" w:eastAsia="ar-SA"/>
        </w:rPr>
        <w:t>56 compresse rivestite con film: EU/1/09/556/006</w:t>
      </w:r>
    </w:p>
    <w:p>
      <w:pPr>
        <w:widowControl w:val="0"/>
        <w:suppressAutoHyphens/>
        <w:autoSpaceDE w:val="0"/>
        <w:spacing w:after="0" w:line="240" w:lineRule="auto"/>
        <w:rPr>
          <w:rFonts w:ascii="Times New Roman" w:eastAsia="Times New Roman" w:hAnsi="Times New Roman"/>
          <w:lang w:val="it-IT" w:eastAsia="ar-SA"/>
        </w:rPr>
      </w:pPr>
      <w:r>
        <w:rPr>
          <w:rFonts w:ascii="Times New Roman" w:eastAsia="Times New Roman" w:hAnsi="Times New Roman"/>
          <w:lang w:val="it-IT" w:eastAsia="ar-SA"/>
        </w:rPr>
        <w:t>60 compresse rivestite con film: EU/1/09/556/010</w:t>
      </w:r>
    </w:p>
    <w:p>
      <w:pPr>
        <w:widowControl w:val="0"/>
        <w:suppressAutoHyphens/>
        <w:autoSpaceDE w:val="0"/>
        <w:spacing w:after="0" w:line="240" w:lineRule="auto"/>
        <w:rPr>
          <w:rFonts w:ascii="Times New Roman" w:eastAsia="Times New Roman" w:hAnsi="Times New Roman"/>
          <w:shd w:val="clear" w:color="auto" w:fill="CCCCCC"/>
          <w:lang w:val="it-IT" w:eastAsia="ar-SA"/>
        </w:rPr>
      </w:pPr>
      <w:r>
        <w:rPr>
          <w:rFonts w:ascii="Times New Roman" w:eastAsia="Times New Roman" w:hAnsi="Times New Roman"/>
          <w:lang w:val="it-IT" w:eastAsia="ar-SA"/>
        </w:rPr>
        <w:t>84 compresse rivestite con film: EU/1/09/556/007</w:t>
      </w:r>
    </w:p>
    <w:p>
      <w:pPr>
        <w:widowControl w:val="0"/>
        <w:suppressAutoHyphens/>
        <w:autoSpaceDE w:val="0"/>
        <w:spacing w:after="0" w:line="240" w:lineRule="auto"/>
        <w:rPr>
          <w:rFonts w:ascii="Times New Roman" w:eastAsia="Times New Roman" w:hAnsi="Times New Roman"/>
          <w:shd w:val="clear" w:color="auto" w:fill="CCCCCC"/>
          <w:lang w:val="it-IT" w:eastAsia="ar-SA"/>
        </w:rPr>
      </w:pPr>
      <w:r>
        <w:rPr>
          <w:rFonts w:ascii="Times New Roman" w:eastAsia="Times New Roman" w:hAnsi="Times New Roman"/>
          <w:lang w:val="it-IT" w:eastAsia="ar-SA"/>
        </w:rPr>
        <w:t>90 compresse rivestite con film: EU/1/09/556/008</w:t>
      </w:r>
    </w:p>
    <w:p>
      <w:pPr>
        <w:widowControl w:val="0"/>
        <w:suppressAutoHyphens/>
        <w:autoSpaceDE w:val="0"/>
        <w:spacing w:after="0" w:line="240" w:lineRule="auto"/>
        <w:rPr>
          <w:rFonts w:ascii="Times New Roman" w:eastAsia="Times New Roman" w:hAnsi="Times New Roman"/>
          <w:shd w:val="clear" w:color="auto" w:fill="CCCCCC"/>
          <w:lang w:val="it-IT" w:eastAsia="ar-SA"/>
        </w:rPr>
      </w:pPr>
      <w:r>
        <w:rPr>
          <w:rFonts w:ascii="Times New Roman" w:eastAsia="Times New Roman" w:hAnsi="Times New Roman"/>
          <w:lang w:val="it-IT" w:eastAsia="ar-SA"/>
        </w:rPr>
        <w:t>100 compresse rivestite con film: EU/1/09/556/009</w:t>
      </w:r>
    </w:p>
    <w:p>
      <w:pPr>
        <w:widowControl w:val="0"/>
        <w:suppressAutoHyphens/>
        <w:autoSpaceDE w:val="0"/>
        <w:spacing w:after="0" w:line="240" w:lineRule="auto"/>
        <w:rPr>
          <w:rFonts w:ascii="Times New Roman" w:eastAsia="Times New Roman" w:hAnsi="Times New Roman"/>
          <w:shd w:val="clear" w:color="auto" w:fill="CCCCCC"/>
          <w:lang w:val="it-IT" w:eastAsia="ar-SA"/>
        </w:rPr>
      </w:pPr>
      <w:r>
        <w:rPr>
          <w:rFonts w:ascii="Times New Roman" w:eastAsia="Times New Roman" w:hAnsi="Times New Roman"/>
          <w:lang w:val="it-IT" w:eastAsia="ar-SA"/>
        </w:rPr>
        <w:t>112 compresse rivestite con film: EU/1/09/556/012</w:t>
      </w:r>
    </w:p>
    <w:p>
      <w:pPr>
        <w:widowControl w:val="0"/>
        <w:suppressAutoHyphens/>
        <w:autoSpaceDE w:val="0"/>
        <w:spacing w:after="0" w:line="240" w:lineRule="auto"/>
        <w:rPr>
          <w:rFonts w:ascii="Times New Roman" w:eastAsia="Times New Roman" w:hAnsi="Times New Roman"/>
          <w:shd w:val="clear" w:color="auto" w:fill="CCCCCC"/>
          <w:lang w:val="it-IT" w:eastAsia="ar-SA"/>
        </w:rPr>
      </w:pPr>
      <w:r>
        <w:rPr>
          <w:rFonts w:ascii="Times New Roman" w:eastAsia="Times New Roman" w:hAnsi="Times New Roman"/>
          <w:lang w:val="it-IT" w:eastAsia="ar-SA"/>
        </w:rPr>
        <w:t>120 compresse rivestite con film: EU/1/09/556/011</w:t>
      </w:r>
    </w:p>
    <w:p>
      <w:pPr>
        <w:widowControl w:val="0"/>
        <w:shd w:val="clear" w:color="auto" w:fill="FFFFFF"/>
        <w:tabs>
          <w:tab w:val="left" w:pos="567"/>
        </w:tabs>
        <w:suppressAutoHyphens/>
        <w:autoSpaceDE w:val="0"/>
        <w:spacing w:after="0" w:line="240" w:lineRule="auto"/>
        <w:ind w:left="5"/>
        <w:rPr>
          <w:rFonts w:ascii="Times New Roman" w:eastAsia="Times New Roman" w:hAnsi="Times New Roman"/>
          <w:b/>
          <w:bCs/>
          <w:color w:val="000000"/>
          <w:lang w:val="it-IT" w:eastAsia="ar-SA"/>
        </w:rPr>
      </w:pPr>
    </w:p>
    <w:p>
      <w:pPr>
        <w:widowControl w:val="0"/>
        <w:shd w:val="clear" w:color="auto" w:fill="FFFFFF"/>
        <w:tabs>
          <w:tab w:val="left" w:pos="567"/>
        </w:tabs>
        <w:suppressAutoHyphens/>
        <w:autoSpaceDE w:val="0"/>
        <w:spacing w:after="0" w:line="240" w:lineRule="auto"/>
        <w:ind w:left="5"/>
        <w:rPr>
          <w:rFonts w:ascii="Times New Roman" w:eastAsia="Times New Roman" w:hAnsi="Times New Roman"/>
          <w:b/>
          <w:bCs/>
          <w:color w:val="000000"/>
          <w:lang w:val="it-IT" w:eastAsia="ar-SA"/>
        </w:rPr>
      </w:pPr>
    </w:p>
    <w:p>
      <w:pPr>
        <w:widowControl w:val="0"/>
        <w:shd w:val="clear" w:color="auto" w:fill="FFFFFF"/>
        <w:tabs>
          <w:tab w:val="left" w:pos="557"/>
        </w:tabs>
        <w:suppressAutoHyphens/>
        <w:autoSpaceDE w:val="0"/>
        <w:spacing w:after="0" w:line="240" w:lineRule="auto"/>
        <w:rPr>
          <w:rFonts w:ascii="Times New Roman" w:eastAsia="Times New Roman" w:hAnsi="Times New Roman"/>
          <w:b/>
          <w:bCs/>
          <w:color w:val="000000"/>
          <w:spacing w:val="-1"/>
          <w:lang w:val="it-IT" w:eastAsia="ar-SA"/>
        </w:rPr>
      </w:pPr>
      <w:r>
        <w:rPr>
          <w:rFonts w:ascii="Times New Roman" w:eastAsia="Times New Roman" w:hAnsi="Times New Roman"/>
          <w:b/>
          <w:bCs/>
          <w:color w:val="000000"/>
          <w:spacing w:val="-7"/>
          <w:lang w:val="it-IT" w:eastAsia="ar-SA"/>
        </w:rPr>
        <w:t>9.</w:t>
      </w:r>
      <w:r>
        <w:rPr>
          <w:rFonts w:ascii="Times New Roman" w:eastAsia="Times New Roman" w:hAnsi="Times New Roman"/>
          <w:b/>
          <w:bCs/>
          <w:color w:val="000000"/>
          <w:lang w:val="it-IT" w:eastAsia="ar-SA"/>
        </w:rPr>
        <w:tab/>
      </w:r>
      <w:r>
        <w:rPr>
          <w:rFonts w:ascii="Times New Roman" w:eastAsia="Times New Roman" w:hAnsi="Times New Roman"/>
          <w:b/>
          <w:bCs/>
          <w:color w:val="000000"/>
          <w:spacing w:val="-1"/>
          <w:lang w:val="it-IT" w:eastAsia="ar-SA"/>
        </w:rPr>
        <w:t>DATA DELLA PRIMA AUTORIZZAZIONE/RINNOVO DELL'AUTORIZZAZIONE</w:t>
      </w:r>
    </w:p>
    <w:p>
      <w:pPr>
        <w:widowControl w:val="0"/>
        <w:shd w:val="clear" w:color="auto" w:fill="FFFFFF"/>
        <w:tabs>
          <w:tab w:val="left" w:pos="557"/>
        </w:tabs>
        <w:suppressAutoHyphens/>
        <w:autoSpaceDE w:val="0"/>
        <w:spacing w:after="0" w:line="240" w:lineRule="auto"/>
        <w:rPr>
          <w:rFonts w:ascii="Times New Roman" w:eastAsia="Times New Roman" w:hAnsi="Times New Roman"/>
          <w:b/>
          <w:bCs/>
          <w:color w:val="000000"/>
          <w:spacing w:val="-1"/>
          <w:lang w:val="it-IT" w:eastAsia="ar-SA"/>
        </w:rPr>
      </w:pPr>
    </w:p>
    <w:p>
      <w:pPr>
        <w:spacing w:after="0" w:line="240" w:lineRule="auto"/>
        <w:rPr>
          <w:rFonts w:ascii="Times New Roman" w:hAnsi="Times New Roman"/>
          <w:lang w:val="it-IT"/>
        </w:rPr>
      </w:pPr>
      <w:r>
        <w:rPr>
          <w:rFonts w:ascii="Times New Roman" w:hAnsi="Times New Roman"/>
          <w:lang w:val="it-IT"/>
        </w:rPr>
        <w:t xml:space="preserve">Data della prima autorizzazione: 23 </w:t>
      </w:r>
      <w:r>
        <w:rPr>
          <w:rFonts w:ascii="Times New Roman" w:hAnsi="Times New Roman"/>
          <w:lang w:val="it-IT" w:eastAsia="sl-SI"/>
        </w:rPr>
        <w:t>Settembre 2009.</w:t>
      </w:r>
    </w:p>
    <w:p>
      <w:pPr>
        <w:spacing w:after="0" w:line="240" w:lineRule="auto"/>
        <w:rPr>
          <w:rFonts w:ascii="Times New Roman" w:hAnsi="Times New Roman"/>
          <w:lang w:val="it-IT"/>
        </w:rPr>
      </w:pPr>
      <w:r>
        <w:rPr>
          <w:rFonts w:ascii="Times New Roman" w:eastAsia="Times New Roman" w:hAnsi="Times New Roman"/>
          <w:lang w:val="it-IT" w:eastAsia="ar-SA"/>
        </w:rPr>
        <w:t>Data del rinnovo più recente</w:t>
      </w:r>
      <w:r>
        <w:rPr>
          <w:rFonts w:ascii="Times New Roman" w:hAnsi="Times New Roman"/>
          <w:lang w:val="it-IT"/>
        </w:rPr>
        <w:t xml:space="preserve">: </w:t>
      </w:r>
      <w:r>
        <w:rPr>
          <w:lang w:val="it-IT"/>
        </w:rPr>
        <w:t>14</w:t>
      </w:r>
      <w:r>
        <w:rPr>
          <w:rFonts w:ascii="Times New Roman" w:hAnsi="Times New Roman"/>
          <w:lang w:val="it-IT"/>
        </w:rPr>
        <w:t xml:space="preserve"> Maggio 2014</w:t>
      </w:r>
    </w:p>
    <w:p>
      <w:pPr>
        <w:widowControl w:val="0"/>
        <w:shd w:val="clear" w:color="auto" w:fill="FFFFFF"/>
        <w:tabs>
          <w:tab w:val="left" w:pos="557"/>
        </w:tabs>
        <w:suppressAutoHyphens/>
        <w:autoSpaceDE w:val="0"/>
        <w:spacing w:after="0" w:line="240" w:lineRule="auto"/>
        <w:rPr>
          <w:rFonts w:ascii="Times New Roman" w:eastAsia="Times New Roman" w:hAnsi="Times New Roman"/>
          <w:b/>
          <w:bCs/>
          <w:color w:val="000000"/>
          <w:spacing w:val="-1"/>
          <w:lang w:val="it-IT" w:eastAsia="ar-SA"/>
        </w:rPr>
      </w:pPr>
    </w:p>
    <w:p>
      <w:pPr>
        <w:widowControl w:val="0"/>
        <w:shd w:val="clear" w:color="auto" w:fill="FFFFFF"/>
        <w:tabs>
          <w:tab w:val="left" w:pos="557"/>
        </w:tabs>
        <w:suppressAutoHyphens/>
        <w:autoSpaceDE w:val="0"/>
        <w:spacing w:after="0" w:line="240" w:lineRule="auto"/>
        <w:rPr>
          <w:rFonts w:ascii="Times New Roman" w:eastAsia="Times New Roman" w:hAnsi="Times New Roman"/>
          <w:b/>
          <w:bCs/>
          <w:color w:val="000000"/>
          <w:spacing w:val="-1"/>
          <w:lang w:val="it-IT" w:eastAsia="ar-SA"/>
        </w:rPr>
      </w:pPr>
    </w:p>
    <w:p>
      <w:pPr>
        <w:widowControl w:val="0"/>
        <w:shd w:val="clear" w:color="auto" w:fill="FFFFFF"/>
        <w:tabs>
          <w:tab w:val="left" w:pos="567"/>
        </w:tabs>
        <w:suppressAutoHyphens/>
        <w:autoSpaceDE w:val="0"/>
        <w:spacing w:after="0" w:line="240" w:lineRule="auto"/>
        <w:rPr>
          <w:rFonts w:ascii="Times New Roman" w:eastAsia="Times New Roman" w:hAnsi="Times New Roman"/>
          <w:b/>
          <w:bCs/>
          <w:color w:val="000000"/>
          <w:spacing w:val="-1"/>
          <w:lang w:val="it-IT" w:eastAsia="ar-SA"/>
        </w:rPr>
      </w:pPr>
      <w:r>
        <w:rPr>
          <w:rFonts w:ascii="Times New Roman" w:eastAsia="Times New Roman" w:hAnsi="Times New Roman"/>
          <w:b/>
          <w:bCs/>
          <w:color w:val="000000"/>
          <w:spacing w:val="-1"/>
          <w:lang w:val="it-IT" w:eastAsia="ar-SA"/>
        </w:rPr>
        <w:t>10.</w:t>
      </w:r>
      <w:r>
        <w:rPr>
          <w:rFonts w:ascii="Times New Roman" w:eastAsia="Times New Roman" w:hAnsi="Times New Roman"/>
          <w:b/>
          <w:bCs/>
          <w:color w:val="000000"/>
          <w:spacing w:val="-1"/>
          <w:lang w:val="it-IT" w:eastAsia="ar-SA"/>
        </w:rPr>
        <w:tab/>
        <w:t>DATA DI REVISIONE DEL TESTO</w:t>
      </w:r>
    </w:p>
    <w:p>
      <w:pPr>
        <w:widowControl w:val="0"/>
        <w:shd w:val="clear" w:color="auto" w:fill="FFFFFF"/>
        <w:suppressAutoHyphens/>
        <w:autoSpaceDE w:val="0"/>
        <w:spacing w:after="0" w:line="240" w:lineRule="auto"/>
        <w:rPr>
          <w:rFonts w:ascii="Times New Roman" w:eastAsia="Times New Roman" w:hAnsi="Times New Roman"/>
          <w:color w:val="000000"/>
          <w:spacing w:val="-1"/>
          <w:lang w:val="it-IT" w:eastAsia="ar-SA"/>
        </w:rPr>
      </w:pPr>
    </w:p>
    <w:p>
      <w:pPr>
        <w:widowControl w:val="0"/>
        <w:shd w:val="clear" w:color="auto" w:fill="FFFFFF"/>
        <w:suppressAutoHyphens/>
        <w:autoSpaceDE w:val="0"/>
        <w:spacing w:after="0" w:line="240" w:lineRule="auto"/>
        <w:rPr>
          <w:rFonts w:ascii="Times New Roman" w:eastAsia="Times New Roman" w:hAnsi="Times New Roman"/>
          <w:color w:val="000000"/>
          <w:spacing w:val="-1"/>
          <w:lang w:val="it-IT" w:eastAsia="ar-SA"/>
        </w:rPr>
      </w:pPr>
    </w:p>
    <w:p>
      <w:pPr>
        <w:widowControl w:val="0"/>
        <w:shd w:val="clear" w:color="auto" w:fill="FFFFFF"/>
        <w:suppressAutoHyphens/>
        <w:autoSpaceDE w:val="0"/>
        <w:spacing w:after="0" w:line="240" w:lineRule="auto"/>
        <w:rPr>
          <w:rFonts w:ascii="Times New Roman" w:eastAsia="Times New Roman" w:hAnsi="Times New Roman"/>
          <w:color w:val="0222FF"/>
          <w:u w:val="single"/>
          <w:lang w:val="it-IT" w:eastAsia="ar-SA"/>
        </w:rPr>
      </w:pPr>
      <w:r>
        <w:rPr>
          <w:rFonts w:ascii="Times New Roman" w:eastAsia="Times New Roman" w:hAnsi="Times New Roman"/>
          <w:color w:val="000000"/>
          <w:spacing w:val="-1"/>
          <w:lang w:val="it-IT" w:eastAsia="ar-SA"/>
        </w:rPr>
        <w:t xml:space="preserve">Informazioni più dettagliate su questo medicinale sono disponibili sul sito web dell'Agenzia Europea </w:t>
      </w:r>
      <w:r>
        <w:rPr>
          <w:rFonts w:ascii="Times New Roman" w:eastAsia="Times New Roman" w:hAnsi="Times New Roman"/>
          <w:color w:val="000000"/>
          <w:lang w:val="it-IT" w:eastAsia="ar-SA"/>
        </w:rPr>
        <w:t xml:space="preserve">dei Medicinali: </w:t>
      </w:r>
      <w:hyperlink r:id="rId9" w:history="1">
        <w:r>
          <w:rPr>
            <w:rFonts w:ascii="Times New Roman" w:eastAsia="Times New Roman" w:hAnsi="Times New Roman"/>
            <w:color w:val="0000FF"/>
            <w:u w:val="single"/>
            <w:lang w:val="it-IT" w:eastAsia="ar-SA"/>
          </w:rPr>
          <w:t>http://www.ema.europa.eu</w:t>
        </w:r>
      </w:hyperlink>
    </w:p>
    <w:p>
      <w:pPr>
        <w:widowControl w:val="0"/>
        <w:shd w:val="clear" w:color="auto" w:fill="FFFFFF"/>
        <w:suppressAutoHyphens/>
        <w:autoSpaceDE w:val="0"/>
        <w:spacing w:after="0" w:line="240" w:lineRule="auto"/>
        <w:rPr>
          <w:rFonts w:ascii="Times New Roman" w:eastAsia="Times New Roman" w:hAnsi="Times New Roman"/>
          <w:u w:val="single"/>
          <w:lang w:val="it-IT" w:eastAsia="ar-SA"/>
        </w:rPr>
      </w:pPr>
    </w:p>
    <w:p>
      <w:pPr>
        <w:widowControl w:val="0"/>
        <w:suppressAutoHyphens/>
        <w:autoSpaceDE w:val="0"/>
        <w:spacing w:after="0" w:line="240" w:lineRule="auto"/>
        <w:rPr>
          <w:rFonts w:ascii="Times New Roman" w:eastAsia="Times New Roman" w:hAnsi="Times New Roman"/>
          <w:lang w:val="it-IT" w:eastAsia="ar-SA"/>
        </w:rPr>
      </w:pPr>
      <w:r>
        <w:rPr>
          <w:rFonts w:ascii="Times New Roman" w:eastAsia="Times New Roman" w:hAnsi="Times New Roman"/>
          <w:lang w:val="it-IT" w:eastAsia="ar-SA"/>
        </w:rPr>
        <w:br w:type="page"/>
      </w:r>
    </w:p>
    <w:p>
      <w:pPr>
        <w:widowControl w:val="0"/>
        <w:suppressAutoHyphens/>
        <w:autoSpaceDE w:val="0"/>
        <w:spacing w:after="0" w:line="240" w:lineRule="auto"/>
        <w:rPr>
          <w:rFonts w:ascii="Times New Roman" w:eastAsia="Times New Roman" w:hAnsi="Times New Roman"/>
          <w:lang w:val="it-IT" w:eastAsia="ar-SA"/>
        </w:rPr>
      </w:pPr>
    </w:p>
    <w:p>
      <w:pPr>
        <w:widowControl w:val="0"/>
        <w:suppressAutoHyphens/>
        <w:autoSpaceDE w:val="0"/>
        <w:spacing w:after="0" w:line="240" w:lineRule="auto"/>
        <w:rPr>
          <w:rFonts w:ascii="Times New Roman" w:eastAsia="Times New Roman" w:hAnsi="Times New Roman"/>
          <w:lang w:val="it-IT" w:eastAsia="ar-SA"/>
        </w:rPr>
      </w:pPr>
    </w:p>
    <w:p>
      <w:pPr>
        <w:widowControl w:val="0"/>
        <w:suppressAutoHyphens/>
        <w:autoSpaceDE w:val="0"/>
        <w:spacing w:after="0" w:line="240" w:lineRule="auto"/>
        <w:rPr>
          <w:rFonts w:ascii="Times New Roman" w:eastAsia="Times New Roman" w:hAnsi="Times New Roman"/>
          <w:lang w:val="it-IT" w:eastAsia="ar-SA"/>
        </w:rPr>
      </w:pPr>
    </w:p>
    <w:p>
      <w:pPr>
        <w:widowControl w:val="0"/>
        <w:suppressAutoHyphens/>
        <w:autoSpaceDE w:val="0"/>
        <w:spacing w:after="0" w:line="240" w:lineRule="auto"/>
        <w:rPr>
          <w:rFonts w:ascii="Times New Roman" w:eastAsia="Times New Roman" w:hAnsi="Times New Roman"/>
          <w:lang w:val="it-IT" w:eastAsia="ar-SA"/>
        </w:rPr>
      </w:pPr>
    </w:p>
    <w:p>
      <w:pPr>
        <w:widowControl w:val="0"/>
        <w:suppressAutoHyphens/>
        <w:autoSpaceDE w:val="0"/>
        <w:spacing w:after="0" w:line="240" w:lineRule="auto"/>
        <w:rPr>
          <w:rFonts w:ascii="Times New Roman" w:eastAsia="Times New Roman" w:hAnsi="Times New Roman"/>
          <w:lang w:val="it-IT" w:eastAsia="ar-SA"/>
        </w:rPr>
      </w:pPr>
    </w:p>
    <w:p>
      <w:pPr>
        <w:widowControl w:val="0"/>
        <w:suppressAutoHyphens/>
        <w:autoSpaceDE w:val="0"/>
        <w:spacing w:after="0" w:line="240" w:lineRule="auto"/>
        <w:rPr>
          <w:rFonts w:ascii="Times New Roman" w:eastAsia="Times New Roman" w:hAnsi="Times New Roman"/>
          <w:lang w:val="it-IT" w:eastAsia="ar-SA"/>
        </w:rPr>
      </w:pPr>
    </w:p>
    <w:p>
      <w:pPr>
        <w:widowControl w:val="0"/>
        <w:suppressAutoHyphens/>
        <w:autoSpaceDE w:val="0"/>
        <w:spacing w:after="0" w:line="240" w:lineRule="auto"/>
        <w:rPr>
          <w:rFonts w:ascii="Times New Roman" w:eastAsia="Times New Roman" w:hAnsi="Times New Roman"/>
          <w:lang w:val="it-IT" w:eastAsia="ar-SA"/>
        </w:rPr>
      </w:pPr>
    </w:p>
    <w:p>
      <w:pPr>
        <w:widowControl w:val="0"/>
        <w:suppressAutoHyphens/>
        <w:autoSpaceDE w:val="0"/>
        <w:spacing w:after="0" w:line="240" w:lineRule="auto"/>
        <w:rPr>
          <w:rFonts w:ascii="Times New Roman" w:eastAsia="Times New Roman" w:hAnsi="Times New Roman"/>
          <w:lang w:val="it-IT" w:eastAsia="ar-SA"/>
        </w:rPr>
      </w:pPr>
    </w:p>
    <w:p>
      <w:pPr>
        <w:widowControl w:val="0"/>
        <w:suppressAutoHyphens/>
        <w:autoSpaceDE w:val="0"/>
        <w:spacing w:after="0" w:line="240" w:lineRule="auto"/>
        <w:rPr>
          <w:rFonts w:ascii="Times New Roman" w:eastAsia="Times New Roman" w:hAnsi="Times New Roman"/>
          <w:lang w:val="it-IT" w:eastAsia="ar-SA"/>
        </w:rPr>
      </w:pPr>
    </w:p>
    <w:p>
      <w:pPr>
        <w:widowControl w:val="0"/>
        <w:suppressAutoHyphens/>
        <w:autoSpaceDE w:val="0"/>
        <w:spacing w:after="0" w:line="240" w:lineRule="auto"/>
        <w:rPr>
          <w:rFonts w:ascii="Times New Roman" w:eastAsia="Times New Roman" w:hAnsi="Times New Roman"/>
          <w:lang w:val="it-IT" w:eastAsia="ar-SA"/>
        </w:rPr>
      </w:pPr>
    </w:p>
    <w:p>
      <w:pPr>
        <w:widowControl w:val="0"/>
        <w:suppressAutoHyphens/>
        <w:autoSpaceDE w:val="0"/>
        <w:spacing w:after="0" w:line="240" w:lineRule="auto"/>
        <w:rPr>
          <w:rFonts w:ascii="Times New Roman" w:eastAsia="Times New Roman" w:hAnsi="Times New Roman"/>
          <w:lang w:val="it-IT" w:eastAsia="ar-SA"/>
        </w:rPr>
      </w:pPr>
    </w:p>
    <w:p>
      <w:pPr>
        <w:widowControl w:val="0"/>
        <w:suppressAutoHyphens/>
        <w:autoSpaceDE w:val="0"/>
        <w:spacing w:after="0" w:line="240" w:lineRule="auto"/>
        <w:rPr>
          <w:rFonts w:ascii="Times New Roman" w:eastAsia="Times New Roman" w:hAnsi="Times New Roman"/>
          <w:lang w:val="it-IT" w:eastAsia="ar-SA"/>
        </w:rPr>
      </w:pPr>
    </w:p>
    <w:p>
      <w:pPr>
        <w:widowControl w:val="0"/>
        <w:suppressAutoHyphens/>
        <w:autoSpaceDE w:val="0"/>
        <w:spacing w:after="0" w:line="240" w:lineRule="auto"/>
        <w:rPr>
          <w:rFonts w:ascii="Times New Roman" w:eastAsia="Times New Roman" w:hAnsi="Times New Roman"/>
          <w:lang w:val="it-IT" w:eastAsia="ar-SA"/>
        </w:rPr>
      </w:pPr>
    </w:p>
    <w:p>
      <w:pPr>
        <w:widowControl w:val="0"/>
        <w:suppressAutoHyphens/>
        <w:autoSpaceDE w:val="0"/>
        <w:spacing w:after="0" w:line="240" w:lineRule="auto"/>
        <w:rPr>
          <w:rFonts w:ascii="Times New Roman" w:eastAsia="Times New Roman" w:hAnsi="Times New Roman"/>
          <w:lang w:val="it-IT" w:eastAsia="ar-SA"/>
        </w:rPr>
      </w:pPr>
    </w:p>
    <w:p>
      <w:pPr>
        <w:widowControl w:val="0"/>
        <w:suppressAutoHyphens/>
        <w:autoSpaceDE w:val="0"/>
        <w:spacing w:after="0" w:line="240" w:lineRule="auto"/>
        <w:rPr>
          <w:rFonts w:ascii="Times New Roman" w:eastAsia="Times New Roman" w:hAnsi="Times New Roman"/>
          <w:lang w:val="it-IT" w:eastAsia="ar-SA"/>
        </w:rPr>
      </w:pPr>
    </w:p>
    <w:p>
      <w:pPr>
        <w:widowControl w:val="0"/>
        <w:suppressAutoHyphens/>
        <w:autoSpaceDE w:val="0"/>
        <w:spacing w:after="0" w:line="240" w:lineRule="auto"/>
        <w:rPr>
          <w:rFonts w:ascii="Times New Roman" w:eastAsia="Times New Roman" w:hAnsi="Times New Roman"/>
          <w:lang w:val="it-IT" w:eastAsia="ar-SA"/>
        </w:rPr>
      </w:pPr>
    </w:p>
    <w:p>
      <w:pPr>
        <w:widowControl w:val="0"/>
        <w:suppressAutoHyphens/>
        <w:autoSpaceDE w:val="0"/>
        <w:spacing w:after="0" w:line="240" w:lineRule="auto"/>
        <w:rPr>
          <w:rFonts w:ascii="Times New Roman" w:eastAsia="Times New Roman" w:hAnsi="Times New Roman"/>
          <w:lang w:val="it-IT" w:eastAsia="ar-SA"/>
        </w:rPr>
      </w:pPr>
    </w:p>
    <w:p>
      <w:pPr>
        <w:widowControl w:val="0"/>
        <w:suppressAutoHyphens/>
        <w:autoSpaceDE w:val="0"/>
        <w:spacing w:after="0" w:line="240" w:lineRule="auto"/>
        <w:rPr>
          <w:rFonts w:ascii="Times New Roman" w:eastAsia="Times New Roman" w:hAnsi="Times New Roman"/>
          <w:lang w:val="it-IT" w:eastAsia="ar-SA"/>
        </w:rPr>
      </w:pPr>
    </w:p>
    <w:p>
      <w:pPr>
        <w:widowControl w:val="0"/>
        <w:suppressAutoHyphens/>
        <w:autoSpaceDE w:val="0"/>
        <w:spacing w:after="0" w:line="240" w:lineRule="auto"/>
        <w:rPr>
          <w:rFonts w:ascii="Times New Roman" w:eastAsia="Times New Roman" w:hAnsi="Times New Roman"/>
          <w:lang w:val="it-IT" w:eastAsia="ar-SA"/>
        </w:rPr>
      </w:pPr>
    </w:p>
    <w:p>
      <w:pPr>
        <w:widowControl w:val="0"/>
        <w:suppressAutoHyphens/>
        <w:autoSpaceDE w:val="0"/>
        <w:spacing w:after="0" w:line="240" w:lineRule="auto"/>
        <w:rPr>
          <w:rFonts w:ascii="Times New Roman" w:eastAsia="Times New Roman" w:hAnsi="Times New Roman"/>
          <w:lang w:val="it-IT" w:eastAsia="ar-SA"/>
        </w:rPr>
      </w:pPr>
    </w:p>
    <w:p>
      <w:pPr>
        <w:widowControl w:val="0"/>
        <w:suppressAutoHyphens/>
        <w:autoSpaceDE w:val="0"/>
        <w:spacing w:after="0" w:line="240" w:lineRule="auto"/>
        <w:rPr>
          <w:rFonts w:ascii="Times New Roman" w:eastAsia="Times New Roman" w:hAnsi="Times New Roman"/>
          <w:lang w:val="it-IT" w:eastAsia="ar-SA"/>
        </w:rPr>
      </w:pPr>
    </w:p>
    <w:p>
      <w:pPr>
        <w:widowControl w:val="0"/>
        <w:suppressAutoHyphens/>
        <w:autoSpaceDE w:val="0"/>
        <w:spacing w:after="0" w:line="240" w:lineRule="auto"/>
        <w:rPr>
          <w:rFonts w:ascii="Times New Roman" w:eastAsia="Times New Roman" w:hAnsi="Times New Roman"/>
          <w:lang w:val="it-IT" w:eastAsia="ar-SA"/>
        </w:rPr>
      </w:pPr>
    </w:p>
    <w:p>
      <w:pPr>
        <w:widowControl w:val="0"/>
        <w:suppressAutoHyphens/>
        <w:autoSpaceDE w:val="0"/>
        <w:spacing w:after="0" w:line="240" w:lineRule="auto"/>
        <w:jc w:val="center"/>
        <w:rPr>
          <w:rFonts w:ascii="Times New Roman" w:eastAsia="Times New Roman" w:hAnsi="Times New Roman"/>
          <w:lang w:val="it-IT" w:eastAsia="ar-SA"/>
        </w:rPr>
      </w:pPr>
      <w:r>
        <w:rPr>
          <w:rFonts w:ascii="Times New Roman" w:eastAsia="Times New Roman" w:hAnsi="Times New Roman"/>
          <w:b/>
          <w:lang w:val="it-IT" w:eastAsia="ar-SA"/>
        </w:rPr>
        <w:t>ALLEGATO II</w:t>
      </w:r>
    </w:p>
    <w:p>
      <w:pPr>
        <w:widowControl w:val="0"/>
        <w:suppressAutoHyphens/>
        <w:autoSpaceDE w:val="0"/>
        <w:spacing w:after="0" w:line="240" w:lineRule="auto"/>
        <w:rPr>
          <w:rFonts w:ascii="Times New Roman" w:eastAsia="Times New Roman" w:hAnsi="Times New Roman"/>
          <w:lang w:val="it-IT" w:eastAsia="ar-SA"/>
        </w:rPr>
      </w:pPr>
    </w:p>
    <w:p>
      <w:pPr>
        <w:widowControl w:val="0"/>
        <w:tabs>
          <w:tab w:val="left" w:pos="7785"/>
        </w:tabs>
        <w:suppressAutoHyphens/>
        <w:autoSpaceDE w:val="0"/>
        <w:spacing w:after="0" w:line="240" w:lineRule="auto"/>
        <w:ind w:left="1701" w:right="1126" w:hanging="567"/>
        <w:rPr>
          <w:rFonts w:ascii="Times New Roman" w:eastAsia="Times New Roman" w:hAnsi="Times New Roman"/>
          <w:lang w:val="it-IT" w:eastAsia="ar-SA"/>
        </w:rPr>
      </w:pPr>
      <w:r>
        <w:rPr>
          <w:rFonts w:ascii="Times New Roman" w:eastAsia="Times New Roman" w:hAnsi="Times New Roman"/>
          <w:b/>
          <w:lang w:val="it-IT" w:eastAsia="ar-SA"/>
        </w:rPr>
        <w:t>A.</w:t>
      </w:r>
      <w:r>
        <w:rPr>
          <w:rFonts w:ascii="Times New Roman" w:eastAsia="Times New Roman" w:hAnsi="Times New Roman"/>
          <w:b/>
          <w:lang w:val="it-IT" w:eastAsia="ar-SA"/>
        </w:rPr>
        <w:tab/>
        <w:t>PRODUTTORI RESPONSABILI DEL RILASCIO DEI LOTTI</w:t>
      </w:r>
    </w:p>
    <w:p>
      <w:pPr>
        <w:widowControl w:val="0"/>
        <w:tabs>
          <w:tab w:val="left" w:pos="7785"/>
        </w:tabs>
        <w:suppressAutoHyphens/>
        <w:autoSpaceDE w:val="0"/>
        <w:spacing w:after="0" w:line="240" w:lineRule="auto"/>
        <w:ind w:right="1416"/>
        <w:rPr>
          <w:rFonts w:ascii="Times New Roman" w:eastAsia="Times New Roman" w:hAnsi="Times New Roman"/>
          <w:b/>
          <w:lang w:val="it-IT" w:eastAsia="ar-SA"/>
        </w:rPr>
      </w:pPr>
    </w:p>
    <w:p>
      <w:pPr>
        <w:widowControl w:val="0"/>
        <w:tabs>
          <w:tab w:val="left" w:pos="-720"/>
        </w:tabs>
        <w:suppressAutoHyphens/>
        <w:autoSpaceDE w:val="0"/>
        <w:spacing w:after="0" w:line="240" w:lineRule="auto"/>
        <w:ind w:left="1701" w:right="1126" w:hanging="567"/>
        <w:rPr>
          <w:rFonts w:ascii="Times New Roman" w:eastAsia="Times New Roman" w:hAnsi="Times New Roman"/>
          <w:b/>
          <w:lang w:val="it-IT" w:eastAsia="ar-SA"/>
        </w:rPr>
      </w:pPr>
      <w:r>
        <w:rPr>
          <w:rFonts w:ascii="Times New Roman" w:eastAsia="Times New Roman" w:hAnsi="Times New Roman"/>
          <w:b/>
          <w:lang w:val="it-IT" w:eastAsia="ar-SA"/>
        </w:rPr>
        <w:t>B.</w:t>
      </w:r>
      <w:r>
        <w:rPr>
          <w:rFonts w:ascii="Times New Roman" w:eastAsia="Times New Roman" w:hAnsi="Times New Roman"/>
          <w:b/>
          <w:lang w:val="it-IT" w:eastAsia="ar-SA"/>
        </w:rPr>
        <w:tab/>
        <w:t>CONDIZIONI O LIMITAZIONI DI FORNITURA E UTILIZZO</w:t>
      </w:r>
    </w:p>
    <w:p>
      <w:pPr>
        <w:widowControl w:val="0"/>
        <w:tabs>
          <w:tab w:val="left" w:pos="-720"/>
        </w:tabs>
        <w:suppressAutoHyphens/>
        <w:autoSpaceDE w:val="0"/>
        <w:spacing w:after="0" w:line="240" w:lineRule="auto"/>
        <w:ind w:left="1701" w:right="1126" w:hanging="567"/>
        <w:rPr>
          <w:rFonts w:ascii="Times New Roman" w:eastAsia="Times New Roman" w:hAnsi="Times New Roman"/>
          <w:b/>
          <w:lang w:val="it-IT" w:eastAsia="ar-SA"/>
        </w:rPr>
      </w:pPr>
    </w:p>
    <w:p>
      <w:pPr>
        <w:widowControl w:val="0"/>
        <w:tabs>
          <w:tab w:val="left" w:pos="-720"/>
        </w:tabs>
        <w:suppressAutoHyphens/>
        <w:autoSpaceDE w:val="0"/>
        <w:spacing w:after="0" w:line="240" w:lineRule="auto"/>
        <w:ind w:left="1701" w:right="1126" w:hanging="567"/>
        <w:rPr>
          <w:rFonts w:ascii="Times New Roman" w:eastAsia="Times New Roman" w:hAnsi="Times New Roman"/>
          <w:b/>
          <w:lang w:val="it-IT" w:eastAsia="ar-SA"/>
        </w:rPr>
      </w:pPr>
      <w:r>
        <w:rPr>
          <w:rFonts w:ascii="Times New Roman" w:eastAsia="Times New Roman" w:hAnsi="Times New Roman"/>
          <w:b/>
          <w:lang w:val="it-IT" w:eastAsia="ar-SA"/>
        </w:rPr>
        <w:t xml:space="preserve">C. </w:t>
      </w:r>
      <w:r>
        <w:rPr>
          <w:rFonts w:ascii="Times New Roman" w:eastAsia="Times New Roman" w:hAnsi="Times New Roman"/>
          <w:b/>
          <w:lang w:val="it-IT" w:eastAsia="ar-SA"/>
        </w:rPr>
        <w:tab/>
        <w:t>ALTRE CONDIZIONI E REQUISITI DELL’AUTORIZZAZIONE ALL’IMMISSIONE IN COMMERCIO</w:t>
      </w:r>
    </w:p>
    <w:p>
      <w:pPr>
        <w:widowControl w:val="0"/>
        <w:tabs>
          <w:tab w:val="left" w:pos="-720"/>
        </w:tabs>
        <w:suppressAutoHyphens/>
        <w:autoSpaceDE w:val="0"/>
        <w:spacing w:after="0" w:line="240" w:lineRule="auto"/>
        <w:ind w:left="1701" w:right="1126" w:hanging="567"/>
        <w:rPr>
          <w:rFonts w:ascii="Times New Roman" w:eastAsia="Times New Roman" w:hAnsi="Times New Roman"/>
          <w:b/>
          <w:lang w:val="it-IT" w:eastAsia="ar-SA"/>
        </w:rPr>
      </w:pPr>
    </w:p>
    <w:p>
      <w:pPr>
        <w:widowControl w:val="0"/>
        <w:tabs>
          <w:tab w:val="left" w:pos="-720"/>
        </w:tabs>
        <w:suppressAutoHyphens/>
        <w:autoSpaceDE w:val="0"/>
        <w:spacing w:after="0" w:line="240" w:lineRule="auto"/>
        <w:ind w:left="1701" w:right="1126" w:hanging="567"/>
        <w:rPr>
          <w:rFonts w:ascii="Times New Roman" w:eastAsia="Times New Roman" w:hAnsi="Times New Roman"/>
          <w:b/>
          <w:lang w:val="it-IT" w:eastAsia="ar-SA"/>
        </w:rPr>
      </w:pPr>
      <w:r>
        <w:rPr>
          <w:rFonts w:ascii="Times New Roman" w:eastAsia="Times New Roman" w:hAnsi="Times New Roman"/>
          <w:b/>
          <w:lang w:val="it-IT" w:eastAsia="ar-SA"/>
        </w:rPr>
        <w:t>D.</w:t>
      </w:r>
      <w:r>
        <w:rPr>
          <w:rFonts w:ascii="Times New Roman" w:eastAsia="Times New Roman" w:hAnsi="Times New Roman"/>
          <w:b/>
          <w:lang w:val="it-IT" w:eastAsia="ar-SA"/>
        </w:rPr>
        <w:tab/>
        <w:t>CONDIZIONI O LIMITAZIONI PER QUANTO RIGUARDA L’USO SICURO ED EFFICACE DEL MEDICINALE</w:t>
      </w:r>
    </w:p>
    <w:p>
      <w:pPr>
        <w:widowControl w:val="0"/>
        <w:tabs>
          <w:tab w:val="left" w:pos="-720"/>
        </w:tabs>
        <w:suppressAutoHyphens/>
        <w:autoSpaceDE w:val="0"/>
        <w:spacing w:after="0" w:line="240" w:lineRule="auto"/>
        <w:ind w:left="1701" w:right="1126" w:hanging="567"/>
        <w:rPr>
          <w:rFonts w:ascii="Times New Roman" w:eastAsia="Times New Roman" w:hAnsi="Times New Roman"/>
          <w:b/>
          <w:lang w:val="it-IT" w:eastAsia="ar-SA"/>
        </w:rPr>
      </w:pPr>
    </w:p>
    <w:p>
      <w:pPr>
        <w:pStyle w:val="TitleB"/>
      </w:pPr>
      <w:r>
        <w:br w:type="page"/>
        <w:t>A.</w:t>
      </w:r>
      <w:r>
        <w:tab/>
        <w:t>PRODUTTORI RESPONSABILI DEL RILASCIO DEI LOTTI</w:t>
      </w:r>
    </w:p>
    <w:p>
      <w:pPr>
        <w:widowControl w:val="0"/>
        <w:suppressAutoHyphens/>
        <w:autoSpaceDE w:val="0"/>
        <w:spacing w:after="0" w:line="240" w:lineRule="auto"/>
        <w:ind w:left="567" w:hanging="567"/>
        <w:rPr>
          <w:rFonts w:ascii="Times New Roman" w:eastAsia="Lucida Sans Unicode" w:hAnsi="Times New Roman"/>
          <w:u w:val="single"/>
          <w:lang w:val="it-IT" w:eastAsia="ar-SA"/>
        </w:rPr>
      </w:pPr>
    </w:p>
    <w:p>
      <w:pPr>
        <w:widowControl w:val="0"/>
        <w:suppressAutoHyphens/>
        <w:autoSpaceDE w:val="0"/>
        <w:spacing w:after="0" w:line="240" w:lineRule="auto"/>
        <w:ind w:left="567" w:hanging="567"/>
        <w:rPr>
          <w:rFonts w:ascii="Times New Roman" w:eastAsia="Times New Roman" w:hAnsi="Times New Roman"/>
          <w:lang w:val="it-IT" w:eastAsia="ar-SA"/>
        </w:rPr>
      </w:pPr>
      <w:r>
        <w:rPr>
          <w:rFonts w:ascii="Times New Roman" w:eastAsia="Lucida Sans Unicode" w:hAnsi="Times New Roman"/>
          <w:u w:val="single"/>
          <w:lang w:val="it-IT" w:eastAsia="ar-SA"/>
        </w:rPr>
        <w:t>Nome ed indirizzo del produttore responsabile del rilascio dei lotti</w:t>
      </w:r>
    </w:p>
    <w:p>
      <w:pPr>
        <w:widowControl w:val="0"/>
        <w:suppressAutoHyphens/>
        <w:autoSpaceDE w:val="0"/>
        <w:spacing w:after="0" w:line="240" w:lineRule="auto"/>
        <w:rPr>
          <w:rFonts w:ascii="Times New Roman" w:eastAsia="Times New Roman" w:hAnsi="Times New Roman"/>
          <w:iCs/>
          <w:lang w:val="it-IT" w:eastAsia="ar-SA"/>
        </w:rPr>
      </w:pPr>
    </w:p>
    <w:p>
      <w:pPr>
        <w:widowControl w:val="0"/>
        <w:suppressAutoHyphens/>
        <w:autoSpaceDE w:val="0"/>
        <w:spacing w:after="0" w:line="240" w:lineRule="auto"/>
        <w:rPr>
          <w:rFonts w:ascii="Times New Roman" w:eastAsia="Times New Roman" w:hAnsi="Times New Roman"/>
          <w:iCs/>
          <w:lang w:val="it-IT" w:eastAsia="ar-SA"/>
        </w:rPr>
      </w:pPr>
      <w:r>
        <w:rPr>
          <w:rFonts w:ascii="Times New Roman" w:eastAsia="Times New Roman" w:hAnsi="Times New Roman"/>
          <w:iCs/>
          <w:lang w:val="it-IT" w:eastAsia="ar-SA"/>
        </w:rPr>
        <w:t>KRKA, d.d., Novo mesto</w:t>
      </w:r>
    </w:p>
    <w:p>
      <w:pPr>
        <w:widowControl w:val="0"/>
        <w:suppressAutoHyphens/>
        <w:autoSpaceDE w:val="0"/>
        <w:spacing w:after="0" w:line="240" w:lineRule="auto"/>
        <w:rPr>
          <w:rFonts w:ascii="Times New Roman" w:eastAsia="Times New Roman" w:hAnsi="Times New Roman"/>
          <w:iCs/>
          <w:lang w:val="it-IT" w:eastAsia="ar-SA"/>
        </w:rPr>
      </w:pPr>
      <w:r>
        <w:rPr>
          <w:rFonts w:ascii="Times New Roman" w:eastAsia="Times New Roman" w:hAnsi="Times New Roman"/>
          <w:iCs/>
          <w:lang w:val="it-IT" w:eastAsia="ar-SA"/>
        </w:rPr>
        <w:t>Šmarješka cesta 6</w:t>
      </w:r>
    </w:p>
    <w:p>
      <w:pPr>
        <w:widowControl w:val="0"/>
        <w:suppressAutoHyphens/>
        <w:autoSpaceDE w:val="0"/>
        <w:spacing w:after="0" w:line="240" w:lineRule="auto"/>
        <w:rPr>
          <w:rFonts w:ascii="Times New Roman" w:eastAsia="Times New Roman" w:hAnsi="Times New Roman"/>
          <w:iCs/>
          <w:lang w:val="it-IT" w:eastAsia="ar-SA"/>
        </w:rPr>
      </w:pPr>
      <w:r>
        <w:rPr>
          <w:rFonts w:ascii="Times New Roman" w:eastAsia="Times New Roman" w:hAnsi="Times New Roman"/>
          <w:iCs/>
          <w:lang w:val="it-IT" w:eastAsia="ar-SA"/>
        </w:rPr>
        <w:t>8501 Novo mesto</w:t>
      </w:r>
    </w:p>
    <w:p>
      <w:pPr>
        <w:widowControl w:val="0"/>
        <w:tabs>
          <w:tab w:val="left" w:pos="6840"/>
        </w:tabs>
        <w:suppressAutoHyphens/>
        <w:autoSpaceDE w:val="0"/>
        <w:spacing w:after="0" w:line="240" w:lineRule="auto"/>
        <w:rPr>
          <w:rFonts w:ascii="Times New Roman" w:eastAsia="Times New Roman" w:hAnsi="Times New Roman"/>
          <w:lang w:val="it-IT" w:eastAsia="ar-SA"/>
        </w:rPr>
      </w:pPr>
      <w:r>
        <w:rPr>
          <w:rFonts w:ascii="Times New Roman" w:eastAsia="Times New Roman" w:hAnsi="Times New Roman"/>
          <w:iCs/>
          <w:lang w:val="it-IT" w:eastAsia="ar-SA"/>
        </w:rPr>
        <w:t>Slovenia</w:t>
      </w:r>
      <w:r>
        <w:rPr>
          <w:rFonts w:ascii="Times New Roman" w:eastAsia="Times New Roman" w:hAnsi="Times New Roman"/>
          <w:iCs/>
          <w:lang w:val="it-IT" w:eastAsia="ar-SA"/>
        </w:rPr>
        <w:tab/>
      </w:r>
    </w:p>
    <w:p>
      <w:pPr>
        <w:tabs>
          <w:tab w:val="left" w:pos="567"/>
        </w:tabs>
        <w:spacing w:after="0" w:line="240" w:lineRule="auto"/>
        <w:rPr>
          <w:rFonts w:ascii="Times New Roman" w:eastAsia="Times New Roman" w:hAnsi="Times New Roman"/>
          <w:iCs/>
          <w:lang w:val="it-IT"/>
        </w:rPr>
      </w:pPr>
    </w:p>
    <w:p>
      <w:pPr>
        <w:widowControl w:val="0"/>
        <w:suppressAutoHyphens/>
        <w:autoSpaceDE w:val="0"/>
        <w:spacing w:after="0" w:line="240" w:lineRule="auto"/>
        <w:ind w:right="-2"/>
        <w:rPr>
          <w:rFonts w:ascii="Times New Roman" w:eastAsia="Times New Roman" w:hAnsi="Times New Roman"/>
          <w:lang w:val="it-IT" w:eastAsia="ar-SA"/>
        </w:rPr>
      </w:pPr>
      <w:r>
        <w:rPr>
          <w:rFonts w:ascii="Times New Roman" w:eastAsia="Times New Roman" w:hAnsi="Times New Roman"/>
          <w:lang w:val="it-IT" w:eastAsia="ar-SA"/>
        </w:rPr>
        <w:t>TAD Pharma GmbH</w:t>
      </w:r>
    </w:p>
    <w:p>
      <w:pPr>
        <w:widowControl w:val="0"/>
        <w:suppressAutoHyphens/>
        <w:autoSpaceDE w:val="0"/>
        <w:spacing w:after="0" w:line="240" w:lineRule="auto"/>
        <w:ind w:right="-2"/>
        <w:rPr>
          <w:rFonts w:ascii="Times New Roman" w:eastAsia="Times New Roman" w:hAnsi="Times New Roman"/>
          <w:lang w:val="it-IT" w:eastAsia="ar-SA"/>
        </w:rPr>
      </w:pPr>
      <w:r>
        <w:rPr>
          <w:rFonts w:ascii="Times New Roman" w:eastAsia="Times New Roman" w:hAnsi="Times New Roman"/>
          <w:lang w:val="it-IT" w:eastAsia="ar-SA"/>
        </w:rPr>
        <w:t>Heinz-Lohmann-Straße 5</w:t>
      </w:r>
    </w:p>
    <w:p>
      <w:pPr>
        <w:widowControl w:val="0"/>
        <w:suppressAutoHyphens/>
        <w:autoSpaceDE w:val="0"/>
        <w:spacing w:after="0" w:line="240" w:lineRule="auto"/>
        <w:ind w:right="-2"/>
        <w:rPr>
          <w:rFonts w:ascii="Times New Roman" w:eastAsia="Times New Roman" w:hAnsi="Times New Roman"/>
          <w:lang w:val="it-IT" w:eastAsia="ar-SA"/>
        </w:rPr>
      </w:pPr>
      <w:r>
        <w:rPr>
          <w:rFonts w:ascii="Times New Roman" w:eastAsia="Times New Roman" w:hAnsi="Times New Roman"/>
          <w:lang w:val="it-IT" w:eastAsia="ar-SA"/>
        </w:rPr>
        <w:t>27472 Cuxhaven</w:t>
      </w:r>
    </w:p>
    <w:p>
      <w:pPr>
        <w:widowControl w:val="0"/>
        <w:suppressAutoHyphens/>
        <w:autoSpaceDE w:val="0"/>
        <w:spacing w:after="0" w:line="240" w:lineRule="auto"/>
        <w:ind w:right="-2"/>
        <w:rPr>
          <w:rFonts w:ascii="Times New Roman" w:eastAsia="Times New Roman" w:hAnsi="Times New Roman"/>
          <w:lang w:val="it-IT" w:eastAsia="ar-SA"/>
        </w:rPr>
      </w:pPr>
      <w:r>
        <w:rPr>
          <w:rFonts w:ascii="Times New Roman" w:eastAsia="Times New Roman" w:hAnsi="Times New Roman"/>
          <w:lang w:val="it-IT" w:eastAsia="ar-SA"/>
        </w:rPr>
        <w:t>Germania</w:t>
      </w:r>
    </w:p>
    <w:p>
      <w:pPr>
        <w:tabs>
          <w:tab w:val="left" w:pos="567"/>
        </w:tabs>
        <w:spacing w:after="0" w:line="240" w:lineRule="auto"/>
        <w:rPr>
          <w:rFonts w:ascii="Times New Roman" w:eastAsia="Times New Roman" w:hAnsi="Times New Roman"/>
          <w:lang w:val="it-IT"/>
        </w:rPr>
      </w:pPr>
    </w:p>
    <w:p>
      <w:pPr>
        <w:widowControl w:val="0"/>
        <w:suppressAutoHyphens/>
        <w:autoSpaceDE w:val="0"/>
        <w:spacing w:after="0" w:line="240" w:lineRule="auto"/>
        <w:rPr>
          <w:rFonts w:ascii="Times New Roman" w:eastAsia="Times New Roman" w:hAnsi="Times New Roman"/>
          <w:lang w:val="it-IT" w:eastAsia="ar-SA"/>
        </w:rPr>
      </w:pPr>
      <w:r>
        <w:rPr>
          <w:rFonts w:ascii="Times New Roman" w:eastAsia="Times New Roman" w:hAnsi="Times New Roman"/>
          <w:lang w:val="it-IT" w:eastAsia="ar-SA"/>
        </w:rPr>
        <w:t>Il foglio illustrativo del medicinale deve riportare il nome e l'indirizzo del produttore responsabile per il rilascio dello specifico lotto.</w:t>
      </w:r>
    </w:p>
    <w:p>
      <w:pPr>
        <w:widowControl w:val="0"/>
        <w:suppressAutoHyphens/>
        <w:autoSpaceDE w:val="0"/>
        <w:spacing w:after="0" w:line="240" w:lineRule="auto"/>
        <w:rPr>
          <w:rFonts w:ascii="Times New Roman" w:eastAsia="Times New Roman" w:hAnsi="Times New Roman"/>
          <w:lang w:val="it-IT" w:eastAsia="ar-SA"/>
        </w:rPr>
      </w:pPr>
    </w:p>
    <w:p>
      <w:pPr>
        <w:widowControl w:val="0"/>
        <w:suppressAutoHyphens/>
        <w:autoSpaceDE w:val="0"/>
        <w:spacing w:after="0" w:line="240" w:lineRule="auto"/>
        <w:rPr>
          <w:rFonts w:ascii="Times New Roman" w:eastAsia="Times New Roman" w:hAnsi="Times New Roman"/>
          <w:lang w:val="it-IT" w:eastAsia="ar-SA"/>
        </w:rPr>
      </w:pPr>
    </w:p>
    <w:p>
      <w:pPr>
        <w:pStyle w:val="TitleB"/>
      </w:pPr>
      <w:r>
        <w:rPr>
          <w:rFonts w:eastAsia="Lucida Sans Unicode"/>
        </w:rPr>
        <w:t>B.</w:t>
      </w:r>
      <w:r>
        <w:rPr>
          <w:rFonts w:eastAsia="Lucida Sans Unicode"/>
        </w:rPr>
        <w:tab/>
        <w:t xml:space="preserve">CONDIZIONI </w:t>
      </w:r>
      <w:r>
        <w:t>O LIMITAZIONI DI FORNITURA E UTILIZZO</w:t>
      </w:r>
    </w:p>
    <w:p>
      <w:pPr>
        <w:widowControl w:val="0"/>
        <w:numPr>
          <w:ilvl w:val="12"/>
          <w:numId w:val="0"/>
        </w:numPr>
        <w:suppressAutoHyphens/>
        <w:autoSpaceDE w:val="0"/>
        <w:spacing w:after="0" w:line="240" w:lineRule="auto"/>
        <w:rPr>
          <w:rFonts w:ascii="Times New Roman" w:eastAsia="Times New Roman" w:hAnsi="Times New Roman"/>
          <w:lang w:val="it-IT" w:eastAsia="ar-SA"/>
        </w:rPr>
      </w:pPr>
    </w:p>
    <w:p>
      <w:pPr>
        <w:widowControl w:val="0"/>
        <w:suppressAutoHyphens/>
        <w:autoSpaceDE w:val="0"/>
        <w:spacing w:after="0" w:line="240" w:lineRule="auto"/>
        <w:rPr>
          <w:rFonts w:ascii="Times New Roman" w:eastAsia="Times New Roman" w:hAnsi="Times New Roman"/>
          <w:lang w:val="it-IT" w:eastAsia="ar-SA"/>
        </w:rPr>
      </w:pPr>
      <w:r>
        <w:rPr>
          <w:rFonts w:ascii="Times New Roman" w:eastAsia="Lucida Sans Unicode" w:hAnsi="Times New Roman"/>
          <w:lang w:val="it-IT" w:eastAsia="ar-SA"/>
        </w:rPr>
        <w:t>Medicinale soggetto a prescrizione medica.</w:t>
      </w:r>
    </w:p>
    <w:p>
      <w:pPr>
        <w:widowControl w:val="0"/>
        <w:suppressAutoHyphens/>
        <w:autoSpaceDE w:val="0"/>
        <w:spacing w:after="0" w:line="240" w:lineRule="auto"/>
        <w:rPr>
          <w:rFonts w:ascii="Times New Roman" w:eastAsia="Times New Roman" w:hAnsi="Times New Roman"/>
          <w:lang w:val="it-IT" w:eastAsia="ar-SA"/>
        </w:rPr>
      </w:pPr>
    </w:p>
    <w:p>
      <w:pPr>
        <w:widowControl w:val="0"/>
        <w:suppressAutoHyphens/>
        <w:autoSpaceDE w:val="0"/>
        <w:spacing w:after="0" w:line="240" w:lineRule="auto"/>
        <w:rPr>
          <w:rFonts w:ascii="Times New Roman" w:eastAsia="Times New Roman" w:hAnsi="Times New Roman"/>
          <w:lang w:val="it-IT" w:eastAsia="ar-SA"/>
        </w:rPr>
      </w:pPr>
    </w:p>
    <w:p>
      <w:pPr>
        <w:pStyle w:val="TitleB"/>
      </w:pPr>
      <w:r>
        <w:t>C.</w:t>
      </w:r>
      <w:r>
        <w:tab/>
        <w:t>ALTRE CONDIZIONI E REQUISITI DELL’AUTORIZZAZIONE ALL’IMMISSIONE IN COMMERCIO</w:t>
      </w:r>
    </w:p>
    <w:p>
      <w:pPr>
        <w:widowControl w:val="0"/>
        <w:suppressAutoHyphens/>
        <w:autoSpaceDE w:val="0"/>
        <w:spacing w:after="0" w:line="240" w:lineRule="auto"/>
        <w:rPr>
          <w:rFonts w:ascii="Times New Roman" w:eastAsia="Times New Roman" w:hAnsi="Times New Roman"/>
          <w:lang w:val="it-IT" w:eastAsia="ar-SA"/>
        </w:rPr>
      </w:pPr>
    </w:p>
    <w:p>
      <w:pPr>
        <w:widowControl w:val="0"/>
        <w:numPr>
          <w:ilvl w:val="0"/>
          <w:numId w:val="27"/>
        </w:numPr>
        <w:suppressAutoHyphens/>
        <w:autoSpaceDE w:val="0"/>
        <w:spacing w:after="120" w:line="240" w:lineRule="auto"/>
        <w:ind w:left="567" w:hanging="567"/>
        <w:rPr>
          <w:rFonts w:ascii="Times New Roman" w:eastAsia="Lucida Sans Unicode" w:hAnsi="Times New Roman"/>
          <w:b/>
          <w:iCs/>
          <w:lang w:val="it-IT" w:eastAsia="ar-SA"/>
        </w:rPr>
      </w:pPr>
      <w:r>
        <w:rPr>
          <w:rFonts w:ascii="Times New Roman" w:eastAsia="Lucida Sans Unicode" w:hAnsi="Times New Roman"/>
          <w:b/>
          <w:iCs/>
          <w:lang w:val="it-IT" w:eastAsia="ar-SA"/>
        </w:rPr>
        <w:t xml:space="preserve">Rapporti periodici di aggiornamento sulla sicurezza </w:t>
      </w:r>
      <w:r>
        <w:rPr>
          <w:rFonts w:ascii="Times New Roman" w:hAnsi="Times New Roman"/>
          <w:b/>
          <w:lang w:val="it-IT"/>
        </w:rPr>
        <w:t>(PSUR)</w:t>
      </w:r>
    </w:p>
    <w:p>
      <w:pPr>
        <w:widowControl w:val="0"/>
        <w:suppressAutoHyphens/>
        <w:autoSpaceDE w:val="0"/>
        <w:spacing w:after="0" w:line="240" w:lineRule="auto"/>
        <w:rPr>
          <w:rFonts w:ascii="Times New Roman" w:eastAsia="Times New Roman" w:hAnsi="Times New Roman"/>
          <w:lang w:val="it-IT" w:eastAsia="ar-SA"/>
        </w:rPr>
      </w:pPr>
      <w:r>
        <w:rPr>
          <w:rFonts w:ascii="Times New Roman" w:hAnsi="Times New Roman"/>
          <w:lang w:val="it-IT"/>
        </w:rPr>
        <w:t xml:space="preserve">I requisiti definiti per la presentazione degli PSUR per questo medicinale sono definiti nell’elenco delle date di riferimento per l’Unione europea (elenco EURD) di cui all’articolo 107 quater, par. 7 della direttiva 2001/83/CE e successive modifiche, pubblicato sul </w:t>
      </w:r>
      <w:r>
        <w:rPr>
          <w:rFonts w:ascii="Times New Roman" w:hAnsi="Times New Roman"/>
          <w:noProof/>
          <w:lang w:val="it-IT"/>
        </w:rPr>
        <w:t>sito</w:t>
      </w:r>
      <w:r>
        <w:rPr>
          <w:rFonts w:ascii="Times New Roman" w:hAnsi="Times New Roman"/>
          <w:lang w:val="it-IT"/>
        </w:rPr>
        <w:t xml:space="preserve"> web dei medicinali europei.</w:t>
      </w:r>
    </w:p>
    <w:p>
      <w:pPr>
        <w:widowControl w:val="0"/>
        <w:suppressAutoHyphens/>
        <w:autoSpaceDE w:val="0"/>
        <w:spacing w:after="0" w:line="240" w:lineRule="auto"/>
        <w:rPr>
          <w:rFonts w:ascii="Times New Roman" w:eastAsia="Times New Roman" w:hAnsi="Times New Roman"/>
          <w:lang w:val="it-IT" w:eastAsia="ar-SA"/>
        </w:rPr>
      </w:pPr>
    </w:p>
    <w:p>
      <w:pPr>
        <w:pStyle w:val="TitleB"/>
      </w:pPr>
      <w:r>
        <w:t>D.</w:t>
      </w:r>
      <w:r>
        <w:tab/>
        <w:t>CONDIZIONI O LIMITAZIONI PER QUANTO RIGUARDA L’USO SICURO ED EFFICACE DEL MEDICINALE</w:t>
      </w:r>
    </w:p>
    <w:p>
      <w:pPr>
        <w:tabs>
          <w:tab w:val="left" w:pos="540"/>
        </w:tabs>
        <w:autoSpaceDE w:val="0"/>
        <w:autoSpaceDN w:val="0"/>
        <w:adjustRightInd w:val="0"/>
        <w:spacing w:after="0" w:line="240" w:lineRule="auto"/>
        <w:ind w:left="540" w:hanging="540"/>
        <w:rPr>
          <w:rFonts w:ascii="Times New Roman" w:eastAsia="Times New Roman" w:hAnsi="Times New Roman"/>
          <w:b/>
          <w:bCs/>
          <w:color w:val="000000"/>
          <w:lang w:val="it-IT"/>
        </w:rPr>
      </w:pPr>
    </w:p>
    <w:p>
      <w:pPr>
        <w:widowControl w:val="0"/>
        <w:numPr>
          <w:ilvl w:val="0"/>
          <w:numId w:val="26"/>
        </w:numPr>
        <w:tabs>
          <w:tab w:val="left" w:pos="540"/>
        </w:tabs>
        <w:suppressAutoHyphens/>
        <w:autoSpaceDE w:val="0"/>
        <w:autoSpaceDN w:val="0"/>
        <w:adjustRightInd w:val="0"/>
        <w:spacing w:after="0" w:line="240" w:lineRule="auto"/>
        <w:ind w:left="426" w:hanging="426"/>
        <w:rPr>
          <w:rFonts w:ascii="Times New Roman" w:eastAsia="Times New Roman" w:hAnsi="Times New Roman"/>
          <w:b/>
          <w:bCs/>
          <w:color w:val="000000"/>
          <w:lang w:val="it-IT"/>
        </w:rPr>
      </w:pPr>
      <w:r>
        <w:rPr>
          <w:rFonts w:ascii="Times New Roman" w:eastAsia="Times New Roman" w:hAnsi="Times New Roman"/>
          <w:b/>
          <w:bCs/>
          <w:color w:val="000000"/>
          <w:lang w:val="it-IT"/>
        </w:rPr>
        <w:t>Piano di gestione del rischio (RMP)</w:t>
      </w:r>
    </w:p>
    <w:p>
      <w:pPr>
        <w:tabs>
          <w:tab w:val="left" w:pos="540"/>
        </w:tabs>
        <w:autoSpaceDE w:val="0"/>
        <w:autoSpaceDN w:val="0"/>
        <w:adjustRightInd w:val="0"/>
        <w:spacing w:after="0" w:line="240" w:lineRule="auto"/>
        <w:ind w:left="540" w:hanging="540"/>
        <w:rPr>
          <w:rFonts w:ascii="Times New Roman" w:eastAsia="Times New Roman" w:hAnsi="Times New Roman"/>
          <w:b/>
          <w:bCs/>
          <w:color w:val="000000"/>
          <w:lang w:val="it-IT"/>
        </w:rPr>
      </w:pPr>
    </w:p>
    <w:p>
      <w:pPr>
        <w:tabs>
          <w:tab w:val="left" w:pos="540"/>
        </w:tabs>
        <w:autoSpaceDE w:val="0"/>
        <w:autoSpaceDN w:val="0"/>
        <w:adjustRightInd w:val="0"/>
        <w:spacing w:after="0" w:line="240" w:lineRule="auto"/>
        <w:ind w:left="540" w:hanging="540"/>
        <w:rPr>
          <w:rFonts w:ascii="Times New Roman" w:eastAsia="Times New Roman" w:hAnsi="Times New Roman"/>
          <w:bCs/>
          <w:color w:val="000000"/>
          <w:lang w:val="it-IT"/>
        </w:rPr>
      </w:pPr>
      <w:r>
        <w:rPr>
          <w:rFonts w:ascii="Times New Roman" w:eastAsia="Times New Roman" w:hAnsi="Times New Roman"/>
          <w:bCs/>
          <w:color w:val="000000"/>
          <w:lang w:val="it-IT"/>
        </w:rPr>
        <w:t>Non applicabile</w:t>
      </w:r>
    </w:p>
    <w:p>
      <w:pPr>
        <w:tabs>
          <w:tab w:val="left" w:pos="540"/>
        </w:tabs>
        <w:autoSpaceDE w:val="0"/>
        <w:autoSpaceDN w:val="0"/>
        <w:adjustRightInd w:val="0"/>
        <w:spacing w:after="0" w:line="240" w:lineRule="auto"/>
        <w:ind w:left="540" w:hanging="540"/>
        <w:rPr>
          <w:rFonts w:ascii="Times New Roman" w:eastAsia="Times New Roman" w:hAnsi="Times New Roman"/>
          <w:bCs/>
          <w:color w:val="000000"/>
          <w:lang w:val="it-IT"/>
        </w:rPr>
      </w:pPr>
    </w:p>
    <w:p>
      <w:pPr>
        <w:widowControl w:val="0"/>
        <w:suppressAutoHyphens/>
        <w:autoSpaceDE w:val="0"/>
        <w:spacing w:after="0" w:line="240" w:lineRule="auto"/>
        <w:rPr>
          <w:rFonts w:ascii="Times New Roman" w:eastAsia="Times New Roman" w:hAnsi="Times New Roman"/>
          <w:lang w:val="it-IT" w:eastAsia="ar-SA"/>
        </w:rPr>
      </w:pPr>
      <w:r>
        <w:rPr>
          <w:rFonts w:ascii="Times New Roman" w:eastAsia="Times New Roman" w:hAnsi="Times New Roman"/>
          <w:lang w:val="it-IT" w:eastAsia="ar-SA"/>
        </w:rPr>
        <w:br w:type="page"/>
      </w:r>
    </w:p>
    <w:p>
      <w:pPr>
        <w:widowControl w:val="0"/>
        <w:suppressAutoHyphens/>
        <w:autoSpaceDE w:val="0"/>
        <w:spacing w:after="0" w:line="240" w:lineRule="auto"/>
        <w:rPr>
          <w:rFonts w:ascii="Times New Roman" w:eastAsia="Times New Roman" w:hAnsi="Times New Roman"/>
          <w:lang w:val="it-IT" w:eastAsia="ar-SA"/>
        </w:rPr>
      </w:pPr>
    </w:p>
    <w:p>
      <w:pPr>
        <w:widowControl w:val="0"/>
        <w:suppressAutoHyphens/>
        <w:autoSpaceDE w:val="0"/>
        <w:spacing w:after="0" w:line="240" w:lineRule="auto"/>
        <w:rPr>
          <w:rFonts w:ascii="Times New Roman" w:eastAsia="Times New Roman" w:hAnsi="Times New Roman"/>
          <w:lang w:val="it-IT" w:eastAsia="ar-SA"/>
        </w:rPr>
      </w:pPr>
    </w:p>
    <w:p>
      <w:pPr>
        <w:widowControl w:val="0"/>
        <w:suppressAutoHyphens/>
        <w:autoSpaceDE w:val="0"/>
        <w:spacing w:after="0" w:line="240" w:lineRule="auto"/>
        <w:rPr>
          <w:rFonts w:ascii="Times New Roman" w:eastAsia="Times New Roman" w:hAnsi="Times New Roman"/>
          <w:lang w:val="it-IT" w:eastAsia="ar-SA"/>
        </w:rPr>
      </w:pPr>
    </w:p>
    <w:p>
      <w:pPr>
        <w:widowControl w:val="0"/>
        <w:suppressAutoHyphens/>
        <w:autoSpaceDE w:val="0"/>
        <w:spacing w:after="0" w:line="240" w:lineRule="auto"/>
        <w:rPr>
          <w:rFonts w:ascii="Times New Roman" w:eastAsia="Times New Roman" w:hAnsi="Times New Roman"/>
          <w:lang w:val="it-IT" w:eastAsia="ar-SA"/>
        </w:rPr>
      </w:pPr>
    </w:p>
    <w:p>
      <w:pPr>
        <w:widowControl w:val="0"/>
        <w:suppressAutoHyphens/>
        <w:autoSpaceDE w:val="0"/>
        <w:spacing w:after="0" w:line="240" w:lineRule="auto"/>
        <w:rPr>
          <w:rFonts w:ascii="Times New Roman" w:eastAsia="Times New Roman" w:hAnsi="Times New Roman"/>
          <w:lang w:val="it-IT" w:eastAsia="ar-SA"/>
        </w:rPr>
      </w:pPr>
    </w:p>
    <w:p>
      <w:pPr>
        <w:widowControl w:val="0"/>
        <w:suppressAutoHyphens/>
        <w:autoSpaceDE w:val="0"/>
        <w:spacing w:after="0" w:line="240" w:lineRule="auto"/>
        <w:rPr>
          <w:rFonts w:ascii="Times New Roman" w:eastAsia="Times New Roman" w:hAnsi="Times New Roman"/>
          <w:lang w:val="it-IT" w:eastAsia="ar-SA"/>
        </w:rPr>
      </w:pPr>
    </w:p>
    <w:p>
      <w:pPr>
        <w:widowControl w:val="0"/>
        <w:suppressAutoHyphens/>
        <w:autoSpaceDE w:val="0"/>
        <w:spacing w:after="0" w:line="240" w:lineRule="auto"/>
        <w:rPr>
          <w:rFonts w:ascii="Times New Roman" w:eastAsia="Times New Roman" w:hAnsi="Times New Roman"/>
          <w:lang w:val="it-IT" w:eastAsia="ar-SA"/>
        </w:rPr>
      </w:pPr>
    </w:p>
    <w:p>
      <w:pPr>
        <w:widowControl w:val="0"/>
        <w:suppressAutoHyphens/>
        <w:autoSpaceDE w:val="0"/>
        <w:spacing w:after="0" w:line="240" w:lineRule="auto"/>
        <w:rPr>
          <w:rFonts w:ascii="Times New Roman" w:eastAsia="Times New Roman" w:hAnsi="Times New Roman"/>
          <w:lang w:val="it-IT" w:eastAsia="ar-SA"/>
        </w:rPr>
      </w:pPr>
    </w:p>
    <w:p>
      <w:pPr>
        <w:widowControl w:val="0"/>
        <w:suppressAutoHyphens/>
        <w:autoSpaceDE w:val="0"/>
        <w:spacing w:after="0" w:line="240" w:lineRule="auto"/>
        <w:rPr>
          <w:rFonts w:ascii="Times New Roman" w:eastAsia="Times New Roman" w:hAnsi="Times New Roman"/>
          <w:lang w:val="it-IT" w:eastAsia="ar-SA"/>
        </w:rPr>
      </w:pPr>
    </w:p>
    <w:p>
      <w:pPr>
        <w:widowControl w:val="0"/>
        <w:suppressAutoHyphens/>
        <w:autoSpaceDE w:val="0"/>
        <w:spacing w:after="0" w:line="240" w:lineRule="auto"/>
        <w:rPr>
          <w:rFonts w:ascii="Times New Roman" w:eastAsia="Times New Roman" w:hAnsi="Times New Roman"/>
          <w:lang w:val="it-IT" w:eastAsia="ar-SA"/>
        </w:rPr>
      </w:pPr>
    </w:p>
    <w:p>
      <w:pPr>
        <w:widowControl w:val="0"/>
        <w:suppressAutoHyphens/>
        <w:autoSpaceDE w:val="0"/>
        <w:spacing w:after="0" w:line="240" w:lineRule="auto"/>
        <w:rPr>
          <w:rFonts w:ascii="Times New Roman" w:eastAsia="Times New Roman" w:hAnsi="Times New Roman"/>
          <w:lang w:val="it-IT" w:eastAsia="ar-SA"/>
        </w:rPr>
      </w:pPr>
    </w:p>
    <w:p>
      <w:pPr>
        <w:widowControl w:val="0"/>
        <w:suppressAutoHyphens/>
        <w:autoSpaceDE w:val="0"/>
        <w:spacing w:after="0" w:line="240" w:lineRule="auto"/>
        <w:rPr>
          <w:rFonts w:ascii="Times New Roman" w:eastAsia="Times New Roman" w:hAnsi="Times New Roman"/>
          <w:lang w:val="it-IT" w:eastAsia="ar-SA"/>
        </w:rPr>
      </w:pPr>
    </w:p>
    <w:p>
      <w:pPr>
        <w:widowControl w:val="0"/>
        <w:suppressAutoHyphens/>
        <w:autoSpaceDE w:val="0"/>
        <w:spacing w:after="0" w:line="240" w:lineRule="auto"/>
        <w:rPr>
          <w:rFonts w:ascii="Times New Roman" w:eastAsia="Times New Roman" w:hAnsi="Times New Roman"/>
          <w:lang w:val="it-IT" w:eastAsia="ar-SA"/>
        </w:rPr>
      </w:pPr>
    </w:p>
    <w:p>
      <w:pPr>
        <w:widowControl w:val="0"/>
        <w:suppressAutoHyphens/>
        <w:autoSpaceDE w:val="0"/>
        <w:spacing w:after="0" w:line="240" w:lineRule="auto"/>
        <w:rPr>
          <w:rFonts w:ascii="Times New Roman" w:eastAsia="Times New Roman" w:hAnsi="Times New Roman"/>
          <w:lang w:val="it-IT" w:eastAsia="ar-SA"/>
        </w:rPr>
      </w:pPr>
    </w:p>
    <w:p>
      <w:pPr>
        <w:widowControl w:val="0"/>
        <w:suppressAutoHyphens/>
        <w:autoSpaceDE w:val="0"/>
        <w:spacing w:after="0" w:line="240" w:lineRule="auto"/>
        <w:rPr>
          <w:rFonts w:ascii="Times New Roman" w:eastAsia="Times New Roman" w:hAnsi="Times New Roman"/>
          <w:lang w:val="it-IT" w:eastAsia="ar-SA"/>
        </w:rPr>
      </w:pPr>
    </w:p>
    <w:p>
      <w:pPr>
        <w:widowControl w:val="0"/>
        <w:suppressAutoHyphens/>
        <w:autoSpaceDE w:val="0"/>
        <w:spacing w:after="0" w:line="240" w:lineRule="auto"/>
        <w:rPr>
          <w:rFonts w:ascii="Times New Roman" w:eastAsia="Times New Roman" w:hAnsi="Times New Roman"/>
          <w:lang w:val="it-IT" w:eastAsia="ar-SA"/>
        </w:rPr>
      </w:pPr>
    </w:p>
    <w:p>
      <w:pPr>
        <w:widowControl w:val="0"/>
        <w:suppressAutoHyphens/>
        <w:autoSpaceDE w:val="0"/>
        <w:spacing w:after="0" w:line="240" w:lineRule="auto"/>
        <w:rPr>
          <w:rFonts w:ascii="Times New Roman" w:eastAsia="Times New Roman" w:hAnsi="Times New Roman"/>
          <w:lang w:val="it-IT" w:eastAsia="ar-SA"/>
        </w:rPr>
      </w:pPr>
    </w:p>
    <w:p>
      <w:pPr>
        <w:widowControl w:val="0"/>
        <w:suppressAutoHyphens/>
        <w:autoSpaceDE w:val="0"/>
        <w:spacing w:after="0" w:line="240" w:lineRule="auto"/>
        <w:rPr>
          <w:rFonts w:ascii="Times New Roman" w:eastAsia="Times New Roman" w:hAnsi="Times New Roman"/>
          <w:lang w:val="it-IT" w:eastAsia="ar-SA"/>
        </w:rPr>
      </w:pPr>
    </w:p>
    <w:p>
      <w:pPr>
        <w:widowControl w:val="0"/>
        <w:suppressAutoHyphens/>
        <w:autoSpaceDE w:val="0"/>
        <w:spacing w:after="0" w:line="240" w:lineRule="auto"/>
        <w:rPr>
          <w:rFonts w:ascii="Times New Roman" w:eastAsia="Times New Roman" w:hAnsi="Times New Roman"/>
          <w:lang w:val="it-IT" w:eastAsia="ar-SA"/>
        </w:rPr>
      </w:pPr>
    </w:p>
    <w:p>
      <w:pPr>
        <w:widowControl w:val="0"/>
        <w:suppressAutoHyphens/>
        <w:autoSpaceDE w:val="0"/>
        <w:spacing w:after="0" w:line="240" w:lineRule="auto"/>
        <w:jc w:val="center"/>
        <w:rPr>
          <w:rFonts w:ascii="Times New Roman" w:eastAsia="Times New Roman" w:hAnsi="Times New Roman"/>
          <w:lang w:val="it-IT" w:eastAsia="ar-SA"/>
        </w:rPr>
      </w:pPr>
    </w:p>
    <w:p>
      <w:pPr>
        <w:widowControl w:val="0"/>
        <w:suppressAutoHyphens/>
        <w:autoSpaceDE w:val="0"/>
        <w:spacing w:after="0" w:line="240" w:lineRule="auto"/>
        <w:jc w:val="center"/>
        <w:rPr>
          <w:rFonts w:ascii="Times New Roman" w:eastAsia="Times New Roman" w:hAnsi="Times New Roman"/>
          <w:lang w:val="it-IT" w:eastAsia="ar-SA"/>
        </w:rPr>
      </w:pPr>
    </w:p>
    <w:p>
      <w:pPr>
        <w:widowControl w:val="0"/>
        <w:suppressAutoHyphens/>
        <w:autoSpaceDE w:val="0"/>
        <w:spacing w:after="0" w:line="240" w:lineRule="auto"/>
        <w:jc w:val="center"/>
        <w:rPr>
          <w:rFonts w:ascii="Times New Roman" w:eastAsia="Times New Roman" w:hAnsi="Times New Roman"/>
          <w:lang w:val="it-IT" w:eastAsia="ar-SA"/>
        </w:rPr>
      </w:pPr>
    </w:p>
    <w:p>
      <w:pPr>
        <w:widowControl w:val="0"/>
        <w:suppressAutoHyphens/>
        <w:autoSpaceDE w:val="0"/>
        <w:spacing w:after="0" w:line="240" w:lineRule="auto"/>
        <w:jc w:val="center"/>
        <w:rPr>
          <w:rFonts w:ascii="Times New Roman" w:eastAsia="Times New Roman" w:hAnsi="Times New Roman"/>
          <w:lang w:val="it-IT" w:eastAsia="ar-SA"/>
        </w:rPr>
      </w:pPr>
    </w:p>
    <w:p>
      <w:pPr>
        <w:widowControl w:val="0"/>
        <w:suppressAutoHyphens/>
        <w:autoSpaceDE w:val="0"/>
        <w:spacing w:after="0" w:line="240" w:lineRule="auto"/>
        <w:jc w:val="center"/>
        <w:rPr>
          <w:rFonts w:ascii="Times New Roman" w:eastAsia="Times New Roman" w:hAnsi="Times New Roman"/>
          <w:b/>
          <w:lang w:val="it-IT" w:eastAsia="ar-SA"/>
        </w:rPr>
      </w:pPr>
      <w:r>
        <w:rPr>
          <w:rFonts w:ascii="Times New Roman" w:eastAsia="Times New Roman" w:hAnsi="Times New Roman"/>
          <w:b/>
          <w:lang w:val="it-IT" w:eastAsia="ar-SA"/>
        </w:rPr>
        <w:t>ALLEGATO III</w:t>
      </w:r>
    </w:p>
    <w:p>
      <w:pPr>
        <w:widowControl w:val="0"/>
        <w:suppressAutoHyphens/>
        <w:autoSpaceDE w:val="0"/>
        <w:spacing w:after="0" w:line="240" w:lineRule="auto"/>
        <w:jc w:val="center"/>
        <w:rPr>
          <w:rFonts w:ascii="Times New Roman" w:eastAsia="Times New Roman" w:hAnsi="Times New Roman"/>
          <w:lang w:val="it-IT" w:eastAsia="ar-SA"/>
        </w:rPr>
      </w:pPr>
    </w:p>
    <w:p>
      <w:pPr>
        <w:widowControl w:val="0"/>
        <w:suppressAutoHyphens/>
        <w:autoSpaceDE w:val="0"/>
        <w:spacing w:after="0" w:line="240" w:lineRule="auto"/>
        <w:jc w:val="center"/>
        <w:rPr>
          <w:rFonts w:ascii="Times New Roman" w:eastAsia="Times New Roman" w:hAnsi="Times New Roman"/>
          <w:b/>
          <w:lang w:val="it-IT" w:eastAsia="ar-SA"/>
        </w:rPr>
      </w:pPr>
      <w:r>
        <w:rPr>
          <w:rFonts w:ascii="Times New Roman" w:eastAsia="Times New Roman" w:hAnsi="Times New Roman"/>
          <w:b/>
          <w:lang w:val="it-IT" w:eastAsia="ar-SA"/>
        </w:rPr>
        <w:t>ETICHETTATURA E FOGLIO ILLUSTRATIVO</w:t>
      </w:r>
    </w:p>
    <w:p>
      <w:pPr>
        <w:widowControl w:val="0"/>
        <w:suppressAutoHyphens/>
        <w:autoSpaceDE w:val="0"/>
        <w:spacing w:after="0" w:line="240" w:lineRule="auto"/>
        <w:jc w:val="center"/>
        <w:rPr>
          <w:rFonts w:ascii="Times New Roman" w:eastAsia="Times New Roman" w:hAnsi="Times New Roman"/>
          <w:lang w:val="it-IT" w:eastAsia="ar-SA"/>
        </w:rPr>
      </w:pPr>
    </w:p>
    <w:p>
      <w:pPr>
        <w:pageBreakBefore/>
        <w:widowControl w:val="0"/>
        <w:suppressAutoHyphens/>
        <w:autoSpaceDE w:val="0"/>
        <w:spacing w:after="0" w:line="240" w:lineRule="auto"/>
        <w:jc w:val="center"/>
        <w:rPr>
          <w:rFonts w:ascii="Times New Roman" w:eastAsia="Times New Roman" w:hAnsi="Times New Roman"/>
          <w:lang w:val="it-IT" w:eastAsia="ar-SA"/>
        </w:rPr>
      </w:pPr>
    </w:p>
    <w:p>
      <w:pPr>
        <w:widowControl w:val="0"/>
        <w:suppressAutoHyphens/>
        <w:autoSpaceDE w:val="0"/>
        <w:spacing w:after="0" w:line="240" w:lineRule="auto"/>
        <w:jc w:val="center"/>
        <w:rPr>
          <w:rFonts w:ascii="Times New Roman" w:eastAsia="Times New Roman" w:hAnsi="Times New Roman"/>
          <w:lang w:val="it-IT" w:eastAsia="ar-SA"/>
        </w:rPr>
      </w:pPr>
    </w:p>
    <w:p>
      <w:pPr>
        <w:widowControl w:val="0"/>
        <w:suppressAutoHyphens/>
        <w:autoSpaceDE w:val="0"/>
        <w:spacing w:after="0" w:line="240" w:lineRule="auto"/>
        <w:jc w:val="center"/>
        <w:rPr>
          <w:rFonts w:ascii="Times New Roman" w:eastAsia="Times New Roman" w:hAnsi="Times New Roman"/>
          <w:lang w:val="it-IT" w:eastAsia="ar-SA"/>
        </w:rPr>
      </w:pPr>
    </w:p>
    <w:p>
      <w:pPr>
        <w:widowControl w:val="0"/>
        <w:suppressAutoHyphens/>
        <w:autoSpaceDE w:val="0"/>
        <w:spacing w:after="0" w:line="240" w:lineRule="auto"/>
        <w:jc w:val="center"/>
        <w:rPr>
          <w:rFonts w:ascii="Times New Roman" w:eastAsia="Times New Roman" w:hAnsi="Times New Roman"/>
          <w:lang w:val="it-IT" w:eastAsia="ar-SA"/>
        </w:rPr>
      </w:pPr>
    </w:p>
    <w:p>
      <w:pPr>
        <w:widowControl w:val="0"/>
        <w:suppressAutoHyphens/>
        <w:autoSpaceDE w:val="0"/>
        <w:spacing w:after="0" w:line="240" w:lineRule="auto"/>
        <w:jc w:val="center"/>
        <w:rPr>
          <w:rFonts w:ascii="Times New Roman" w:eastAsia="Times New Roman" w:hAnsi="Times New Roman"/>
          <w:lang w:val="it-IT" w:eastAsia="ar-SA"/>
        </w:rPr>
      </w:pPr>
    </w:p>
    <w:p>
      <w:pPr>
        <w:widowControl w:val="0"/>
        <w:suppressAutoHyphens/>
        <w:autoSpaceDE w:val="0"/>
        <w:spacing w:after="0" w:line="240" w:lineRule="auto"/>
        <w:jc w:val="center"/>
        <w:rPr>
          <w:rFonts w:ascii="Times New Roman" w:eastAsia="Times New Roman" w:hAnsi="Times New Roman"/>
          <w:lang w:val="it-IT" w:eastAsia="ar-SA"/>
        </w:rPr>
      </w:pPr>
    </w:p>
    <w:p>
      <w:pPr>
        <w:widowControl w:val="0"/>
        <w:suppressAutoHyphens/>
        <w:autoSpaceDE w:val="0"/>
        <w:spacing w:after="0" w:line="240" w:lineRule="auto"/>
        <w:jc w:val="center"/>
        <w:rPr>
          <w:rFonts w:ascii="Times New Roman" w:eastAsia="Times New Roman" w:hAnsi="Times New Roman"/>
          <w:lang w:val="it-IT" w:eastAsia="ar-SA"/>
        </w:rPr>
      </w:pPr>
    </w:p>
    <w:p>
      <w:pPr>
        <w:widowControl w:val="0"/>
        <w:suppressAutoHyphens/>
        <w:autoSpaceDE w:val="0"/>
        <w:spacing w:after="0" w:line="240" w:lineRule="auto"/>
        <w:jc w:val="center"/>
        <w:rPr>
          <w:rFonts w:ascii="Times New Roman" w:eastAsia="Times New Roman" w:hAnsi="Times New Roman"/>
          <w:lang w:val="it-IT" w:eastAsia="ar-SA"/>
        </w:rPr>
      </w:pPr>
    </w:p>
    <w:p>
      <w:pPr>
        <w:widowControl w:val="0"/>
        <w:suppressAutoHyphens/>
        <w:autoSpaceDE w:val="0"/>
        <w:spacing w:after="0" w:line="240" w:lineRule="auto"/>
        <w:jc w:val="center"/>
        <w:rPr>
          <w:rFonts w:ascii="Times New Roman" w:eastAsia="Times New Roman" w:hAnsi="Times New Roman"/>
          <w:lang w:val="it-IT" w:eastAsia="ar-SA"/>
        </w:rPr>
      </w:pPr>
    </w:p>
    <w:p>
      <w:pPr>
        <w:widowControl w:val="0"/>
        <w:suppressAutoHyphens/>
        <w:autoSpaceDE w:val="0"/>
        <w:spacing w:after="0" w:line="240" w:lineRule="auto"/>
        <w:jc w:val="center"/>
        <w:rPr>
          <w:rFonts w:ascii="Times New Roman" w:eastAsia="Times New Roman" w:hAnsi="Times New Roman"/>
          <w:lang w:val="it-IT" w:eastAsia="ar-SA"/>
        </w:rPr>
      </w:pPr>
    </w:p>
    <w:p>
      <w:pPr>
        <w:widowControl w:val="0"/>
        <w:suppressAutoHyphens/>
        <w:autoSpaceDE w:val="0"/>
        <w:spacing w:after="0" w:line="240" w:lineRule="auto"/>
        <w:jc w:val="center"/>
        <w:rPr>
          <w:rFonts w:ascii="Times New Roman" w:eastAsia="Times New Roman" w:hAnsi="Times New Roman"/>
          <w:lang w:val="it-IT" w:eastAsia="ar-SA"/>
        </w:rPr>
      </w:pPr>
    </w:p>
    <w:p>
      <w:pPr>
        <w:widowControl w:val="0"/>
        <w:suppressAutoHyphens/>
        <w:autoSpaceDE w:val="0"/>
        <w:spacing w:after="0" w:line="240" w:lineRule="auto"/>
        <w:jc w:val="center"/>
        <w:rPr>
          <w:rFonts w:ascii="Times New Roman" w:eastAsia="Times New Roman" w:hAnsi="Times New Roman"/>
          <w:lang w:val="it-IT" w:eastAsia="ar-SA"/>
        </w:rPr>
      </w:pPr>
    </w:p>
    <w:p>
      <w:pPr>
        <w:widowControl w:val="0"/>
        <w:suppressAutoHyphens/>
        <w:autoSpaceDE w:val="0"/>
        <w:spacing w:after="0" w:line="240" w:lineRule="auto"/>
        <w:jc w:val="center"/>
        <w:rPr>
          <w:rFonts w:ascii="Times New Roman" w:eastAsia="Times New Roman" w:hAnsi="Times New Roman"/>
          <w:lang w:val="it-IT" w:eastAsia="ar-SA"/>
        </w:rPr>
      </w:pPr>
    </w:p>
    <w:p>
      <w:pPr>
        <w:widowControl w:val="0"/>
        <w:suppressAutoHyphens/>
        <w:autoSpaceDE w:val="0"/>
        <w:spacing w:after="0" w:line="240" w:lineRule="auto"/>
        <w:jc w:val="center"/>
        <w:rPr>
          <w:rFonts w:ascii="Times New Roman" w:eastAsia="Times New Roman" w:hAnsi="Times New Roman"/>
          <w:lang w:val="it-IT" w:eastAsia="ar-SA"/>
        </w:rPr>
      </w:pPr>
    </w:p>
    <w:p>
      <w:pPr>
        <w:widowControl w:val="0"/>
        <w:suppressAutoHyphens/>
        <w:autoSpaceDE w:val="0"/>
        <w:spacing w:after="0" w:line="240" w:lineRule="auto"/>
        <w:jc w:val="center"/>
        <w:rPr>
          <w:rFonts w:ascii="Times New Roman" w:eastAsia="Times New Roman" w:hAnsi="Times New Roman"/>
          <w:lang w:val="it-IT" w:eastAsia="ar-SA"/>
        </w:rPr>
      </w:pPr>
    </w:p>
    <w:p>
      <w:pPr>
        <w:widowControl w:val="0"/>
        <w:suppressAutoHyphens/>
        <w:autoSpaceDE w:val="0"/>
        <w:spacing w:after="0" w:line="240" w:lineRule="auto"/>
        <w:jc w:val="center"/>
        <w:rPr>
          <w:rFonts w:ascii="Times New Roman" w:eastAsia="Times New Roman" w:hAnsi="Times New Roman"/>
          <w:lang w:val="it-IT" w:eastAsia="ar-SA"/>
        </w:rPr>
      </w:pPr>
    </w:p>
    <w:p>
      <w:pPr>
        <w:widowControl w:val="0"/>
        <w:suppressAutoHyphens/>
        <w:autoSpaceDE w:val="0"/>
        <w:spacing w:after="0" w:line="240" w:lineRule="auto"/>
        <w:jc w:val="center"/>
        <w:rPr>
          <w:rFonts w:ascii="Times New Roman" w:eastAsia="Times New Roman" w:hAnsi="Times New Roman"/>
          <w:lang w:val="it-IT" w:eastAsia="ar-SA"/>
        </w:rPr>
      </w:pPr>
    </w:p>
    <w:p>
      <w:pPr>
        <w:widowControl w:val="0"/>
        <w:suppressAutoHyphens/>
        <w:autoSpaceDE w:val="0"/>
        <w:spacing w:after="0" w:line="240" w:lineRule="auto"/>
        <w:jc w:val="center"/>
        <w:rPr>
          <w:rFonts w:ascii="Times New Roman" w:eastAsia="Times New Roman" w:hAnsi="Times New Roman"/>
          <w:lang w:val="it-IT" w:eastAsia="ar-SA"/>
        </w:rPr>
      </w:pPr>
    </w:p>
    <w:p>
      <w:pPr>
        <w:widowControl w:val="0"/>
        <w:suppressAutoHyphens/>
        <w:autoSpaceDE w:val="0"/>
        <w:spacing w:after="0" w:line="240" w:lineRule="auto"/>
        <w:jc w:val="center"/>
        <w:rPr>
          <w:rFonts w:ascii="Times New Roman" w:eastAsia="Times New Roman" w:hAnsi="Times New Roman"/>
          <w:lang w:val="it-IT" w:eastAsia="ar-SA"/>
        </w:rPr>
      </w:pPr>
    </w:p>
    <w:p>
      <w:pPr>
        <w:widowControl w:val="0"/>
        <w:suppressAutoHyphens/>
        <w:autoSpaceDE w:val="0"/>
        <w:spacing w:after="0" w:line="240" w:lineRule="auto"/>
        <w:jc w:val="center"/>
        <w:rPr>
          <w:rFonts w:ascii="Times New Roman" w:eastAsia="Times New Roman" w:hAnsi="Times New Roman"/>
          <w:lang w:val="it-IT" w:eastAsia="ar-SA"/>
        </w:rPr>
      </w:pPr>
    </w:p>
    <w:p>
      <w:pPr>
        <w:widowControl w:val="0"/>
        <w:suppressAutoHyphens/>
        <w:autoSpaceDE w:val="0"/>
        <w:spacing w:after="0" w:line="240" w:lineRule="auto"/>
        <w:jc w:val="center"/>
        <w:rPr>
          <w:rFonts w:ascii="Times New Roman" w:eastAsia="Times New Roman" w:hAnsi="Times New Roman"/>
          <w:lang w:val="it-IT" w:eastAsia="ar-SA"/>
        </w:rPr>
      </w:pPr>
    </w:p>
    <w:p>
      <w:pPr>
        <w:widowControl w:val="0"/>
        <w:suppressAutoHyphens/>
        <w:autoSpaceDE w:val="0"/>
        <w:spacing w:after="0" w:line="240" w:lineRule="auto"/>
        <w:jc w:val="center"/>
        <w:rPr>
          <w:rFonts w:ascii="Times New Roman" w:eastAsia="Times New Roman" w:hAnsi="Times New Roman"/>
          <w:lang w:val="it-IT" w:eastAsia="ar-SA"/>
        </w:rPr>
      </w:pPr>
    </w:p>
    <w:p>
      <w:pPr>
        <w:widowControl w:val="0"/>
        <w:suppressAutoHyphens/>
        <w:autoSpaceDE w:val="0"/>
        <w:spacing w:after="0" w:line="240" w:lineRule="auto"/>
        <w:jc w:val="center"/>
        <w:rPr>
          <w:rFonts w:ascii="Times New Roman" w:eastAsia="Times New Roman" w:hAnsi="Times New Roman"/>
          <w:lang w:val="it-IT" w:eastAsia="ar-SA"/>
        </w:rPr>
      </w:pPr>
    </w:p>
    <w:p>
      <w:pPr>
        <w:pStyle w:val="TitleA"/>
      </w:pPr>
      <w:r>
        <w:t>A. ETICHETTATURA</w:t>
      </w:r>
    </w:p>
    <w:p>
      <w:pPr>
        <w:pageBreakBefore/>
        <w:widowControl w:val="0"/>
        <w:shd w:val="clear" w:color="auto" w:fill="FFFFFF"/>
        <w:suppressAutoHyphens/>
        <w:autoSpaceDE w:val="0"/>
        <w:spacing w:after="0" w:line="240" w:lineRule="auto"/>
        <w:rPr>
          <w:rFonts w:ascii="Times New Roman" w:eastAsia="Times New Roman" w:hAnsi="Times New Roman"/>
          <w:lang w:val="it-IT" w:eastAsia="ar-SA"/>
        </w:rPr>
      </w:pPr>
    </w:p>
    <w:tbl>
      <w:tblPr>
        <w:tblW w:w="0" w:type="auto"/>
        <w:tblInd w:w="-30" w:type="dxa"/>
        <w:tblLayout w:type="fixed"/>
        <w:tblLook w:val="0000" w:firstRow="0" w:lastRow="0" w:firstColumn="0" w:lastColumn="0" w:noHBand="0" w:noVBand="0"/>
      </w:tblPr>
      <w:tblGrid>
        <w:gridCol w:w="9358"/>
      </w:tblGrid>
      <w:tr>
        <w:trPr>
          <w:trHeight w:val="1040"/>
        </w:trPr>
        <w:tc>
          <w:tcPr>
            <w:tcW w:w="9358" w:type="dxa"/>
            <w:tcBorders>
              <w:top w:val="single" w:sz="4" w:space="0" w:color="000000"/>
              <w:left w:val="single" w:sz="4" w:space="0" w:color="000000"/>
              <w:bottom w:val="single" w:sz="4" w:space="0" w:color="000000"/>
              <w:right w:val="single" w:sz="4" w:space="0" w:color="000000"/>
            </w:tcBorders>
          </w:tcPr>
          <w:p>
            <w:pPr>
              <w:widowControl w:val="0"/>
              <w:shd w:val="clear" w:color="auto" w:fill="FFFFFF"/>
              <w:suppressAutoHyphens/>
              <w:autoSpaceDE w:val="0"/>
              <w:snapToGrid w:val="0"/>
              <w:spacing w:after="0" w:line="240" w:lineRule="auto"/>
              <w:rPr>
                <w:rFonts w:ascii="Times New Roman" w:eastAsia="Times New Roman" w:hAnsi="Times New Roman"/>
                <w:b/>
                <w:lang w:val="it-IT" w:eastAsia="ar-SA"/>
              </w:rPr>
            </w:pPr>
            <w:r>
              <w:rPr>
                <w:rFonts w:ascii="Times New Roman" w:eastAsia="Times New Roman" w:hAnsi="Times New Roman"/>
                <w:b/>
                <w:lang w:val="it-IT" w:eastAsia="ar-SA"/>
              </w:rPr>
              <w:t>INFORMAZIONI DA APPORRE SUL CONFEZIONAMENTO SECONDARIO</w:t>
            </w:r>
          </w:p>
          <w:p>
            <w:pPr>
              <w:widowControl w:val="0"/>
              <w:shd w:val="clear" w:color="auto" w:fill="FFFFFF"/>
              <w:suppressAutoHyphens/>
              <w:autoSpaceDE w:val="0"/>
              <w:spacing w:after="0" w:line="240" w:lineRule="auto"/>
              <w:rPr>
                <w:rFonts w:ascii="Times New Roman" w:eastAsia="Times New Roman" w:hAnsi="Times New Roman"/>
                <w:lang w:val="it-IT" w:eastAsia="ar-SA"/>
              </w:rPr>
            </w:pPr>
          </w:p>
          <w:p>
            <w:pPr>
              <w:widowControl w:val="0"/>
              <w:suppressAutoHyphens/>
              <w:autoSpaceDE w:val="0"/>
              <w:spacing w:after="0" w:line="240" w:lineRule="auto"/>
              <w:rPr>
                <w:rFonts w:ascii="Times New Roman" w:eastAsia="Times New Roman" w:hAnsi="Times New Roman"/>
                <w:b/>
                <w:lang w:val="it-IT" w:eastAsia="ar-SA"/>
              </w:rPr>
            </w:pPr>
            <w:r>
              <w:rPr>
                <w:rFonts w:ascii="Times New Roman" w:eastAsia="Times New Roman" w:hAnsi="Times New Roman"/>
                <w:b/>
                <w:lang w:val="it-IT" w:eastAsia="ar-SA"/>
              </w:rPr>
              <w:t>SCATOLA</w:t>
            </w:r>
          </w:p>
        </w:tc>
      </w:tr>
    </w:tbl>
    <w:p>
      <w:pPr>
        <w:widowControl w:val="0"/>
        <w:suppressAutoHyphens/>
        <w:autoSpaceDE w:val="0"/>
        <w:spacing w:after="0" w:line="240" w:lineRule="auto"/>
        <w:rPr>
          <w:rFonts w:ascii="Times New Roman" w:eastAsia="Times New Roman" w:hAnsi="Times New Roman"/>
          <w:lang w:val="it-IT" w:eastAsia="ar-SA"/>
        </w:rPr>
      </w:pPr>
    </w:p>
    <w:p>
      <w:pPr>
        <w:widowControl w:val="0"/>
        <w:suppressAutoHyphens/>
        <w:autoSpaceDE w:val="0"/>
        <w:spacing w:after="0" w:line="240" w:lineRule="auto"/>
        <w:rPr>
          <w:rFonts w:ascii="Times New Roman" w:eastAsia="Times New Roman" w:hAnsi="Times New Roman"/>
          <w:lang w:val="it-IT" w:eastAsia="ar-SA"/>
        </w:rPr>
      </w:pPr>
    </w:p>
    <w:tbl>
      <w:tblPr>
        <w:tblW w:w="0" w:type="auto"/>
        <w:tblInd w:w="-30" w:type="dxa"/>
        <w:tblLayout w:type="fixed"/>
        <w:tblLook w:val="0000" w:firstRow="0" w:lastRow="0" w:firstColumn="0" w:lastColumn="0" w:noHBand="0" w:noVBand="0"/>
      </w:tblPr>
      <w:tblGrid>
        <w:gridCol w:w="9358"/>
      </w:tblGrid>
      <w:tr>
        <w:tc>
          <w:tcPr>
            <w:tcW w:w="9358" w:type="dxa"/>
            <w:tcBorders>
              <w:top w:val="single" w:sz="4" w:space="0" w:color="000000"/>
              <w:left w:val="single" w:sz="4" w:space="0" w:color="000000"/>
              <w:bottom w:val="single" w:sz="4" w:space="0" w:color="000000"/>
              <w:right w:val="single" w:sz="4" w:space="0" w:color="000000"/>
            </w:tcBorders>
          </w:tcPr>
          <w:p>
            <w:pPr>
              <w:widowControl w:val="0"/>
              <w:suppressAutoHyphens/>
              <w:autoSpaceDE w:val="0"/>
              <w:snapToGrid w:val="0"/>
              <w:spacing w:after="0" w:line="240" w:lineRule="auto"/>
              <w:rPr>
                <w:rFonts w:ascii="Times New Roman" w:eastAsia="Times New Roman" w:hAnsi="Times New Roman"/>
                <w:b/>
                <w:lang w:val="it-IT" w:eastAsia="ar-SA"/>
              </w:rPr>
            </w:pPr>
            <w:r>
              <w:rPr>
                <w:rFonts w:ascii="Times New Roman" w:eastAsia="Times New Roman" w:hAnsi="Times New Roman"/>
                <w:b/>
                <w:lang w:val="it-IT" w:eastAsia="ar-SA"/>
              </w:rPr>
              <w:t>1.</w:t>
            </w:r>
            <w:r>
              <w:rPr>
                <w:rFonts w:ascii="Times New Roman" w:eastAsia="Times New Roman" w:hAnsi="Times New Roman"/>
                <w:b/>
                <w:lang w:val="it-IT" w:eastAsia="ar-SA"/>
              </w:rPr>
              <w:tab/>
              <w:t>DENOMINAZIONE DEL MEDICINALE</w:t>
            </w:r>
          </w:p>
        </w:tc>
      </w:tr>
    </w:tbl>
    <w:p>
      <w:pPr>
        <w:widowControl w:val="0"/>
        <w:suppressAutoHyphens/>
        <w:autoSpaceDE w:val="0"/>
        <w:spacing w:after="0" w:line="240" w:lineRule="auto"/>
        <w:rPr>
          <w:rFonts w:ascii="Times New Roman" w:eastAsia="Times New Roman" w:hAnsi="Times New Roman"/>
          <w:lang w:val="it-IT" w:eastAsia="ar-SA"/>
        </w:rPr>
      </w:pPr>
    </w:p>
    <w:p>
      <w:pPr>
        <w:widowControl w:val="0"/>
        <w:suppressAutoHyphens/>
        <w:autoSpaceDE w:val="0"/>
        <w:spacing w:after="0" w:line="240" w:lineRule="auto"/>
        <w:rPr>
          <w:rFonts w:ascii="Times New Roman" w:eastAsia="Times New Roman" w:hAnsi="Times New Roman"/>
          <w:lang w:val="it-IT" w:eastAsia="ar-SA"/>
        </w:rPr>
      </w:pPr>
      <w:r>
        <w:rPr>
          <w:rFonts w:ascii="Times New Roman" w:eastAsia="Times New Roman" w:hAnsi="Times New Roman"/>
          <w:lang w:val="it-IT" w:eastAsia="ar-SA"/>
        </w:rPr>
        <w:t>Clopidogrel Krka 75 mg compresse rivestite con film</w:t>
      </w:r>
    </w:p>
    <w:p>
      <w:pPr>
        <w:widowControl w:val="0"/>
        <w:suppressAutoHyphens/>
        <w:autoSpaceDE w:val="0"/>
        <w:spacing w:after="0" w:line="240" w:lineRule="auto"/>
        <w:rPr>
          <w:rFonts w:ascii="Times New Roman" w:eastAsia="Times New Roman" w:hAnsi="Times New Roman"/>
          <w:lang w:val="it-IT" w:eastAsia="ar-SA"/>
        </w:rPr>
      </w:pPr>
    </w:p>
    <w:p>
      <w:pPr>
        <w:widowControl w:val="0"/>
        <w:suppressAutoHyphens/>
        <w:autoSpaceDE w:val="0"/>
        <w:spacing w:after="0" w:line="240" w:lineRule="auto"/>
        <w:rPr>
          <w:rFonts w:ascii="Times New Roman" w:eastAsia="Times New Roman" w:hAnsi="Times New Roman"/>
          <w:lang w:val="it-IT" w:eastAsia="ar-SA"/>
        </w:rPr>
      </w:pPr>
      <w:r>
        <w:rPr>
          <w:rFonts w:ascii="Times New Roman" w:eastAsia="Times New Roman" w:hAnsi="Times New Roman"/>
          <w:lang w:val="it-IT" w:eastAsia="ar-SA"/>
        </w:rPr>
        <w:t>clopidogrel</w:t>
      </w:r>
    </w:p>
    <w:p>
      <w:pPr>
        <w:widowControl w:val="0"/>
        <w:suppressAutoHyphens/>
        <w:autoSpaceDE w:val="0"/>
        <w:spacing w:after="0" w:line="240" w:lineRule="auto"/>
        <w:rPr>
          <w:rFonts w:ascii="Times New Roman" w:eastAsia="Times New Roman" w:hAnsi="Times New Roman"/>
          <w:lang w:val="it-IT" w:eastAsia="ar-SA"/>
        </w:rPr>
      </w:pPr>
    </w:p>
    <w:p>
      <w:pPr>
        <w:widowControl w:val="0"/>
        <w:suppressAutoHyphens/>
        <w:autoSpaceDE w:val="0"/>
        <w:spacing w:after="0" w:line="240" w:lineRule="auto"/>
        <w:rPr>
          <w:rFonts w:ascii="Times New Roman" w:eastAsia="Times New Roman" w:hAnsi="Times New Roman"/>
          <w:lang w:val="it-IT" w:eastAsia="ar-SA"/>
        </w:rPr>
      </w:pPr>
    </w:p>
    <w:tbl>
      <w:tblPr>
        <w:tblW w:w="0" w:type="auto"/>
        <w:tblInd w:w="-30" w:type="dxa"/>
        <w:tblLayout w:type="fixed"/>
        <w:tblLook w:val="0000" w:firstRow="0" w:lastRow="0" w:firstColumn="0" w:lastColumn="0" w:noHBand="0" w:noVBand="0"/>
      </w:tblPr>
      <w:tblGrid>
        <w:gridCol w:w="9358"/>
      </w:tblGrid>
      <w:tr>
        <w:tc>
          <w:tcPr>
            <w:tcW w:w="9358" w:type="dxa"/>
            <w:tcBorders>
              <w:top w:val="single" w:sz="4" w:space="0" w:color="000000"/>
              <w:left w:val="single" w:sz="4" w:space="0" w:color="000000"/>
              <w:bottom w:val="single" w:sz="4" w:space="0" w:color="000000"/>
              <w:right w:val="single" w:sz="4" w:space="0" w:color="000000"/>
            </w:tcBorders>
          </w:tcPr>
          <w:p>
            <w:pPr>
              <w:widowControl w:val="0"/>
              <w:suppressAutoHyphens/>
              <w:autoSpaceDE w:val="0"/>
              <w:snapToGrid w:val="0"/>
              <w:spacing w:after="0" w:line="240" w:lineRule="auto"/>
              <w:ind w:left="587" w:hanging="587"/>
              <w:rPr>
                <w:rFonts w:ascii="Times New Roman" w:eastAsia="Times New Roman" w:hAnsi="Times New Roman"/>
                <w:b/>
                <w:lang w:val="it-IT" w:eastAsia="ar-SA"/>
              </w:rPr>
            </w:pPr>
            <w:r>
              <w:rPr>
                <w:rFonts w:ascii="Times New Roman" w:eastAsia="Times New Roman" w:hAnsi="Times New Roman"/>
                <w:b/>
                <w:lang w:val="it-IT" w:eastAsia="ar-SA"/>
              </w:rPr>
              <w:t>2.</w:t>
            </w:r>
            <w:r>
              <w:rPr>
                <w:rFonts w:ascii="Times New Roman" w:eastAsia="Times New Roman" w:hAnsi="Times New Roman"/>
                <w:b/>
                <w:lang w:val="it-IT" w:eastAsia="ar-SA"/>
              </w:rPr>
              <w:tab/>
              <w:t>COMPOSIZIONE QUALITATIVA E QUANTITATIVA IN TERMINI DI PRINCIPIO(I) ATTIVO(I)</w:t>
            </w:r>
          </w:p>
        </w:tc>
      </w:tr>
    </w:tbl>
    <w:p>
      <w:pPr>
        <w:widowControl w:val="0"/>
        <w:suppressAutoHyphens/>
        <w:autoSpaceDE w:val="0"/>
        <w:spacing w:after="0" w:line="240" w:lineRule="auto"/>
        <w:rPr>
          <w:rFonts w:ascii="Times New Roman" w:eastAsia="Times New Roman" w:hAnsi="Times New Roman"/>
          <w:lang w:val="it-IT" w:eastAsia="ar-SA"/>
        </w:rPr>
      </w:pPr>
    </w:p>
    <w:p>
      <w:pPr>
        <w:widowControl w:val="0"/>
        <w:shd w:val="clear" w:color="auto" w:fill="FFFFFF"/>
        <w:suppressAutoHyphens/>
        <w:autoSpaceDE w:val="0"/>
        <w:spacing w:after="0" w:line="240" w:lineRule="auto"/>
        <w:ind w:left="5"/>
        <w:rPr>
          <w:rFonts w:ascii="Times New Roman" w:eastAsia="Times New Roman" w:hAnsi="Times New Roman"/>
          <w:color w:val="000000"/>
          <w:spacing w:val="-1"/>
          <w:lang w:val="it-IT" w:eastAsia="ar-SA"/>
        </w:rPr>
      </w:pPr>
      <w:r>
        <w:rPr>
          <w:rFonts w:ascii="Times New Roman" w:eastAsia="Times New Roman" w:hAnsi="Times New Roman"/>
          <w:color w:val="000000"/>
          <w:spacing w:val="-1"/>
          <w:lang w:val="it-IT" w:eastAsia="ar-SA"/>
        </w:rPr>
        <w:t>Ogni compressa rivestita con film contiene 75 mg di clopidogrel (come cloridrato).</w:t>
      </w:r>
    </w:p>
    <w:p>
      <w:pPr>
        <w:widowControl w:val="0"/>
        <w:shd w:val="clear" w:color="auto" w:fill="FFFFFF"/>
        <w:suppressAutoHyphens/>
        <w:autoSpaceDE w:val="0"/>
        <w:spacing w:after="0" w:line="240" w:lineRule="auto"/>
        <w:ind w:left="5"/>
        <w:rPr>
          <w:rFonts w:ascii="Times New Roman" w:eastAsia="Times New Roman" w:hAnsi="Times New Roman"/>
          <w:color w:val="000000"/>
          <w:spacing w:val="-1"/>
          <w:lang w:val="it-IT" w:eastAsia="ar-SA"/>
        </w:rPr>
      </w:pPr>
    </w:p>
    <w:p>
      <w:pPr>
        <w:widowControl w:val="0"/>
        <w:suppressAutoHyphens/>
        <w:autoSpaceDE w:val="0"/>
        <w:spacing w:after="0" w:line="240" w:lineRule="auto"/>
        <w:rPr>
          <w:rFonts w:ascii="Times New Roman" w:eastAsia="Times New Roman" w:hAnsi="Times New Roman"/>
          <w:lang w:val="it-IT" w:eastAsia="ar-SA"/>
        </w:rPr>
      </w:pPr>
    </w:p>
    <w:tbl>
      <w:tblPr>
        <w:tblW w:w="0" w:type="auto"/>
        <w:tblInd w:w="-30" w:type="dxa"/>
        <w:tblLayout w:type="fixed"/>
        <w:tblLook w:val="0000" w:firstRow="0" w:lastRow="0" w:firstColumn="0" w:lastColumn="0" w:noHBand="0" w:noVBand="0"/>
      </w:tblPr>
      <w:tblGrid>
        <w:gridCol w:w="9358"/>
      </w:tblGrid>
      <w:tr>
        <w:tc>
          <w:tcPr>
            <w:tcW w:w="9358" w:type="dxa"/>
            <w:tcBorders>
              <w:top w:val="single" w:sz="4" w:space="0" w:color="000000"/>
              <w:left w:val="single" w:sz="4" w:space="0" w:color="000000"/>
              <w:bottom w:val="single" w:sz="4" w:space="0" w:color="000000"/>
              <w:right w:val="single" w:sz="4" w:space="0" w:color="000000"/>
            </w:tcBorders>
          </w:tcPr>
          <w:p>
            <w:pPr>
              <w:widowControl w:val="0"/>
              <w:suppressAutoHyphens/>
              <w:autoSpaceDE w:val="0"/>
              <w:snapToGrid w:val="0"/>
              <w:spacing w:after="0" w:line="240" w:lineRule="auto"/>
              <w:rPr>
                <w:rFonts w:ascii="Times New Roman" w:eastAsia="Times New Roman" w:hAnsi="Times New Roman"/>
                <w:b/>
                <w:lang w:val="it-IT" w:eastAsia="ar-SA"/>
              </w:rPr>
            </w:pPr>
            <w:r>
              <w:rPr>
                <w:rFonts w:ascii="Times New Roman" w:eastAsia="Times New Roman" w:hAnsi="Times New Roman"/>
                <w:b/>
                <w:lang w:val="it-IT" w:eastAsia="ar-SA"/>
              </w:rPr>
              <w:t>3.</w:t>
            </w:r>
            <w:r>
              <w:rPr>
                <w:rFonts w:ascii="Times New Roman" w:eastAsia="Times New Roman" w:hAnsi="Times New Roman"/>
                <w:b/>
                <w:lang w:val="it-IT" w:eastAsia="ar-SA"/>
              </w:rPr>
              <w:tab/>
              <w:t>ELENCO DEGLI ECCIPIENTI</w:t>
            </w:r>
          </w:p>
        </w:tc>
      </w:tr>
    </w:tbl>
    <w:p>
      <w:pPr>
        <w:widowControl w:val="0"/>
        <w:suppressAutoHyphens/>
        <w:autoSpaceDE w:val="0"/>
        <w:spacing w:after="0" w:line="240" w:lineRule="auto"/>
        <w:rPr>
          <w:rFonts w:ascii="Times New Roman" w:eastAsia="Times New Roman" w:hAnsi="Times New Roman"/>
          <w:lang w:val="it-IT" w:eastAsia="ar-SA"/>
        </w:rPr>
      </w:pPr>
    </w:p>
    <w:p>
      <w:pPr>
        <w:widowControl w:val="0"/>
        <w:suppressAutoHyphens/>
        <w:autoSpaceDE w:val="0"/>
        <w:spacing w:after="0" w:line="240" w:lineRule="auto"/>
        <w:rPr>
          <w:rFonts w:ascii="Times New Roman" w:eastAsia="Times New Roman" w:hAnsi="Times New Roman"/>
          <w:lang w:val="it-IT" w:eastAsia="ar-SA"/>
        </w:rPr>
      </w:pPr>
    </w:p>
    <w:p>
      <w:pPr>
        <w:widowControl w:val="0"/>
        <w:suppressAutoHyphens/>
        <w:autoSpaceDE w:val="0"/>
        <w:spacing w:after="0" w:line="240" w:lineRule="auto"/>
        <w:rPr>
          <w:rFonts w:ascii="Times New Roman" w:eastAsia="Times New Roman" w:hAnsi="Times New Roman"/>
          <w:lang w:val="it-IT" w:eastAsia="ar-SA"/>
        </w:rPr>
      </w:pPr>
    </w:p>
    <w:tbl>
      <w:tblPr>
        <w:tblW w:w="0" w:type="auto"/>
        <w:tblInd w:w="-30" w:type="dxa"/>
        <w:tblLayout w:type="fixed"/>
        <w:tblLook w:val="0000" w:firstRow="0" w:lastRow="0" w:firstColumn="0" w:lastColumn="0" w:noHBand="0" w:noVBand="0"/>
      </w:tblPr>
      <w:tblGrid>
        <w:gridCol w:w="9358"/>
      </w:tblGrid>
      <w:tr>
        <w:tc>
          <w:tcPr>
            <w:tcW w:w="9358" w:type="dxa"/>
            <w:tcBorders>
              <w:top w:val="single" w:sz="4" w:space="0" w:color="000000"/>
              <w:left w:val="single" w:sz="4" w:space="0" w:color="000000"/>
              <w:bottom w:val="single" w:sz="4" w:space="0" w:color="000000"/>
              <w:right w:val="single" w:sz="4" w:space="0" w:color="000000"/>
            </w:tcBorders>
          </w:tcPr>
          <w:p>
            <w:pPr>
              <w:widowControl w:val="0"/>
              <w:suppressAutoHyphens/>
              <w:autoSpaceDE w:val="0"/>
              <w:snapToGrid w:val="0"/>
              <w:spacing w:after="0" w:line="240" w:lineRule="auto"/>
              <w:rPr>
                <w:rFonts w:ascii="Times New Roman" w:eastAsia="Times New Roman" w:hAnsi="Times New Roman"/>
                <w:b/>
                <w:lang w:val="it-IT" w:eastAsia="ar-SA"/>
              </w:rPr>
            </w:pPr>
            <w:r>
              <w:rPr>
                <w:rFonts w:ascii="Times New Roman" w:eastAsia="Times New Roman" w:hAnsi="Times New Roman"/>
                <w:b/>
                <w:lang w:val="it-IT" w:eastAsia="ar-SA"/>
              </w:rPr>
              <w:t>4.</w:t>
            </w:r>
            <w:r>
              <w:rPr>
                <w:rFonts w:ascii="Times New Roman" w:eastAsia="Times New Roman" w:hAnsi="Times New Roman"/>
                <w:b/>
                <w:lang w:val="it-IT" w:eastAsia="ar-SA"/>
              </w:rPr>
              <w:tab/>
              <w:t>FORMA FARMACEUTICA E CONTENUTO</w:t>
            </w:r>
          </w:p>
        </w:tc>
      </w:tr>
    </w:tbl>
    <w:p>
      <w:pPr>
        <w:widowControl w:val="0"/>
        <w:suppressAutoHyphens/>
        <w:autoSpaceDE w:val="0"/>
        <w:spacing w:after="0" w:line="240" w:lineRule="auto"/>
        <w:rPr>
          <w:rFonts w:ascii="Times New Roman" w:eastAsia="Times New Roman" w:hAnsi="Times New Roman"/>
          <w:lang w:val="it-IT" w:eastAsia="ar-SA"/>
        </w:rPr>
      </w:pPr>
    </w:p>
    <w:p>
      <w:pPr>
        <w:widowControl w:val="0"/>
        <w:suppressAutoHyphens/>
        <w:autoSpaceDE w:val="0"/>
        <w:spacing w:after="0" w:line="240" w:lineRule="auto"/>
        <w:rPr>
          <w:rFonts w:ascii="Times New Roman" w:eastAsia="Times New Roman" w:hAnsi="Times New Roman"/>
          <w:highlight w:val="lightGray"/>
          <w:lang w:val="it-IT" w:eastAsia="ar-SA"/>
        </w:rPr>
      </w:pPr>
      <w:r>
        <w:rPr>
          <w:rFonts w:ascii="Times New Roman" w:eastAsia="Times New Roman" w:hAnsi="Times New Roman"/>
          <w:highlight w:val="lightGray"/>
          <w:lang w:val="it-IT" w:eastAsia="ar-SA"/>
        </w:rPr>
        <w:t>compressa rivestita con film</w:t>
      </w:r>
    </w:p>
    <w:p>
      <w:pPr>
        <w:widowControl w:val="0"/>
        <w:suppressAutoHyphens/>
        <w:autoSpaceDE w:val="0"/>
        <w:spacing w:after="0" w:line="240" w:lineRule="auto"/>
        <w:rPr>
          <w:rFonts w:ascii="Times New Roman" w:eastAsia="Times New Roman" w:hAnsi="Times New Roman"/>
          <w:lang w:val="it-IT" w:eastAsia="ar-SA"/>
        </w:rPr>
      </w:pPr>
    </w:p>
    <w:p>
      <w:pPr>
        <w:widowControl w:val="0"/>
        <w:suppressAutoHyphens/>
        <w:autoSpaceDE w:val="0"/>
        <w:spacing w:after="0" w:line="240" w:lineRule="auto"/>
        <w:rPr>
          <w:rFonts w:ascii="Times New Roman" w:eastAsia="Times New Roman" w:hAnsi="Times New Roman"/>
          <w:lang w:val="it-IT" w:eastAsia="ar-SA"/>
        </w:rPr>
      </w:pPr>
      <w:r>
        <w:rPr>
          <w:rFonts w:ascii="Times New Roman" w:eastAsia="Times New Roman" w:hAnsi="Times New Roman"/>
          <w:lang w:val="it-IT" w:eastAsia="ar-SA"/>
        </w:rPr>
        <w:t>7 compresse rivestite con film</w:t>
      </w:r>
    </w:p>
    <w:p>
      <w:pPr>
        <w:widowControl w:val="0"/>
        <w:suppressAutoHyphens/>
        <w:autoSpaceDE w:val="0"/>
        <w:spacing w:after="0" w:line="240" w:lineRule="auto"/>
        <w:rPr>
          <w:rFonts w:ascii="Times New Roman" w:eastAsia="Times New Roman" w:hAnsi="Times New Roman"/>
          <w:highlight w:val="lightGray"/>
          <w:shd w:val="clear" w:color="auto" w:fill="CCCCCC"/>
          <w:lang w:val="it-IT" w:eastAsia="ar-SA"/>
        </w:rPr>
      </w:pPr>
      <w:r>
        <w:rPr>
          <w:rFonts w:ascii="Times New Roman" w:eastAsia="Times New Roman" w:hAnsi="Times New Roman"/>
          <w:highlight w:val="lightGray"/>
          <w:lang w:val="it-IT" w:eastAsia="ar-SA"/>
        </w:rPr>
        <w:t>14 compresse rivestite con film</w:t>
      </w:r>
    </w:p>
    <w:p>
      <w:pPr>
        <w:widowControl w:val="0"/>
        <w:suppressAutoHyphens/>
        <w:autoSpaceDE w:val="0"/>
        <w:spacing w:after="0" w:line="240" w:lineRule="auto"/>
        <w:rPr>
          <w:rFonts w:ascii="Times New Roman" w:eastAsia="Times New Roman" w:hAnsi="Times New Roman"/>
          <w:highlight w:val="lightGray"/>
          <w:shd w:val="clear" w:color="auto" w:fill="CCCCCC"/>
          <w:lang w:val="it-IT" w:eastAsia="ar-SA"/>
        </w:rPr>
      </w:pPr>
      <w:r>
        <w:rPr>
          <w:rFonts w:ascii="Times New Roman" w:eastAsia="Times New Roman" w:hAnsi="Times New Roman"/>
          <w:highlight w:val="lightGray"/>
          <w:lang w:val="it-IT" w:eastAsia="ar-SA"/>
        </w:rPr>
        <w:t>28 compresse rivestite con film</w:t>
      </w:r>
    </w:p>
    <w:p>
      <w:pPr>
        <w:widowControl w:val="0"/>
        <w:suppressAutoHyphens/>
        <w:autoSpaceDE w:val="0"/>
        <w:spacing w:after="0" w:line="240" w:lineRule="auto"/>
        <w:rPr>
          <w:rFonts w:ascii="Times New Roman" w:eastAsia="Times New Roman" w:hAnsi="Times New Roman"/>
          <w:highlight w:val="lightGray"/>
          <w:shd w:val="clear" w:color="auto" w:fill="CCCCCC"/>
          <w:lang w:val="it-IT" w:eastAsia="ar-SA"/>
        </w:rPr>
      </w:pPr>
      <w:r>
        <w:rPr>
          <w:rFonts w:ascii="Times New Roman" w:eastAsia="Times New Roman" w:hAnsi="Times New Roman"/>
          <w:highlight w:val="lightGray"/>
          <w:lang w:val="it-IT" w:eastAsia="ar-SA"/>
        </w:rPr>
        <w:t>30 compresse rivestite con film</w:t>
      </w:r>
    </w:p>
    <w:p>
      <w:pPr>
        <w:widowControl w:val="0"/>
        <w:suppressAutoHyphens/>
        <w:autoSpaceDE w:val="0"/>
        <w:spacing w:after="0" w:line="240" w:lineRule="auto"/>
        <w:rPr>
          <w:rFonts w:ascii="Times New Roman" w:eastAsia="Times New Roman" w:hAnsi="Times New Roman"/>
          <w:highlight w:val="lightGray"/>
          <w:shd w:val="clear" w:color="auto" w:fill="CCCCCC"/>
          <w:lang w:val="it-IT" w:eastAsia="ar-SA"/>
        </w:rPr>
      </w:pPr>
      <w:r>
        <w:rPr>
          <w:rFonts w:ascii="Times New Roman" w:eastAsia="Times New Roman" w:hAnsi="Times New Roman"/>
          <w:highlight w:val="lightGray"/>
          <w:lang w:val="it-IT" w:eastAsia="ar-SA"/>
        </w:rPr>
        <w:t>50 compresse rivestite con film</w:t>
      </w:r>
    </w:p>
    <w:p>
      <w:pPr>
        <w:widowControl w:val="0"/>
        <w:suppressAutoHyphens/>
        <w:autoSpaceDE w:val="0"/>
        <w:spacing w:after="0" w:line="240" w:lineRule="auto"/>
        <w:rPr>
          <w:rFonts w:ascii="Times New Roman" w:eastAsia="Times New Roman" w:hAnsi="Times New Roman"/>
          <w:highlight w:val="lightGray"/>
          <w:shd w:val="clear" w:color="auto" w:fill="CCCCCC"/>
          <w:lang w:val="it-IT" w:eastAsia="ar-SA"/>
        </w:rPr>
      </w:pPr>
      <w:r>
        <w:rPr>
          <w:rFonts w:ascii="Times New Roman" w:eastAsia="Times New Roman" w:hAnsi="Times New Roman"/>
          <w:highlight w:val="lightGray"/>
          <w:lang w:val="it-IT" w:eastAsia="ar-SA"/>
        </w:rPr>
        <w:t>56 compresse rivestite con film</w:t>
      </w:r>
    </w:p>
    <w:p>
      <w:pPr>
        <w:widowControl w:val="0"/>
        <w:suppressAutoHyphens/>
        <w:autoSpaceDE w:val="0"/>
        <w:spacing w:after="0" w:line="240" w:lineRule="auto"/>
        <w:rPr>
          <w:rFonts w:ascii="Times New Roman" w:eastAsia="Times New Roman" w:hAnsi="Times New Roman"/>
          <w:highlight w:val="lightGray"/>
          <w:shd w:val="clear" w:color="auto" w:fill="CCCCCC"/>
          <w:lang w:val="it-IT" w:eastAsia="ar-SA"/>
        </w:rPr>
      </w:pPr>
      <w:r>
        <w:rPr>
          <w:rFonts w:ascii="Times New Roman" w:eastAsia="Times New Roman" w:hAnsi="Times New Roman"/>
          <w:highlight w:val="lightGray"/>
          <w:lang w:val="it-IT" w:eastAsia="ar-SA"/>
        </w:rPr>
        <w:t>60 compresse rivestite con film</w:t>
      </w:r>
    </w:p>
    <w:p>
      <w:pPr>
        <w:widowControl w:val="0"/>
        <w:suppressAutoHyphens/>
        <w:autoSpaceDE w:val="0"/>
        <w:spacing w:after="0" w:line="240" w:lineRule="auto"/>
        <w:rPr>
          <w:rFonts w:ascii="Times New Roman" w:eastAsia="Times New Roman" w:hAnsi="Times New Roman"/>
          <w:highlight w:val="lightGray"/>
          <w:shd w:val="clear" w:color="auto" w:fill="CCCCCC"/>
          <w:lang w:val="it-IT" w:eastAsia="ar-SA"/>
        </w:rPr>
      </w:pPr>
      <w:r>
        <w:rPr>
          <w:rFonts w:ascii="Times New Roman" w:eastAsia="Times New Roman" w:hAnsi="Times New Roman"/>
          <w:highlight w:val="lightGray"/>
          <w:lang w:val="it-IT" w:eastAsia="ar-SA"/>
        </w:rPr>
        <w:t>84 compresse rivestite con film</w:t>
      </w:r>
    </w:p>
    <w:p>
      <w:pPr>
        <w:widowControl w:val="0"/>
        <w:suppressAutoHyphens/>
        <w:autoSpaceDE w:val="0"/>
        <w:spacing w:after="0" w:line="240" w:lineRule="auto"/>
        <w:rPr>
          <w:rFonts w:ascii="Times New Roman" w:eastAsia="Times New Roman" w:hAnsi="Times New Roman"/>
          <w:highlight w:val="lightGray"/>
          <w:shd w:val="clear" w:color="auto" w:fill="CCCCCC"/>
          <w:lang w:val="it-IT" w:eastAsia="ar-SA"/>
        </w:rPr>
      </w:pPr>
      <w:r>
        <w:rPr>
          <w:rFonts w:ascii="Times New Roman" w:eastAsia="Times New Roman" w:hAnsi="Times New Roman"/>
          <w:highlight w:val="lightGray"/>
          <w:lang w:val="it-IT" w:eastAsia="ar-SA"/>
        </w:rPr>
        <w:t>90 compresse rivestite con film</w:t>
      </w:r>
    </w:p>
    <w:p>
      <w:pPr>
        <w:widowControl w:val="0"/>
        <w:suppressAutoHyphens/>
        <w:autoSpaceDE w:val="0"/>
        <w:spacing w:after="0" w:line="240" w:lineRule="auto"/>
        <w:rPr>
          <w:rFonts w:ascii="Times New Roman" w:eastAsia="Times New Roman" w:hAnsi="Times New Roman"/>
          <w:highlight w:val="lightGray"/>
          <w:shd w:val="clear" w:color="auto" w:fill="CCCCCC"/>
          <w:lang w:val="it-IT" w:eastAsia="ar-SA"/>
        </w:rPr>
      </w:pPr>
      <w:r>
        <w:rPr>
          <w:rFonts w:ascii="Times New Roman" w:eastAsia="Times New Roman" w:hAnsi="Times New Roman"/>
          <w:highlight w:val="lightGray"/>
          <w:lang w:val="it-IT" w:eastAsia="ar-SA"/>
        </w:rPr>
        <w:t>100 compresse rivestite con film</w:t>
      </w:r>
    </w:p>
    <w:p>
      <w:pPr>
        <w:widowControl w:val="0"/>
        <w:suppressAutoHyphens/>
        <w:autoSpaceDE w:val="0"/>
        <w:spacing w:after="0" w:line="240" w:lineRule="auto"/>
        <w:rPr>
          <w:rFonts w:ascii="Times New Roman" w:eastAsia="Times New Roman" w:hAnsi="Times New Roman"/>
          <w:lang w:val="it-IT" w:eastAsia="ar-SA"/>
        </w:rPr>
      </w:pPr>
      <w:r>
        <w:rPr>
          <w:rFonts w:ascii="Times New Roman" w:eastAsia="Times New Roman" w:hAnsi="Times New Roman"/>
          <w:highlight w:val="lightGray"/>
          <w:lang w:val="it-IT" w:eastAsia="ar-SA"/>
        </w:rPr>
        <w:t>112 compresse rivestite con film</w:t>
      </w:r>
    </w:p>
    <w:p>
      <w:pPr>
        <w:widowControl w:val="0"/>
        <w:suppressAutoHyphens/>
        <w:autoSpaceDE w:val="0"/>
        <w:spacing w:after="0" w:line="240" w:lineRule="auto"/>
        <w:rPr>
          <w:rFonts w:ascii="Times New Roman" w:eastAsia="Times New Roman" w:hAnsi="Times New Roman"/>
          <w:lang w:val="it-IT" w:eastAsia="ar-SA"/>
        </w:rPr>
      </w:pPr>
      <w:r>
        <w:rPr>
          <w:rFonts w:ascii="Times New Roman" w:eastAsia="Times New Roman" w:hAnsi="Times New Roman"/>
          <w:highlight w:val="lightGray"/>
          <w:lang w:val="it-IT" w:eastAsia="ar-SA"/>
        </w:rPr>
        <w:t>120 compresse rivestite con film</w:t>
      </w:r>
    </w:p>
    <w:p>
      <w:pPr>
        <w:widowControl w:val="0"/>
        <w:suppressAutoHyphens/>
        <w:autoSpaceDE w:val="0"/>
        <w:spacing w:after="0" w:line="240" w:lineRule="auto"/>
        <w:rPr>
          <w:rFonts w:ascii="Times New Roman" w:eastAsia="Times New Roman" w:hAnsi="Times New Roman"/>
          <w:lang w:val="it-IT" w:eastAsia="ar-SA"/>
        </w:rPr>
      </w:pPr>
    </w:p>
    <w:p>
      <w:pPr>
        <w:widowControl w:val="0"/>
        <w:suppressAutoHyphens/>
        <w:autoSpaceDE w:val="0"/>
        <w:spacing w:after="0" w:line="240" w:lineRule="auto"/>
        <w:rPr>
          <w:rFonts w:ascii="Times New Roman" w:eastAsia="Times New Roman" w:hAnsi="Times New Roman"/>
          <w:lang w:val="it-IT" w:eastAsia="ar-SA"/>
        </w:rPr>
      </w:pPr>
    </w:p>
    <w:tbl>
      <w:tblPr>
        <w:tblW w:w="0" w:type="auto"/>
        <w:tblInd w:w="-30" w:type="dxa"/>
        <w:tblLayout w:type="fixed"/>
        <w:tblLook w:val="0000" w:firstRow="0" w:lastRow="0" w:firstColumn="0" w:lastColumn="0" w:noHBand="0" w:noVBand="0"/>
      </w:tblPr>
      <w:tblGrid>
        <w:gridCol w:w="9358"/>
      </w:tblGrid>
      <w:tr>
        <w:tc>
          <w:tcPr>
            <w:tcW w:w="9358" w:type="dxa"/>
            <w:tcBorders>
              <w:top w:val="single" w:sz="4" w:space="0" w:color="000000"/>
              <w:left w:val="single" w:sz="4" w:space="0" w:color="000000"/>
              <w:bottom w:val="single" w:sz="4" w:space="0" w:color="000000"/>
              <w:right w:val="single" w:sz="4" w:space="0" w:color="000000"/>
            </w:tcBorders>
          </w:tcPr>
          <w:p>
            <w:pPr>
              <w:widowControl w:val="0"/>
              <w:suppressAutoHyphens/>
              <w:autoSpaceDE w:val="0"/>
              <w:snapToGrid w:val="0"/>
              <w:spacing w:after="0" w:line="240" w:lineRule="auto"/>
              <w:rPr>
                <w:rFonts w:ascii="Times New Roman" w:eastAsia="Times New Roman" w:hAnsi="Times New Roman"/>
                <w:b/>
                <w:lang w:val="it-IT" w:eastAsia="ar-SA"/>
              </w:rPr>
            </w:pPr>
            <w:r>
              <w:rPr>
                <w:rFonts w:ascii="Times New Roman" w:eastAsia="Times New Roman" w:hAnsi="Times New Roman"/>
                <w:b/>
                <w:lang w:val="it-IT" w:eastAsia="ar-SA"/>
              </w:rPr>
              <w:t>5.</w:t>
            </w:r>
            <w:r>
              <w:rPr>
                <w:rFonts w:ascii="Times New Roman" w:eastAsia="Times New Roman" w:hAnsi="Times New Roman"/>
                <w:b/>
                <w:lang w:val="it-IT" w:eastAsia="ar-SA"/>
              </w:rPr>
              <w:tab/>
              <w:t>MODO E VIA(E) DI SOMMINISTRAZIONE</w:t>
            </w:r>
          </w:p>
        </w:tc>
      </w:tr>
    </w:tbl>
    <w:p>
      <w:pPr>
        <w:widowControl w:val="0"/>
        <w:suppressAutoHyphens/>
        <w:autoSpaceDE w:val="0"/>
        <w:spacing w:after="0" w:line="240" w:lineRule="auto"/>
        <w:rPr>
          <w:rFonts w:ascii="Times New Roman" w:eastAsia="Times New Roman" w:hAnsi="Times New Roman"/>
          <w:lang w:val="it-IT" w:eastAsia="ar-SA"/>
        </w:rPr>
      </w:pPr>
    </w:p>
    <w:p>
      <w:pPr>
        <w:widowControl w:val="0"/>
        <w:suppressAutoHyphens/>
        <w:autoSpaceDE w:val="0"/>
        <w:spacing w:after="0" w:line="240" w:lineRule="auto"/>
        <w:rPr>
          <w:rFonts w:ascii="Times New Roman" w:eastAsia="Times New Roman" w:hAnsi="Times New Roman"/>
          <w:lang w:val="it-IT" w:eastAsia="ar-SA"/>
        </w:rPr>
      </w:pPr>
      <w:r>
        <w:rPr>
          <w:rFonts w:ascii="Times New Roman" w:eastAsia="Times New Roman" w:hAnsi="Times New Roman"/>
          <w:lang w:val="it-IT" w:eastAsia="ar-SA"/>
        </w:rPr>
        <w:t>Leggere il foglio illustrativo prima dell’uso.</w:t>
      </w:r>
    </w:p>
    <w:p>
      <w:pPr>
        <w:widowControl w:val="0"/>
        <w:suppressAutoHyphens/>
        <w:autoSpaceDE w:val="0"/>
        <w:spacing w:after="0" w:line="240" w:lineRule="auto"/>
        <w:rPr>
          <w:rFonts w:ascii="Times New Roman" w:eastAsia="Times New Roman" w:hAnsi="Times New Roman"/>
          <w:lang w:val="it-IT" w:eastAsia="ar-SA"/>
        </w:rPr>
      </w:pPr>
      <w:r>
        <w:rPr>
          <w:rFonts w:ascii="Times New Roman" w:eastAsia="Times New Roman" w:hAnsi="Times New Roman"/>
          <w:lang w:val="it-IT" w:eastAsia="ar-SA"/>
        </w:rPr>
        <w:t>Uso orale</w:t>
      </w:r>
    </w:p>
    <w:p>
      <w:pPr>
        <w:widowControl w:val="0"/>
        <w:suppressAutoHyphens/>
        <w:autoSpaceDE w:val="0"/>
        <w:spacing w:after="0" w:line="240" w:lineRule="auto"/>
        <w:rPr>
          <w:rFonts w:ascii="Times New Roman" w:eastAsia="Times New Roman" w:hAnsi="Times New Roman"/>
          <w:lang w:val="it-IT" w:eastAsia="ar-SA"/>
        </w:rPr>
      </w:pPr>
    </w:p>
    <w:p>
      <w:pPr>
        <w:widowControl w:val="0"/>
        <w:suppressAutoHyphens/>
        <w:autoSpaceDE w:val="0"/>
        <w:spacing w:after="0" w:line="240" w:lineRule="auto"/>
        <w:rPr>
          <w:rFonts w:ascii="Times New Roman" w:eastAsia="Times New Roman" w:hAnsi="Times New Roman"/>
          <w:lang w:val="it-IT" w:eastAsia="ar-SA"/>
        </w:rPr>
      </w:pPr>
    </w:p>
    <w:tbl>
      <w:tblPr>
        <w:tblW w:w="0" w:type="auto"/>
        <w:tblInd w:w="-30" w:type="dxa"/>
        <w:tblLayout w:type="fixed"/>
        <w:tblLook w:val="0000" w:firstRow="0" w:lastRow="0" w:firstColumn="0" w:lastColumn="0" w:noHBand="0" w:noVBand="0"/>
      </w:tblPr>
      <w:tblGrid>
        <w:gridCol w:w="9358"/>
      </w:tblGrid>
      <w:tr>
        <w:tc>
          <w:tcPr>
            <w:tcW w:w="9358" w:type="dxa"/>
            <w:tcBorders>
              <w:top w:val="single" w:sz="4" w:space="0" w:color="000000"/>
              <w:left w:val="single" w:sz="4" w:space="0" w:color="000000"/>
              <w:bottom w:val="single" w:sz="4" w:space="0" w:color="000000"/>
              <w:right w:val="single" w:sz="4" w:space="0" w:color="000000"/>
            </w:tcBorders>
          </w:tcPr>
          <w:p>
            <w:pPr>
              <w:widowControl w:val="0"/>
              <w:suppressAutoHyphens/>
              <w:autoSpaceDE w:val="0"/>
              <w:snapToGrid w:val="0"/>
              <w:spacing w:after="0" w:line="240" w:lineRule="auto"/>
              <w:ind w:left="587" w:hanging="587"/>
              <w:rPr>
                <w:rFonts w:ascii="Times New Roman" w:eastAsia="Times New Roman" w:hAnsi="Times New Roman"/>
                <w:b/>
                <w:lang w:val="it-IT" w:eastAsia="ar-SA"/>
              </w:rPr>
            </w:pPr>
            <w:r>
              <w:rPr>
                <w:rFonts w:ascii="Times New Roman" w:eastAsia="Times New Roman" w:hAnsi="Times New Roman"/>
                <w:b/>
                <w:lang w:val="it-IT" w:eastAsia="ar-SA"/>
              </w:rPr>
              <w:t>6</w:t>
            </w:r>
            <w:r>
              <w:rPr>
                <w:rFonts w:ascii="Times New Roman" w:eastAsia="Times New Roman" w:hAnsi="Times New Roman"/>
                <w:b/>
                <w:lang w:val="it-IT" w:eastAsia="ar-SA"/>
              </w:rPr>
              <w:tab/>
              <w:t>AVVERTENZA PARTICOLARE CHE PRESCRIVA DI TENERE IL MEDICINALE FUORI DALLA VISTA E DALLA PORTATA DEI BAMBINI</w:t>
            </w:r>
          </w:p>
        </w:tc>
      </w:tr>
    </w:tbl>
    <w:p>
      <w:pPr>
        <w:widowControl w:val="0"/>
        <w:suppressAutoHyphens/>
        <w:autoSpaceDE w:val="0"/>
        <w:spacing w:after="0" w:line="240" w:lineRule="auto"/>
        <w:rPr>
          <w:rFonts w:ascii="Times New Roman" w:eastAsia="Times New Roman" w:hAnsi="Times New Roman"/>
          <w:lang w:val="it-IT" w:eastAsia="ar-SA"/>
        </w:rPr>
      </w:pPr>
    </w:p>
    <w:p>
      <w:pPr>
        <w:widowControl w:val="0"/>
        <w:suppressAutoHyphens/>
        <w:autoSpaceDE w:val="0"/>
        <w:spacing w:after="0" w:line="240" w:lineRule="auto"/>
        <w:rPr>
          <w:rFonts w:ascii="Times New Roman" w:eastAsia="Times New Roman" w:hAnsi="Times New Roman"/>
          <w:lang w:val="it-IT" w:eastAsia="ar-SA"/>
        </w:rPr>
      </w:pPr>
      <w:r>
        <w:rPr>
          <w:rFonts w:ascii="Times New Roman" w:eastAsia="Times New Roman" w:hAnsi="Times New Roman"/>
          <w:lang w:val="it-IT" w:eastAsia="ar-SA"/>
        </w:rPr>
        <w:t>Tenere fuori dalla vista e dalla portata dei bambini.</w:t>
      </w:r>
    </w:p>
    <w:p>
      <w:pPr>
        <w:widowControl w:val="0"/>
        <w:suppressAutoHyphens/>
        <w:autoSpaceDE w:val="0"/>
        <w:spacing w:after="0" w:line="240" w:lineRule="auto"/>
        <w:rPr>
          <w:rFonts w:ascii="Times New Roman" w:eastAsia="Times New Roman" w:hAnsi="Times New Roman"/>
          <w:lang w:val="it-IT" w:eastAsia="ar-SA"/>
        </w:rPr>
      </w:pPr>
    </w:p>
    <w:p>
      <w:pPr>
        <w:widowControl w:val="0"/>
        <w:suppressAutoHyphens/>
        <w:autoSpaceDE w:val="0"/>
        <w:spacing w:after="0" w:line="240" w:lineRule="auto"/>
        <w:rPr>
          <w:rFonts w:ascii="Times New Roman" w:eastAsia="Times New Roman" w:hAnsi="Times New Roman"/>
          <w:lang w:val="it-IT" w:eastAsia="ar-SA"/>
        </w:rPr>
      </w:pPr>
    </w:p>
    <w:tbl>
      <w:tblPr>
        <w:tblW w:w="0" w:type="auto"/>
        <w:tblInd w:w="-30" w:type="dxa"/>
        <w:tblLayout w:type="fixed"/>
        <w:tblLook w:val="0000" w:firstRow="0" w:lastRow="0" w:firstColumn="0" w:lastColumn="0" w:noHBand="0" w:noVBand="0"/>
      </w:tblPr>
      <w:tblGrid>
        <w:gridCol w:w="9358"/>
      </w:tblGrid>
      <w:tr>
        <w:tc>
          <w:tcPr>
            <w:tcW w:w="9358" w:type="dxa"/>
            <w:tcBorders>
              <w:top w:val="single" w:sz="4" w:space="0" w:color="000000"/>
              <w:left w:val="single" w:sz="4" w:space="0" w:color="000000"/>
              <w:bottom w:val="single" w:sz="4" w:space="0" w:color="000000"/>
              <w:right w:val="single" w:sz="4" w:space="0" w:color="000000"/>
            </w:tcBorders>
          </w:tcPr>
          <w:p>
            <w:pPr>
              <w:widowControl w:val="0"/>
              <w:suppressAutoHyphens/>
              <w:autoSpaceDE w:val="0"/>
              <w:snapToGrid w:val="0"/>
              <w:spacing w:after="0" w:line="240" w:lineRule="auto"/>
              <w:rPr>
                <w:rFonts w:ascii="Times New Roman" w:eastAsia="Times New Roman" w:hAnsi="Times New Roman"/>
                <w:b/>
                <w:lang w:val="it-IT" w:eastAsia="ar-SA"/>
              </w:rPr>
            </w:pPr>
            <w:r>
              <w:rPr>
                <w:rFonts w:ascii="Times New Roman" w:eastAsia="Times New Roman" w:hAnsi="Times New Roman"/>
                <w:b/>
                <w:lang w:val="it-IT" w:eastAsia="ar-SA"/>
              </w:rPr>
              <w:t>7.</w:t>
            </w:r>
            <w:r>
              <w:rPr>
                <w:rFonts w:ascii="Times New Roman" w:eastAsia="Times New Roman" w:hAnsi="Times New Roman"/>
                <w:b/>
                <w:lang w:val="it-IT" w:eastAsia="ar-SA"/>
              </w:rPr>
              <w:tab/>
              <w:t>ALTRA(E) AVVERTENZA(E) PARTICOLARE(I), SE NECESSARIO</w:t>
            </w:r>
          </w:p>
        </w:tc>
      </w:tr>
    </w:tbl>
    <w:p>
      <w:pPr>
        <w:widowControl w:val="0"/>
        <w:suppressAutoHyphens/>
        <w:autoSpaceDE w:val="0"/>
        <w:spacing w:after="0" w:line="240" w:lineRule="auto"/>
        <w:rPr>
          <w:rFonts w:ascii="Times New Roman" w:eastAsia="Times New Roman" w:hAnsi="Times New Roman"/>
          <w:lang w:val="it-IT" w:eastAsia="ar-SA"/>
        </w:rPr>
      </w:pPr>
    </w:p>
    <w:p>
      <w:pPr>
        <w:widowControl w:val="0"/>
        <w:suppressAutoHyphens/>
        <w:autoSpaceDE w:val="0"/>
        <w:spacing w:after="0" w:line="240" w:lineRule="auto"/>
        <w:rPr>
          <w:rFonts w:ascii="Times New Roman" w:eastAsia="Times New Roman" w:hAnsi="Times New Roman"/>
          <w:lang w:val="it-IT" w:eastAsia="ar-SA"/>
        </w:rPr>
      </w:pPr>
    </w:p>
    <w:tbl>
      <w:tblPr>
        <w:tblW w:w="0" w:type="auto"/>
        <w:tblInd w:w="-30" w:type="dxa"/>
        <w:tblLayout w:type="fixed"/>
        <w:tblLook w:val="0000" w:firstRow="0" w:lastRow="0" w:firstColumn="0" w:lastColumn="0" w:noHBand="0" w:noVBand="0"/>
      </w:tblPr>
      <w:tblGrid>
        <w:gridCol w:w="9358"/>
      </w:tblGrid>
      <w:tr>
        <w:tc>
          <w:tcPr>
            <w:tcW w:w="9358" w:type="dxa"/>
            <w:tcBorders>
              <w:top w:val="single" w:sz="4" w:space="0" w:color="000000"/>
              <w:left w:val="single" w:sz="4" w:space="0" w:color="000000"/>
              <w:bottom w:val="single" w:sz="4" w:space="0" w:color="000000"/>
              <w:right w:val="single" w:sz="4" w:space="0" w:color="000000"/>
            </w:tcBorders>
          </w:tcPr>
          <w:p>
            <w:pPr>
              <w:keepNext/>
              <w:widowControl w:val="0"/>
              <w:suppressAutoHyphens/>
              <w:autoSpaceDE w:val="0"/>
              <w:snapToGrid w:val="0"/>
              <w:spacing w:after="0" w:line="240" w:lineRule="auto"/>
              <w:rPr>
                <w:rFonts w:ascii="Times New Roman" w:eastAsia="Times New Roman" w:hAnsi="Times New Roman"/>
                <w:b/>
                <w:lang w:val="it-IT" w:eastAsia="ar-SA"/>
              </w:rPr>
            </w:pPr>
            <w:r>
              <w:rPr>
                <w:rFonts w:ascii="Times New Roman" w:eastAsia="Times New Roman" w:hAnsi="Times New Roman"/>
                <w:b/>
                <w:lang w:val="it-IT" w:eastAsia="ar-SA"/>
              </w:rPr>
              <w:t>8.</w:t>
            </w:r>
            <w:r>
              <w:rPr>
                <w:rFonts w:ascii="Times New Roman" w:eastAsia="Times New Roman" w:hAnsi="Times New Roman"/>
                <w:b/>
                <w:lang w:val="it-IT" w:eastAsia="ar-SA"/>
              </w:rPr>
              <w:tab/>
              <w:t>DATA DI SCADENZA</w:t>
            </w:r>
          </w:p>
        </w:tc>
      </w:tr>
    </w:tbl>
    <w:p>
      <w:pPr>
        <w:keepNext/>
        <w:widowControl w:val="0"/>
        <w:suppressAutoHyphens/>
        <w:autoSpaceDE w:val="0"/>
        <w:spacing w:after="0" w:line="240" w:lineRule="auto"/>
        <w:rPr>
          <w:rFonts w:ascii="Times New Roman" w:eastAsia="Times New Roman" w:hAnsi="Times New Roman"/>
          <w:lang w:val="it-IT" w:eastAsia="ar-SA"/>
        </w:rPr>
      </w:pPr>
    </w:p>
    <w:p>
      <w:pPr>
        <w:keepNext/>
        <w:widowControl w:val="0"/>
        <w:suppressAutoHyphens/>
        <w:autoSpaceDE w:val="0"/>
        <w:spacing w:after="0" w:line="240" w:lineRule="auto"/>
        <w:rPr>
          <w:rFonts w:ascii="Times New Roman" w:eastAsia="Times New Roman" w:hAnsi="Times New Roman"/>
          <w:lang w:val="it-IT" w:eastAsia="ar-SA"/>
        </w:rPr>
      </w:pPr>
      <w:r>
        <w:rPr>
          <w:rFonts w:ascii="Times New Roman" w:eastAsia="Times New Roman" w:hAnsi="Times New Roman"/>
          <w:lang w:val="it-IT" w:eastAsia="ar-SA"/>
        </w:rPr>
        <w:t>EXP</w:t>
      </w:r>
    </w:p>
    <w:p>
      <w:pPr>
        <w:widowControl w:val="0"/>
        <w:suppressAutoHyphens/>
        <w:autoSpaceDE w:val="0"/>
        <w:spacing w:after="0" w:line="240" w:lineRule="auto"/>
        <w:rPr>
          <w:rFonts w:ascii="Times New Roman" w:eastAsia="Times New Roman" w:hAnsi="Times New Roman"/>
          <w:lang w:val="it-IT" w:eastAsia="ar-SA"/>
        </w:rPr>
      </w:pPr>
    </w:p>
    <w:p>
      <w:pPr>
        <w:widowControl w:val="0"/>
        <w:suppressAutoHyphens/>
        <w:autoSpaceDE w:val="0"/>
        <w:spacing w:after="0" w:line="240" w:lineRule="auto"/>
        <w:rPr>
          <w:rFonts w:ascii="Times New Roman" w:eastAsia="Times New Roman" w:hAnsi="Times New Roman"/>
          <w:lang w:val="it-IT" w:eastAsia="ar-SA"/>
        </w:rPr>
      </w:pPr>
    </w:p>
    <w:tbl>
      <w:tblPr>
        <w:tblW w:w="0" w:type="auto"/>
        <w:tblInd w:w="-30" w:type="dxa"/>
        <w:tblLayout w:type="fixed"/>
        <w:tblLook w:val="0000" w:firstRow="0" w:lastRow="0" w:firstColumn="0" w:lastColumn="0" w:noHBand="0" w:noVBand="0"/>
      </w:tblPr>
      <w:tblGrid>
        <w:gridCol w:w="9358"/>
      </w:tblGrid>
      <w:tr>
        <w:tc>
          <w:tcPr>
            <w:tcW w:w="9358" w:type="dxa"/>
            <w:tcBorders>
              <w:top w:val="single" w:sz="4" w:space="0" w:color="000000"/>
              <w:left w:val="single" w:sz="4" w:space="0" w:color="000000"/>
              <w:bottom w:val="single" w:sz="4" w:space="0" w:color="000000"/>
              <w:right w:val="single" w:sz="4" w:space="0" w:color="000000"/>
            </w:tcBorders>
          </w:tcPr>
          <w:p>
            <w:pPr>
              <w:widowControl w:val="0"/>
              <w:tabs>
                <w:tab w:val="left" w:pos="535"/>
              </w:tabs>
              <w:suppressAutoHyphens/>
              <w:autoSpaceDE w:val="0"/>
              <w:snapToGrid w:val="0"/>
              <w:spacing w:after="0" w:line="240" w:lineRule="auto"/>
              <w:rPr>
                <w:rFonts w:ascii="Times New Roman" w:eastAsia="Times New Roman" w:hAnsi="Times New Roman"/>
                <w:b/>
                <w:lang w:val="it-IT" w:eastAsia="ar-SA"/>
              </w:rPr>
            </w:pPr>
            <w:r>
              <w:rPr>
                <w:rFonts w:ascii="Times New Roman" w:eastAsia="Times New Roman" w:hAnsi="Times New Roman"/>
                <w:b/>
                <w:lang w:val="it-IT" w:eastAsia="ar-SA"/>
              </w:rPr>
              <w:t>9.</w:t>
            </w:r>
            <w:r>
              <w:rPr>
                <w:rFonts w:ascii="Times New Roman" w:eastAsia="Times New Roman" w:hAnsi="Times New Roman"/>
                <w:b/>
                <w:lang w:val="it-IT" w:eastAsia="ar-SA"/>
              </w:rPr>
              <w:tab/>
              <w:t>PRECAUZIONI PARTICOLARI PER LA CONSERVAZIONE</w:t>
            </w:r>
          </w:p>
        </w:tc>
      </w:tr>
    </w:tbl>
    <w:p>
      <w:pPr>
        <w:widowControl w:val="0"/>
        <w:suppressAutoHyphens/>
        <w:autoSpaceDE w:val="0"/>
        <w:spacing w:after="0" w:line="240" w:lineRule="auto"/>
        <w:rPr>
          <w:rFonts w:ascii="Times New Roman" w:eastAsia="Times New Roman" w:hAnsi="Times New Roman"/>
          <w:lang w:val="it-IT" w:eastAsia="ar-SA"/>
        </w:rPr>
      </w:pPr>
    </w:p>
    <w:p>
      <w:pPr>
        <w:widowControl w:val="0"/>
        <w:suppressAutoHyphens/>
        <w:autoSpaceDE w:val="0"/>
        <w:spacing w:after="0" w:line="240" w:lineRule="auto"/>
        <w:rPr>
          <w:rFonts w:ascii="Times New Roman" w:eastAsia="Times New Roman" w:hAnsi="Times New Roman"/>
          <w:lang w:val="it-IT" w:eastAsia="ar-SA"/>
        </w:rPr>
      </w:pPr>
      <w:r>
        <w:rPr>
          <w:rFonts w:ascii="Times New Roman" w:eastAsia="Times New Roman" w:hAnsi="Times New Roman"/>
          <w:lang w:val="it-IT" w:eastAsia="ar-SA"/>
        </w:rPr>
        <w:t>Conservare nella confezione originale per proteggere il medicinale dall'umidità e dalla luce.</w:t>
      </w:r>
    </w:p>
    <w:p>
      <w:pPr>
        <w:widowControl w:val="0"/>
        <w:suppressAutoHyphens/>
        <w:autoSpaceDE w:val="0"/>
        <w:spacing w:after="0" w:line="240" w:lineRule="auto"/>
        <w:rPr>
          <w:rFonts w:ascii="Times New Roman" w:eastAsia="Times New Roman" w:hAnsi="Times New Roman"/>
          <w:lang w:val="it-IT" w:eastAsia="ar-SA"/>
        </w:rPr>
      </w:pPr>
    </w:p>
    <w:p>
      <w:pPr>
        <w:widowControl w:val="0"/>
        <w:suppressAutoHyphens/>
        <w:autoSpaceDE w:val="0"/>
        <w:spacing w:after="0" w:line="240" w:lineRule="auto"/>
        <w:rPr>
          <w:rFonts w:ascii="Times New Roman" w:eastAsia="Times New Roman" w:hAnsi="Times New Roman"/>
          <w:lang w:val="it-IT" w:eastAsia="ar-SA"/>
        </w:rPr>
      </w:pPr>
    </w:p>
    <w:tbl>
      <w:tblPr>
        <w:tblW w:w="0" w:type="auto"/>
        <w:tblInd w:w="-30" w:type="dxa"/>
        <w:tblLayout w:type="fixed"/>
        <w:tblLook w:val="0000" w:firstRow="0" w:lastRow="0" w:firstColumn="0" w:lastColumn="0" w:noHBand="0" w:noVBand="0"/>
      </w:tblPr>
      <w:tblGrid>
        <w:gridCol w:w="9358"/>
      </w:tblGrid>
      <w:tr>
        <w:tc>
          <w:tcPr>
            <w:tcW w:w="9358" w:type="dxa"/>
            <w:tcBorders>
              <w:top w:val="single" w:sz="4" w:space="0" w:color="000000"/>
              <w:left w:val="single" w:sz="4" w:space="0" w:color="000000"/>
              <w:bottom w:val="single" w:sz="4" w:space="0" w:color="000000"/>
              <w:right w:val="single" w:sz="4" w:space="0" w:color="000000"/>
            </w:tcBorders>
          </w:tcPr>
          <w:p>
            <w:pPr>
              <w:widowControl w:val="0"/>
              <w:suppressAutoHyphens/>
              <w:autoSpaceDE w:val="0"/>
              <w:snapToGrid w:val="0"/>
              <w:spacing w:after="0" w:line="240" w:lineRule="auto"/>
              <w:ind w:left="587" w:hanging="587"/>
              <w:rPr>
                <w:rFonts w:ascii="Times New Roman" w:eastAsia="Times New Roman" w:hAnsi="Times New Roman"/>
                <w:b/>
                <w:lang w:val="it-IT" w:eastAsia="ar-SA"/>
              </w:rPr>
            </w:pPr>
            <w:r>
              <w:rPr>
                <w:rFonts w:ascii="Times New Roman" w:eastAsia="Times New Roman" w:hAnsi="Times New Roman"/>
                <w:b/>
                <w:lang w:val="it-IT" w:eastAsia="ar-SA"/>
              </w:rPr>
              <w:t>10.</w:t>
            </w:r>
            <w:r>
              <w:rPr>
                <w:rFonts w:ascii="Times New Roman" w:eastAsia="Times New Roman" w:hAnsi="Times New Roman"/>
                <w:b/>
                <w:lang w:val="it-IT" w:eastAsia="ar-SA"/>
              </w:rPr>
              <w:tab/>
              <w:t>PRECAUZIONI PARTICOLARI PER LO SMALTIMENTO DEL MEDICINALE NON UTILIZZATO O DEI RIFIUTI DERIVATI DA TALE MEDICINALE, SE NECESSARIO</w:t>
            </w:r>
          </w:p>
        </w:tc>
      </w:tr>
    </w:tbl>
    <w:p>
      <w:pPr>
        <w:widowControl w:val="0"/>
        <w:suppressAutoHyphens/>
        <w:autoSpaceDE w:val="0"/>
        <w:spacing w:after="0" w:line="240" w:lineRule="auto"/>
        <w:rPr>
          <w:rFonts w:ascii="Times New Roman" w:eastAsia="Times New Roman" w:hAnsi="Times New Roman"/>
          <w:lang w:val="it-IT" w:eastAsia="ar-SA"/>
        </w:rPr>
      </w:pPr>
    </w:p>
    <w:p>
      <w:pPr>
        <w:widowControl w:val="0"/>
        <w:suppressAutoHyphens/>
        <w:autoSpaceDE w:val="0"/>
        <w:spacing w:after="0" w:line="240" w:lineRule="auto"/>
        <w:rPr>
          <w:rFonts w:ascii="Times New Roman" w:eastAsia="Times New Roman" w:hAnsi="Times New Roman"/>
          <w:lang w:val="it-IT" w:eastAsia="ar-SA"/>
        </w:rPr>
      </w:pPr>
    </w:p>
    <w:tbl>
      <w:tblPr>
        <w:tblW w:w="0" w:type="auto"/>
        <w:tblInd w:w="-30" w:type="dxa"/>
        <w:tblLayout w:type="fixed"/>
        <w:tblLook w:val="0000" w:firstRow="0" w:lastRow="0" w:firstColumn="0" w:lastColumn="0" w:noHBand="0" w:noVBand="0"/>
      </w:tblPr>
      <w:tblGrid>
        <w:gridCol w:w="9358"/>
      </w:tblGrid>
      <w:tr>
        <w:tc>
          <w:tcPr>
            <w:tcW w:w="9358" w:type="dxa"/>
            <w:tcBorders>
              <w:top w:val="single" w:sz="4" w:space="0" w:color="000000"/>
              <w:left w:val="single" w:sz="4" w:space="0" w:color="000000"/>
              <w:bottom w:val="single" w:sz="4" w:space="0" w:color="000000"/>
              <w:right w:val="single" w:sz="4" w:space="0" w:color="000000"/>
            </w:tcBorders>
          </w:tcPr>
          <w:p>
            <w:pPr>
              <w:widowControl w:val="0"/>
              <w:suppressAutoHyphens/>
              <w:autoSpaceDE w:val="0"/>
              <w:snapToGrid w:val="0"/>
              <w:spacing w:after="0" w:line="240" w:lineRule="auto"/>
              <w:ind w:left="587" w:hanging="587"/>
              <w:rPr>
                <w:rFonts w:ascii="Times New Roman" w:eastAsia="Times New Roman" w:hAnsi="Times New Roman"/>
                <w:b/>
                <w:lang w:val="it-IT" w:eastAsia="ar-SA"/>
              </w:rPr>
            </w:pPr>
            <w:r>
              <w:rPr>
                <w:rFonts w:ascii="Times New Roman" w:eastAsia="Times New Roman" w:hAnsi="Times New Roman"/>
                <w:b/>
                <w:lang w:val="it-IT" w:eastAsia="ar-SA"/>
              </w:rPr>
              <w:t>11.</w:t>
            </w:r>
            <w:r>
              <w:rPr>
                <w:rFonts w:ascii="Times New Roman" w:eastAsia="Times New Roman" w:hAnsi="Times New Roman"/>
                <w:b/>
                <w:lang w:val="it-IT" w:eastAsia="ar-SA"/>
              </w:rPr>
              <w:tab/>
              <w:t>NOME E INDIRIZZO DEL TITOLARE DELL’AUTORIZZAZIONE ALL’IMMISSIONE IN COMMERCIO</w:t>
            </w:r>
          </w:p>
        </w:tc>
      </w:tr>
    </w:tbl>
    <w:p>
      <w:pPr>
        <w:widowControl w:val="0"/>
        <w:suppressAutoHyphens/>
        <w:autoSpaceDE w:val="0"/>
        <w:spacing w:after="0" w:line="240" w:lineRule="auto"/>
        <w:rPr>
          <w:rFonts w:ascii="Times New Roman" w:eastAsia="Times New Roman" w:hAnsi="Times New Roman"/>
          <w:lang w:val="it-IT" w:eastAsia="ar-SA"/>
        </w:rPr>
      </w:pPr>
    </w:p>
    <w:p>
      <w:pPr>
        <w:widowControl w:val="0"/>
        <w:shd w:val="clear" w:color="auto" w:fill="FFFFFF"/>
        <w:tabs>
          <w:tab w:val="left" w:pos="6551"/>
        </w:tabs>
        <w:suppressAutoHyphens/>
        <w:autoSpaceDE w:val="0"/>
        <w:spacing w:after="0" w:line="240" w:lineRule="auto"/>
        <w:rPr>
          <w:rFonts w:ascii="Times New Roman" w:eastAsia="Times New Roman" w:hAnsi="Times New Roman"/>
          <w:color w:val="000000"/>
          <w:spacing w:val="-1"/>
          <w:lang w:val="it-IT" w:eastAsia="ar-SA"/>
        </w:rPr>
      </w:pPr>
      <w:r>
        <w:rPr>
          <w:rFonts w:ascii="Times New Roman" w:eastAsia="Times New Roman" w:hAnsi="Times New Roman"/>
          <w:color w:val="000000"/>
          <w:spacing w:val="-1"/>
          <w:lang w:val="it-IT" w:eastAsia="ar-SA"/>
        </w:rPr>
        <w:t>KRKA, d.d., Novo mesto, Šmarješka cesta 6 8501 Novo mesto, Slovenia</w:t>
      </w:r>
    </w:p>
    <w:p>
      <w:pPr>
        <w:widowControl w:val="0"/>
        <w:suppressAutoHyphens/>
        <w:autoSpaceDE w:val="0"/>
        <w:spacing w:after="0" w:line="240" w:lineRule="auto"/>
        <w:rPr>
          <w:rFonts w:ascii="Times New Roman" w:eastAsia="Times New Roman" w:hAnsi="Times New Roman"/>
          <w:lang w:val="it-IT" w:eastAsia="ar-SA"/>
        </w:rPr>
      </w:pPr>
    </w:p>
    <w:p>
      <w:pPr>
        <w:widowControl w:val="0"/>
        <w:suppressAutoHyphens/>
        <w:autoSpaceDE w:val="0"/>
        <w:spacing w:after="0" w:line="240" w:lineRule="auto"/>
        <w:rPr>
          <w:rFonts w:ascii="Times New Roman" w:eastAsia="Times New Roman" w:hAnsi="Times New Roman"/>
          <w:lang w:val="it-IT" w:eastAsia="ar-SA"/>
        </w:rPr>
      </w:pPr>
    </w:p>
    <w:tbl>
      <w:tblPr>
        <w:tblW w:w="0" w:type="auto"/>
        <w:tblInd w:w="-30" w:type="dxa"/>
        <w:tblLayout w:type="fixed"/>
        <w:tblLook w:val="0000" w:firstRow="0" w:lastRow="0" w:firstColumn="0" w:lastColumn="0" w:noHBand="0" w:noVBand="0"/>
      </w:tblPr>
      <w:tblGrid>
        <w:gridCol w:w="9358"/>
      </w:tblGrid>
      <w:tr>
        <w:tc>
          <w:tcPr>
            <w:tcW w:w="9358" w:type="dxa"/>
            <w:tcBorders>
              <w:top w:val="single" w:sz="4" w:space="0" w:color="000000"/>
              <w:left w:val="single" w:sz="4" w:space="0" w:color="000000"/>
              <w:bottom w:val="single" w:sz="4" w:space="0" w:color="000000"/>
              <w:right w:val="single" w:sz="4" w:space="0" w:color="000000"/>
            </w:tcBorders>
          </w:tcPr>
          <w:p>
            <w:pPr>
              <w:widowControl w:val="0"/>
              <w:suppressAutoHyphens/>
              <w:autoSpaceDE w:val="0"/>
              <w:snapToGrid w:val="0"/>
              <w:spacing w:after="0" w:line="240" w:lineRule="auto"/>
              <w:rPr>
                <w:rFonts w:ascii="Times New Roman" w:eastAsia="Times New Roman" w:hAnsi="Times New Roman"/>
                <w:b/>
                <w:lang w:val="it-IT" w:eastAsia="ar-SA"/>
              </w:rPr>
            </w:pPr>
            <w:r>
              <w:rPr>
                <w:rFonts w:ascii="Times New Roman" w:eastAsia="Times New Roman" w:hAnsi="Times New Roman"/>
                <w:b/>
                <w:lang w:val="it-IT" w:eastAsia="ar-SA"/>
              </w:rPr>
              <w:t>12.</w:t>
            </w:r>
            <w:r>
              <w:rPr>
                <w:rFonts w:ascii="Times New Roman" w:eastAsia="Times New Roman" w:hAnsi="Times New Roman"/>
                <w:b/>
                <w:lang w:val="it-IT" w:eastAsia="ar-SA"/>
              </w:rPr>
              <w:tab/>
              <w:t>NUMERO(I) DELL’AUTORIZZAZIONE ALL’IMMISSIONE IN COMMERCIO</w:t>
            </w:r>
          </w:p>
        </w:tc>
      </w:tr>
    </w:tbl>
    <w:p>
      <w:pPr>
        <w:widowControl w:val="0"/>
        <w:suppressAutoHyphens/>
        <w:autoSpaceDE w:val="0"/>
        <w:spacing w:after="0" w:line="240" w:lineRule="auto"/>
        <w:rPr>
          <w:rFonts w:ascii="Times New Roman" w:eastAsia="Times New Roman" w:hAnsi="Times New Roman"/>
          <w:lang w:val="it-IT" w:eastAsia="ar-SA"/>
        </w:rPr>
      </w:pPr>
    </w:p>
    <w:p>
      <w:pPr>
        <w:widowControl w:val="0"/>
        <w:suppressAutoHyphens/>
        <w:autoSpaceDE w:val="0"/>
        <w:spacing w:after="0" w:line="240" w:lineRule="auto"/>
        <w:rPr>
          <w:rFonts w:ascii="Times New Roman" w:eastAsia="Times New Roman" w:hAnsi="Times New Roman"/>
          <w:lang w:val="it-IT" w:eastAsia="ar-SA"/>
        </w:rPr>
      </w:pPr>
      <w:r>
        <w:rPr>
          <w:rFonts w:ascii="Times New Roman" w:eastAsia="Times New Roman" w:hAnsi="Times New Roman"/>
          <w:highlight w:val="lightGray"/>
          <w:lang w:val="it-IT" w:eastAsia="ar-SA"/>
        </w:rPr>
        <w:t>7 compresse rivestite con film:</w:t>
      </w:r>
      <w:r>
        <w:rPr>
          <w:rFonts w:ascii="Times New Roman" w:eastAsia="Times New Roman" w:hAnsi="Times New Roman"/>
          <w:lang w:val="it-IT" w:eastAsia="ar-SA"/>
        </w:rPr>
        <w:t xml:space="preserve"> EU/1/09/556/001</w:t>
      </w:r>
    </w:p>
    <w:p>
      <w:pPr>
        <w:widowControl w:val="0"/>
        <w:suppressAutoHyphens/>
        <w:autoSpaceDE w:val="0"/>
        <w:spacing w:after="0" w:line="240" w:lineRule="auto"/>
        <w:rPr>
          <w:rFonts w:ascii="Times New Roman" w:eastAsia="Times New Roman" w:hAnsi="Times New Roman"/>
          <w:highlight w:val="lightGray"/>
          <w:shd w:val="clear" w:color="auto" w:fill="CCCCCC"/>
          <w:lang w:val="it-IT" w:eastAsia="ar-SA"/>
        </w:rPr>
      </w:pPr>
      <w:r>
        <w:rPr>
          <w:rFonts w:ascii="Times New Roman" w:eastAsia="Times New Roman" w:hAnsi="Times New Roman"/>
          <w:color w:val="000000"/>
          <w:highlight w:val="lightGray"/>
          <w:lang w:val="it-IT" w:eastAsia="sl-SI"/>
        </w:rPr>
        <w:t>14 compresse rivestite con film</w:t>
      </w:r>
      <w:r>
        <w:rPr>
          <w:rFonts w:ascii="Times New Roman" w:eastAsia="Times New Roman" w:hAnsi="Times New Roman"/>
          <w:highlight w:val="lightGray"/>
          <w:lang w:val="it-IT" w:eastAsia="ar-SA"/>
        </w:rPr>
        <w:t>: EU/1/09/556/002</w:t>
      </w:r>
    </w:p>
    <w:p>
      <w:pPr>
        <w:widowControl w:val="0"/>
        <w:suppressAutoHyphens/>
        <w:autoSpaceDE w:val="0"/>
        <w:spacing w:after="0" w:line="240" w:lineRule="auto"/>
        <w:rPr>
          <w:rFonts w:ascii="Times New Roman" w:eastAsia="Times New Roman" w:hAnsi="Times New Roman"/>
          <w:highlight w:val="lightGray"/>
          <w:shd w:val="clear" w:color="auto" w:fill="CCCCCC"/>
          <w:lang w:val="it-IT" w:eastAsia="ar-SA"/>
        </w:rPr>
      </w:pPr>
      <w:r>
        <w:rPr>
          <w:rFonts w:ascii="Times New Roman" w:eastAsia="Times New Roman" w:hAnsi="Times New Roman"/>
          <w:color w:val="000000"/>
          <w:highlight w:val="lightGray"/>
          <w:lang w:val="it-IT" w:eastAsia="sl-SI"/>
        </w:rPr>
        <w:t>28 compresse rivestite con film</w:t>
      </w:r>
      <w:r>
        <w:rPr>
          <w:rFonts w:ascii="Times New Roman" w:eastAsia="Times New Roman" w:hAnsi="Times New Roman"/>
          <w:highlight w:val="lightGray"/>
          <w:lang w:val="it-IT" w:eastAsia="ar-SA"/>
        </w:rPr>
        <w:t>: EU/1/09/556/003</w:t>
      </w:r>
    </w:p>
    <w:p>
      <w:pPr>
        <w:widowControl w:val="0"/>
        <w:suppressAutoHyphens/>
        <w:autoSpaceDE w:val="0"/>
        <w:spacing w:after="0" w:line="240" w:lineRule="auto"/>
        <w:rPr>
          <w:rFonts w:ascii="Times New Roman" w:eastAsia="Times New Roman" w:hAnsi="Times New Roman"/>
          <w:highlight w:val="lightGray"/>
          <w:shd w:val="clear" w:color="auto" w:fill="CCCCCC"/>
          <w:lang w:val="it-IT" w:eastAsia="ar-SA"/>
        </w:rPr>
      </w:pPr>
      <w:r>
        <w:rPr>
          <w:rFonts w:ascii="Times New Roman" w:eastAsia="Times New Roman" w:hAnsi="Times New Roman"/>
          <w:highlight w:val="lightGray"/>
          <w:lang w:val="it-IT" w:eastAsia="ar-SA"/>
        </w:rPr>
        <w:t>30 compresse rivestite con film: EU/1/09/556/004</w:t>
      </w:r>
    </w:p>
    <w:p>
      <w:pPr>
        <w:widowControl w:val="0"/>
        <w:suppressAutoHyphens/>
        <w:autoSpaceDE w:val="0"/>
        <w:spacing w:after="0" w:line="240" w:lineRule="auto"/>
        <w:rPr>
          <w:rFonts w:ascii="Times New Roman" w:eastAsia="Times New Roman" w:hAnsi="Times New Roman"/>
          <w:highlight w:val="lightGray"/>
          <w:shd w:val="clear" w:color="auto" w:fill="CCCCCC"/>
          <w:lang w:val="it-IT" w:eastAsia="ar-SA"/>
        </w:rPr>
      </w:pPr>
      <w:r>
        <w:rPr>
          <w:rFonts w:ascii="Times New Roman" w:eastAsia="Times New Roman" w:hAnsi="Times New Roman"/>
          <w:highlight w:val="lightGray"/>
          <w:lang w:val="it-IT" w:eastAsia="ar-SA"/>
        </w:rPr>
        <w:t>50 compresse rivestite con film: EU/1/09/556/005</w:t>
      </w:r>
    </w:p>
    <w:p>
      <w:pPr>
        <w:widowControl w:val="0"/>
        <w:suppressAutoHyphens/>
        <w:autoSpaceDE w:val="0"/>
        <w:spacing w:after="0" w:line="240" w:lineRule="auto"/>
        <w:rPr>
          <w:rFonts w:ascii="Times New Roman" w:eastAsia="Times New Roman" w:hAnsi="Times New Roman"/>
          <w:highlight w:val="lightGray"/>
          <w:shd w:val="clear" w:color="auto" w:fill="CCCCCC"/>
          <w:lang w:val="it-IT" w:eastAsia="ar-SA"/>
        </w:rPr>
      </w:pPr>
      <w:r>
        <w:rPr>
          <w:rFonts w:ascii="Times New Roman" w:eastAsia="Times New Roman" w:hAnsi="Times New Roman"/>
          <w:highlight w:val="lightGray"/>
          <w:lang w:val="it-IT" w:eastAsia="ar-SA"/>
        </w:rPr>
        <w:t>56 compresse rivestite con film: EU/1/09/556/006</w:t>
      </w:r>
    </w:p>
    <w:p>
      <w:pPr>
        <w:widowControl w:val="0"/>
        <w:suppressAutoHyphens/>
        <w:autoSpaceDE w:val="0"/>
        <w:spacing w:after="0" w:line="240" w:lineRule="auto"/>
        <w:rPr>
          <w:rFonts w:ascii="Times New Roman" w:eastAsia="Times New Roman" w:hAnsi="Times New Roman"/>
          <w:highlight w:val="lightGray"/>
          <w:lang w:val="it-IT" w:eastAsia="ar-SA"/>
        </w:rPr>
      </w:pPr>
      <w:r>
        <w:rPr>
          <w:rFonts w:ascii="Times New Roman" w:eastAsia="Times New Roman" w:hAnsi="Times New Roman"/>
          <w:highlight w:val="lightGray"/>
          <w:lang w:val="it-IT" w:eastAsia="ar-SA"/>
        </w:rPr>
        <w:t>60 compresse rivestite con film: EU/1/09/556/010</w:t>
      </w:r>
    </w:p>
    <w:p>
      <w:pPr>
        <w:widowControl w:val="0"/>
        <w:suppressAutoHyphens/>
        <w:autoSpaceDE w:val="0"/>
        <w:spacing w:after="0" w:line="240" w:lineRule="auto"/>
        <w:rPr>
          <w:rFonts w:ascii="Times New Roman" w:eastAsia="Times New Roman" w:hAnsi="Times New Roman"/>
          <w:highlight w:val="lightGray"/>
          <w:shd w:val="clear" w:color="auto" w:fill="CCCCCC"/>
          <w:lang w:val="it-IT" w:eastAsia="ar-SA"/>
        </w:rPr>
      </w:pPr>
      <w:r>
        <w:rPr>
          <w:rFonts w:ascii="Times New Roman" w:eastAsia="Times New Roman" w:hAnsi="Times New Roman"/>
          <w:highlight w:val="lightGray"/>
          <w:lang w:val="it-IT" w:eastAsia="ar-SA"/>
        </w:rPr>
        <w:t>84 compresse rivestite con film: EU/1/09/556/007</w:t>
      </w:r>
    </w:p>
    <w:p>
      <w:pPr>
        <w:widowControl w:val="0"/>
        <w:suppressAutoHyphens/>
        <w:autoSpaceDE w:val="0"/>
        <w:spacing w:after="0" w:line="240" w:lineRule="auto"/>
        <w:rPr>
          <w:rFonts w:ascii="Times New Roman" w:eastAsia="Times New Roman" w:hAnsi="Times New Roman"/>
          <w:highlight w:val="lightGray"/>
          <w:shd w:val="clear" w:color="auto" w:fill="CCCCCC"/>
          <w:lang w:val="it-IT" w:eastAsia="ar-SA"/>
        </w:rPr>
      </w:pPr>
      <w:r>
        <w:rPr>
          <w:rFonts w:ascii="Times New Roman" w:eastAsia="Times New Roman" w:hAnsi="Times New Roman"/>
          <w:highlight w:val="lightGray"/>
          <w:lang w:val="it-IT" w:eastAsia="ar-SA"/>
        </w:rPr>
        <w:t>90 compresse rivestite con film: EU/1/09/556/008</w:t>
      </w:r>
    </w:p>
    <w:p>
      <w:pPr>
        <w:widowControl w:val="0"/>
        <w:suppressAutoHyphens/>
        <w:autoSpaceDE w:val="0"/>
        <w:spacing w:after="0" w:line="240" w:lineRule="auto"/>
        <w:rPr>
          <w:rFonts w:ascii="Times New Roman" w:eastAsia="Times New Roman" w:hAnsi="Times New Roman"/>
          <w:highlight w:val="lightGray"/>
          <w:shd w:val="clear" w:color="auto" w:fill="CCCCCC"/>
          <w:lang w:val="it-IT" w:eastAsia="ar-SA"/>
        </w:rPr>
      </w:pPr>
      <w:r>
        <w:rPr>
          <w:rFonts w:ascii="Times New Roman" w:eastAsia="Times New Roman" w:hAnsi="Times New Roman"/>
          <w:highlight w:val="lightGray"/>
          <w:lang w:val="it-IT" w:eastAsia="ar-SA"/>
        </w:rPr>
        <w:t>100 compresse rivestite con film: EU/1/09/556/009</w:t>
      </w:r>
    </w:p>
    <w:p>
      <w:pPr>
        <w:widowControl w:val="0"/>
        <w:suppressAutoHyphens/>
        <w:autoSpaceDE w:val="0"/>
        <w:spacing w:after="0" w:line="240" w:lineRule="auto"/>
        <w:rPr>
          <w:rFonts w:ascii="Times New Roman" w:eastAsia="Times New Roman" w:hAnsi="Times New Roman"/>
          <w:shd w:val="clear" w:color="auto" w:fill="CCCCCC"/>
          <w:lang w:val="it-IT" w:eastAsia="ar-SA"/>
        </w:rPr>
      </w:pPr>
      <w:r>
        <w:rPr>
          <w:rFonts w:ascii="Times New Roman" w:eastAsia="Times New Roman" w:hAnsi="Times New Roman"/>
          <w:highlight w:val="lightGray"/>
          <w:lang w:val="it-IT" w:eastAsia="ar-SA"/>
        </w:rPr>
        <w:t>112 compresse rivestite con film: EU/1/09/556/012</w:t>
      </w:r>
    </w:p>
    <w:p>
      <w:pPr>
        <w:widowControl w:val="0"/>
        <w:suppressAutoHyphens/>
        <w:autoSpaceDE w:val="0"/>
        <w:spacing w:after="0" w:line="240" w:lineRule="auto"/>
        <w:rPr>
          <w:rFonts w:ascii="Times New Roman" w:eastAsia="Times New Roman" w:hAnsi="Times New Roman"/>
          <w:shd w:val="clear" w:color="auto" w:fill="CCCCCC"/>
          <w:lang w:val="it-IT" w:eastAsia="ar-SA"/>
        </w:rPr>
      </w:pPr>
      <w:r>
        <w:rPr>
          <w:rFonts w:ascii="Times New Roman" w:eastAsia="Times New Roman" w:hAnsi="Times New Roman"/>
          <w:highlight w:val="lightGray"/>
          <w:lang w:val="it-IT" w:eastAsia="ar-SA"/>
        </w:rPr>
        <w:t>120 compresse rivestite con film: EU/1/09/556/011</w:t>
      </w:r>
    </w:p>
    <w:p>
      <w:pPr>
        <w:widowControl w:val="0"/>
        <w:suppressAutoHyphens/>
        <w:autoSpaceDE w:val="0"/>
        <w:spacing w:after="0" w:line="240" w:lineRule="auto"/>
        <w:rPr>
          <w:rFonts w:ascii="Times New Roman" w:eastAsia="Times New Roman" w:hAnsi="Times New Roman"/>
          <w:lang w:val="it-IT" w:eastAsia="ar-SA"/>
        </w:rPr>
      </w:pPr>
    </w:p>
    <w:p>
      <w:pPr>
        <w:widowControl w:val="0"/>
        <w:suppressAutoHyphens/>
        <w:autoSpaceDE w:val="0"/>
        <w:spacing w:after="0" w:line="240" w:lineRule="auto"/>
        <w:rPr>
          <w:rFonts w:ascii="Times New Roman" w:eastAsia="Times New Roman" w:hAnsi="Times New Roman"/>
          <w:lang w:val="it-IT" w:eastAsia="ar-SA"/>
        </w:rPr>
      </w:pPr>
    </w:p>
    <w:tbl>
      <w:tblPr>
        <w:tblW w:w="0" w:type="auto"/>
        <w:tblInd w:w="-30" w:type="dxa"/>
        <w:tblLayout w:type="fixed"/>
        <w:tblLook w:val="0000" w:firstRow="0" w:lastRow="0" w:firstColumn="0" w:lastColumn="0" w:noHBand="0" w:noVBand="0"/>
      </w:tblPr>
      <w:tblGrid>
        <w:gridCol w:w="9358"/>
      </w:tblGrid>
      <w:tr>
        <w:tc>
          <w:tcPr>
            <w:tcW w:w="9358" w:type="dxa"/>
            <w:tcBorders>
              <w:top w:val="single" w:sz="4" w:space="0" w:color="000000"/>
              <w:left w:val="single" w:sz="4" w:space="0" w:color="000000"/>
              <w:bottom w:val="single" w:sz="4" w:space="0" w:color="000000"/>
              <w:right w:val="single" w:sz="4" w:space="0" w:color="000000"/>
            </w:tcBorders>
          </w:tcPr>
          <w:p>
            <w:pPr>
              <w:widowControl w:val="0"/>
              <w:suppressAutoHyphens/>
              <w:autoSpaceDE w:val="0"/>
              <w:snapToGrid w:val="0"/>
              <w:spacing w:after="0" w:line="240" w:lineRule="auto"/>
              <w:rPr>
                <w:rFonts w:ascii="Times New Roman" w:eastAsia="Times New Roman" w:hAnsi="Times New Roman"/>
                <w:b/>
                <w:lang w:val="it-IT" w:eastAsia="ar-SA"/>
              </w:rPr>
            </w:pPr>
            <w:r>
              <w:rPr>
                <w:rFonts w:ascii="Times New Roman" w:eastAsia="Times New Roman" w:hAnsi="Times New Roman"/>
                <w:b/>
                <w:lang w:val="it-IT" w:eastAsia="ar-SA"/>
              </w:rPr>
              <w:t>13.</w:t>
            </w:r>
            <w:r>
              <w:rPr>
                <w:rFonts w:ascii="Times New Roman" w:eastAsia="Times New Roman" w:hAnsi="Times New Roman"/>
                <w:b/>
                <w:lang w:val="it-IT" w:eastAsia="ar-SA"/>
              </w:rPr>
              <w:tab/>
              <w:t>NUMERO DI LOTTO</w:t>
            </w:r>
          </w:p>
        </w:tc>
      </w:tr>
    </w:tbl>
    <w:p>
      <w:pPr>
        <w:widowControl w:val="0"/>
        <w:suppressAutoHyphens/>
        <w:autoSpaceDE w:val="0"/>
        <w:spacing w:after="0" w:line="240" w:lineRule="auto"/>
        <w:rPr>
          <w:rFonts w:ascii="Times New Roman" w:eastAsia="Times New Roman" w:hAnsi="Times New Roman"/>
          <w:lang w:val="it-IT" w:eastAsia="ar-SA"/>
        </w:rPr>
      </w:pPr>
    </w:p>
    <w:p>
      <w:pPr>
        <w:widowControl w:val="0"/>
        <w:suppressAutoHyphens/>
        <w:autoSpaceDE w:val="0"/>
        <w:spacing w:after="0" w:line="240" w:lineRule="auto"/>
        <w:rPr>
          <w:rFonts w:ascii="Times New Roman" w:eastAsia="Times New Roman" w:hAnsi="Times New Roman"/>
          <w:lang w:val="it-IT" w:eastAsia="ar-SA"/>
        </w:rPr>
      </w:pPr>
      <w:r>
        <w:rPr>
          <w:rFonts w:ascii="Times New Roman" w:eastAsia="Times New Roman" w:hAnsi="Times New Roman"/>
          <w:lang w:val="it-IT" w:eastAsia="ar-SA"/>
        </w:rPr>
        <w:t>Lot</w:t>
      </w:r>
    </w:p>
    <w:p>
      <w:pPr>
        <w:widowControl w:val="0"/>
        <w:suppressAutoHyphens/>
        <w:autoSpaceDE w:val="0"/>
        <w:spacing w:after="0" w:line="240" w:lineRule="auto"/>
        <w:rPr>
          <w:rFonts w:ascii="Times New Roman" w:eastAsia="Times New Roman" w:hAnsi="Times New Roman"/>
          <w:lang w:val="it-IT" w:eastAsia="ar-SA"/>
        </w:rPr>
      </w:pPr>
    </w:p>
    <w:p>
      <w:pPr>
        <w:widowControl w:val="0"/>
        <w:suppressAutoHyphens/>
        <w:autoSpaceDE w:val="0"/>
        <w:spacing w:after="0" w:line="240" w:lineRule="auto"/>
        <w:rPr>
          <w:rFonts w:ascii="Times New Roman" w:eastAsia="Times New Roman" w:hAnsi="Times New Roman"/>
          <w:lang w:val="it-IT" w:eastAsia="ar-SA"/>
        </w:rPr>
      </w:pPr>
    </w:p>
    <w:tbl>
      <w:tblPr>
        <w:tblW w:w="0" w:type="auto"/>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58"/>
      </w:tblGrid>
      <w:tr>
        <w:tc>
          <w:tcPr>
            <w:tcW w:w="9358" w:type="dxa"/>
          </w:tcPr>
          <w:p>
            <w:pPr>
              <w:widowControl w:val="0"/>
              <w:suppressAutoHyphens/>
              <w:autoSpaceDE w:val="0"/>
              <w:snapToGrid w:val="0"/>
              <w:spacing w:after="0" w:line="240" w:lineRule="auto"/>
              <w:rPr>
                <w:rFonts w:ascii="Times New Roman" w:eastAsia="Times New Roman" w:hAnsi="Times New Roman"/>
                <w:b/>
                <w:lang w:val="it-IT" w:eastAsia="ar-SA"/>
              </w:rPr>
            </w:pPr>
            <w:r>
              <w:rPr>
                <w:rFonts w:ascii="Times New Roman" w:eastAsia="Times New Roman" w:hAnsi="Times New Roman"/>
                <w:b/>
                <w:lang w:val="it-IT" w:eastAsia="ar-SA"/>
              </w:rPr>
              <w:t>14.</w:t>
            </w:r>
            <w:r>
              <w:rPr>
                <w:rFonts w:ascii="Times New Roman" w:eastAsia="Times New Roman" w:hAnsi="Times New Roman"/>
                <w:b/>
                <w:lang w:val="it-IT" w:eastAsia="ar-SA"/>
              </w:rPr>
              <w:tab/>
              <w:t>CONDIZIONE GENERALE DI FORNITURA</w:t>
            </w:r>
          </w:p>
        </w:tc>
      </w:tr>
    </w:tbl>
    <w:p>
      <w:pPr>
        <w:widowControl w:val="0"/>
        <w:suppressAutoHyphens/>
        <w:autoSpaceDE w:val="0"/>
        <w:spacing w:after="0" w:line="240" w:lineRule="auto"/>
        <w:rPr>
          <w:rFonts w:ascii="Times New Roman" w:eastAsia="Times New Roman" w:hAnsi="Times New Roman"/>
          <w:lang w:val="it-IT" w:eastAsia="ar-SA"/>
        </w:rPr>
      </w:pPr>
    </w:p>
    <w:p>
      <w:pPr>
        <w:widowControl w:val="0"/>
        <w:suppressAutoHyphens/>
        <w:autoSpaceDE w:val="0"/>
        <w:spacing w:after="0" w:line="240" w:lineRule="auto"/>
        <w:rPr>
          <w:rFonts w:ascii="Times New Roman" w:eastAsia="Times New Roman" w:hAnsi="Times New Roman"/>
          <w:lang w:val="it-IT" w:eastAsia="ar-SA"/>
        </w:rPr>
      </w:pPr>
    </w:p>
    <w:tbl>
      <w:tblPr>
        <w:tblW w:w="0" w:type="auto"/>
        <w:tblInd w:w="-30" w:type="dxa"/>
        <w:tblLayout w:type="fixed"/>
        <w:tblLook w:val="0000" w:firstRow="0" w:lastRow="0" w:firstColumn="0" w:lastColumn="0" w:noHBand="0" w:noVBand="0"/>
      </w:tblPr>
      <w:tblGrid>
        <w:gridCol w:w="9358"/>
      </w:tblGrid>
      <w:tr>
        <w:tc>
          <w:tcPr>
            <w:tcW w:w="9358" w:type="dxa"/>
            <w:tcBorders>
              <w:top w:val="single" w:sz="4" w:space="0" w:color="000000"/>
              <w:left w:val="single" w:sz="4" w:space="0" w:color="000000"/>
              <w:bottom w:val="single" w:sz="4" w:space="0" w:color="000000"/>
              <w:right w:val="single" w:sz="4" w:space="0" w:color="000000"/>
            </w:tcBorders>
          </w:tcPr>
          <w:p>
            <w:pPr>
              <w:widowControl w:val="0"/>
              <w:suppressAutoHyphens/>
              <w:autoSpaceDE w:val="0"/>
              <w:snapToGrid w:val="0"/>
              <w:spacing w:after="0" w:line="240" w:lineRule="auto"/>
              <w:rPr>
                <w:rFonts w:ascii="Times New Roman" w:eastAsia="Times New Roman" w:hAnsi="Times New Roman"/>
                <w:b/>
                <w:lang w:val="it-IT" w:eastAsia="ar-SA"/>
              </w:rPr>
            </w:pPr>
            <w:r>
              <w:rPr>
                <w:rFonts w:ascii="Times New Roman" w:eastAsia="Times New Roman" w:hAnsi="Times New Roman"/>
                <w:b/>
                <w:lang w:val="it-IT" w:eastAsia="ar-SA"/>
              </w:rPr>
              <w:t>15.</w:t>
            </w:r>
            <w:r>
              <w:rPr>
                <w:rFonts w:ascii="Times New Roman" w:eastAsia="Times New Roman" w:hAnsi="Times New Roman"/>
                <w:b/>
                <w:lang w:val="it-IT" w:eastAsia="ar-SA"/>
              </w:rPr>
              <w:tab/>
              <w:t>ISTRUZIONI PER L’USO</w:t>
            </w:r>
          </w:p>
        </w:tc>
      </w:tr>
    </w:tbl>
    <w:p>
      <w:pPr>
        <w:widowControl w:val="0"/>
        <w:suppressAutoHyphens/>
        <w:autoSpaceDE w:val="0"/>
        <w:spacing w:after="0" w:line="240" w:lineRule="auto"/>
        <w:rPr>
          <w:rFonts w:ascii="Times New Roman" w:eastAsia="Times New Roman" w:hAnsi="Times New Roman"/>
          <w:lang w:val="it-IT" w:eastAsia="ar-SA"/>
        </w:rPr>
      </w:pPr>
    </w:p>
    <w:p>
      <w:pPr>
        <w:widowControl w:val="0"/>
        <w:suppressAutoHyphens/>
        <w:autoSpaceDE w:val="0"/>
        <w:spacing w:after="0" w:line="240" w:lineRule="auto"/>
        <w:rPr>
          <w:rFonts w:ascii="Times New Roman" w:eastAsia="Times New Roman" w:hAnsi="Times New Roman"/>
          <w:b/>
          <w:lang w:val="it-IT" w:eastAsia="ar-SA"/>
        </w:rPr>
      </w:pPr>
    </w:p>
    <w:tbl>
      <w:tblPr>
        <w:tblW w:w="0" w:type="auto"/>
        <w:tblInd w:w="-30" w:type="dxa"/>
        <w:tblLayout w:type="fixed"/>
        <w:tblLook w:val="0000" w:firstRow="0" w:lastRow="0" w:firstColumn="0" w:lastColumn="0" w:noHBand="0" w:noVBand="0"/>
      </w:tblPr>
      <w:tblGrid>
        <w:gridCol w:w="9358"/>
      </w:tblGrid>
      <w:tr>
        <w:tc>
          <w:tcPr>
            <w:tcW w:w="9358" w:type="dxa"/>
            <w:tcBorders>
              <w:top w:val="single" w:sz="4" w:space="0" w:color="000000"/>
              <w:left w:val="single" w:sz="4" w:space="0" w:color="000000"/>
              <w:bottom w:val="single" w:sz="4" w:space="0" w:color="000000"/>
              <w:right w:val="single" w:sz="4" w:space="0" w:color="000000"/>
            </w:tcBorders>
          </w:tcPr>
          <w:p>
            <w:pPr>
              <w:widowControl w:val="0"/>
              <w:suppressAutoHyphens/>
              <w:autoSpaceDE w:val="0"/>
              <w:snapToGrid w:val="0"/>
              <w:spacing w:after="0" w:line="240" w:lineRule="auto"/>
              <w:rPr>
                <w:rFonts w:ascii="Times New Roman" w:eastAsia="Times New Roman" w:hAnsi="Times New Roman"/>
                <w:b/>
                <w:lang w:val="it-IT" w:eastAsia="ar-SA"/>
              </w:rPr>
            </w:pPr>
            <w:r>
              <w:rPr>
                <w:rFonts w:ascii="Times New Roman" w:eastAsia="Times New Roman" w:hAnsi="Times New Roman"/>
                <w:b/>
                <w:lang w:val="it-IT" w:eastAsia="ar-SA"/>
              </w:rPr>
              <w:t>16.</w:t>
            </w:r>
            <w:r>
              <w:rPr>
                <w:rFonts w:ascii="Times New Roman" w:eastAsia="Times New Roman" w:hAnsi="Times New Roman"/>
                <w:b/>
                <w:lang w:val="it-IT" w:eastAsia="ar-SA"/>
              </w:rPr>
              <w:tab/>
              <w:t>INFORMAZIONI IN BRAILLE</w:t>
            </w:r>
          </w:p>
        </w:tc>
      </w:tr>
    </w:tbl>
    <w:p>
      <w:pPr>
        <w:widowControl w:val="0"/>
        <w:suppressAutoHyphens/>
        <w:autoSpaceDE w:val="0"/>
        <w:spacing w:after="0" w:line="240" w:lineRule="auto"/>
        <w:rPr>
          <w:rFonts w:ascii="Times New Roman" w:eastAsia="Times New Roman" w:hAnsi="Times New Roman"/>
          <w:lang w:val="it-IT" w:eastAsia="ar-SA"/>
        </w:rPr>
      </w:pPr>
    </w:p>
    <w:p>
      <w:pPr>
        <w:widowControl w:val="0"/>
        <w:suppressAutoHyphens/>
        <w:autoSpaceDE w:val="0"/>
        <w:spacing w:after="0" w:line="240" w:lineRule="auto"/>
        <w:rPr>
          <w:rFonts w:ascii="Times New Roman" w:eastAsia="Times New Roman" w:hAnsi="Times New Roman"/>
          <w:lang w:val="it-IT" w:eastAsia="ar-SA"/>
        </w:rPr>
      </w:pPr>
      <w:r>
        <w:rPr>
          <w:rFonts w:ascii="Times New Roman" w:eastAsia="Times New Roman" w:hAnsi="Times New Roman"/>
          <w:lang w:val="it-IT" w:eastAsia="ar-SA"/>
        </w:rPr>
        <w:t>Clopidogrel Krka 75 mg</w:t>
      </w:r>
    </w:p>
    <w:p>
      <w:pPr>
        <w:widowControl w:val="0"/>
        <w:suppressAutoHyphens/>
        <w:autoSpaceDE w:val="0"/>
        <w:spacing w:after="0" w:line="240" w:lineRule="auto"/>
        <w:rPr>
          <w:rFonts w:ascii="Times New Roman" w:eastAsia="Times New Roman" w:hAnsi="Times New Roman"/>
          <w:lang w:val="it-IT" w:eastAsia="ar-SA"/>
        </w:rPr>
      </w:pPr>
    </w:p>
    <w:p>
      <w:pPr>
        <w:widowControl w:val="0"/>
        <w:suppressAutoHyphens/>
        <w:autoSpaceDE w:val="0"/>
        <w:spacing w:after="0" w:line="240" w:lineRule="auto"/>
        <w:rPr>
          <w:rFonts w:ascii="Times New Roman" w:eastAsia="Times New Roman" w:hAnsi="Times New Roman"/>
          <w:lang w:val="it-IT" w:eastAsia="ar-SA"/>
        </w:rPr>
      </w:pPr>
    </w:p>
    <w:p>
      <w:pPr>
        <w:widowControl w:val="0"/>
        <w:suppressAutoHyphens/>
        <w:autoSpaceDE w:val="0"/>
        <w:spacing w:after="0" w:line="240" w:lineRule="auto"/>
        <w:rPr>
          <w:rFonts w:ascii="Times New Roman" w:eastAsia="Times New Roman" w:hAnsi="Times New Roman"/>
          <w:lang w:val="it-IT" w:eastAsia="ar-SA"/>
        </w:rPr>
      </w:pPr>
    </w:p>
    <w:p>
      <w:pPr>
        <w:widowControl w:val="0"/>
        <w:suppressAutoHyphens/>
        <w:autoSpaceDE w:val="0"/>
        <w:spacing w:after="0" w:line="240" w:lineRule="auto"/>
        <w:rPr>
          <w:rFonts w:ascii="Times New Roman" w:eastAsia="Times New Roman" w:hAnsi="Times New Roman"/>
          <w:lang w:val="it-IT" w:eastAsia="ar-SA"/>
        </w:rPr>
      </w:pPr>
    </w:p>
    <w:p>
      <w:pPr>
        <w:widowControl w:val="0"/>
        <w:suppressAutoHyphens/>
        <w:autoSpaceDE w:val="0"/>
        <w:spacing w:after="0" w:line="240" w:lineRule="auto"/>
        <w:rPr>
          <w:rFonts w:ascii="Times New Roman" w:eastAsia="Times New Roman" w:hAnsi="Times New Roman"/>
          <w:lang w:val="it-IT" w:eastAsia="ar-SA"/>
        </w:rPr>
      </w:pPr>
    </w:p>
    <w:p>
      <w:pPr>
        <w:widowControl w:val="0"/>
        <w:suppressAutoHyphens/>
        <w:autoSpaceDE w:val="0"/>
        <w:spacing w:after="0" w:line="240" w:lineRule="auto"/>
        <w:rPr>
          <w:rFonts w:ascii="Times New Roman" w:eastAsia="Times New Roman" w:hAnsi="Times New Roman"/>
          <w:lang w:val="it-IT" w:eastAsia="ar-SA"/>
        </w:rPr>
      </w:pPr>
    </w:p>
    <w:p>
      <w:pPr>
        <w:keepNext/>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i/>
          <w:noProof/>
          <w:lang w:val="it-IT"/>
        </w:rPr>
      </w:pPr>
      <w:r>
        <w:rPr>
          <w:rFonts w:ascii="Times New Roman" w:hAnsi="Times New Roman"/>
          <w:b/>
          <w:noProof/>
          <w:lang w:val="it-IT"/>
        </w:rPr>
        <w:t>17.</w:t>
      </w:r>
      <w:r>
        <w:rPr>
          <w:rFonts w:ascii="Times New Roman" w:hAnsi="Times New Roman"/>
          <w:b/>
          <w:noProof/>
          <w:lang w:val="it-IT"/>
        </w:rPr>
        <w:tab/>
        <w:t>IDENTIFICATIVO UNICO – CODICE A BARRE BIDIMENSIONALE</w:t>
      </w:r>
    </w:p>
    <w:p>
      <w:pPr>
        <w:spacing w:line="240" w:lineRule="auto"/>
        <w:rPr>
          <w:rFonts w:ascii="Times New Roman" w:hAnsi="Times New Roman"/>
          <w:noProof/>
          <w:highlight w:val="lightGray"/>
          <w:lang w:val="it-IT"/>
        </w:rPr>
      </w:pPr>
    </w:p>
    <w:p>
      <w:pPr>
        <w:spacing w:after="0" w:line="240" w:lineRule="auto"/>
        <w:rPr>
          <w:rFonts w:ascii="Times New Roman" w:hAnsi="Times New Roman"/>
          <w:noProof/>
          <w:highlight w:val="lightGray"/>
          <w:lang w:val="it-IT"/>
        </w:rPr>
      </w:pPr>
      <w:r>
        <w:rPr>
          <w:rFonts w:ascii="Times New Roman" w:hAnsi="Times New Roman"/>
          <w:noProof/>
          <w:highlight w:val="lightGray"/>
          <w:lang w:val="it-IT"/>
        </w:rPr>
        <w:t>Codice a barre bidimensionale con identificativo unico incluso.</w:t>
      </w:r>
    </w:p>
    <w:p>
      <w:pPr>
        <w:spacing w:after="0" w:line="240" w:lineRule="auto"/>
        <w:rPr>
          <w:rFonts w:ascii="Times New Roman" w:hAnsi="Times New Roman"/>
          <w:noProof/>
          <w:highlight w:val="lightGray"/>
          <w:shd w:val="clear" w:color="auto" w:fill="CCCCCC"/>
          <w:lang w:val="it-IT"/>
        </w:rPr>
      </w:pPr>
    </w:p>
    <w:p>
      <w:pPr>
        <w:tabs>
          <w:tab w:val="left" w:pos="720"/>
        </w:tabs>
        <w:spacing w:line="240" w:lineRule="auto"/>
        <w:rPr>
          <w:rFonts w:ascii="Times New Roman" w:hAnsi="Times New Roman"/>
          <w:noProof/>
          <w:lang w:val="it-IT"/>
        </w:rPr>
      </w:pPr>
    </w:p>
    <w:p>
      <w:pPr>
        <w:keepNext/>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i/>
          <w:noProof/>
          <w:lang w:val="it-IT"/>
        </w:rPr>
      </w:pPr>
      <w:r>
        <w:rPr>
          <w:rFonts w:ascii="Times New Roman" w:hAnsi="Times New Roman"/>
          <w:b/>
          <w:noProof/>
          <w:lang w:val="it-IT"/>
        </w:rPr>
        <w:t>18.</w:t>
      </w:r>
      <w:r>
        <w:rPr>
          <w:rFonts w:ascii="Times New Roman" w:hAnsi="Times New Roman"/>
          <w:b/>
          <w:noProof/>
          <w:lang w:val="it-IT"/>
        </w:rPr>
        <w:tab/>
        <w:t>IDENTIFICATIVO UNICO - DATI RESI LEGGIBILI</w:t>
      </w:r>
    </w:p>
    <w:p>
      <w:pPr>
        <w:tabs>
          <w:tab w:val="left" w:pos="720"/>
        </w:tabs>
        <w:spacing w:after="0" w:line="240" w:lineRule="auto"/>
        <w:rPr>
          <w:rFonts w:ascii="Times New Roman" w:hAnsi="Times New Roman"/>
          <w:noProof/>
          <w:lang w:val="it-IT"/>
        </w:rPr>
      </w:pPr>
    </w:p>
    <w:p>
      <w:pPr>
        <w:spacing w:after="0" w:line="240" w:lineRule="auto"/>
        <w:rPr>
          <w:rFonts w:ascii="Times New Roman" w:hAnsi="Times New Roman"/>
          <w:lang w:val="it-IT"/>
        </w:rPr>
      </w:pPr>
      <w:r>
        <w:rPr>
          <w:rFonts w:ascii="Times New Roman" w:hAnsi="Times New Roman"/>
          <w:lang w:val="it-IT"/>
        </w:rPr>
        <w:t>PC</w:t>
      </w:r>
    </w:p>
    <w:p>
      <w:pPr>
        <w:widowControl w:val="0"/>
        <w:spacing w:after="0" w:line="240" w:lineRule="auto"/>
        <w:rPr>
          <w:rFonts w:ascii="Times New Roman" w:hAnsi="Times New Roman"/>
          <w:lang w:val="it-IT"/>
        </w:rPr>
      </w:pPr>
      <w:r>
        <w:rPr>
          <w:rFonts w:ascii="Times New Roman" w:hAnsi="Times New Roman"/>
          <w:lang w:val="it-IT"/>
        </w:rPr>
        <w:t xml:space="preserve">SN </w:t>
      </w:r>
    </w:p>
    <w:p>
      <w:pPr>
        <w:widowControl w:val="0"/>
        <w:spacing w:after="0" w:line="240" w:lineRule="auto"/>
        <w:rPr>
          <w:rFonts w:ascii="Times New Roman" w:hAnsi="Times New Roman"/>
          <w:lang w:val="it-IT"/>
        </w:rPr>
      </w:pPr>
      <w:r>
        <w:rPr>
          <w:rFonts w:ascii="Times New Roman" w:hAnsi="Times New Roman"/>
          <w:lang w:val="it-IT"/>
        </w:rPr>
        <w:t>NN</w:t>
      </w:r>
    </w:p>
    <w:p>
      <w:pPr>
        <w:widowControl w:val="0"/>
        <w:suppressAutoHyphens/>
        <w:autoSpaceDE w:val="0"/>
        <w:spacing w:after="0" w:line="240" w:lineRule="auto"/>
        <w:rPr>
          <w:rFonts w:ascii="Times New Roman" w:eastAsia="Times New Roman" w:hAnsi="Times New Roman"/>
          <w:lang w:val="it-IT" w:eastAsia="ar-SA"/>
        </w:rPr>
      </w:pPr>
    </w:p>
    <w:p>
      <w:pPr>
        <w:widowControl w:val="0"/>
        <w:suppressAutoHyphens/>
        <w:autoSpaceDE w:val="0"/>
        <w:spacing w:after="0" w:line="240" w:lineRule="auto"/>
        <w:rPr>
          <w:rFonts w:ascii="Times New Roman" w:eastAsia="Times New Roman" w:hAnsi="Times New Roman"/>
          <w:lang w:val="it-IT" w:eastAsia="ar-SA"/>
        </w:rPr>
      </w:pPr>
    </w:p>
    <w:p>
      <w:pPr>
        <w:pageBreakBefore/>
        <w:widowControl w:val="0"/>
        <w:suppressAutoHyphens/>
        <w:autoSpaceDE w:val="0"/>
        <w:spacing w:after="0" w:line="240" w:lineRule="auto"/>
        <w:rPr>
          <w:rFonts w:ascii="Times New Roman" w:eastAsia="Times New Roman" w:hAnsi="Times New Roman"/>
          <w:b/>
          <w:lang w:val="it-IT" w:eastAsia="ar-SA"/>
        </w:rPr>
      </w:pPr>
    </w:p>
    <w:tbl>
      <w:tblPr>
        <w:tblW w:w="0" w:type="auto"/>
        <w:tblInd w:w="-30" w:type="dxa"/>
        <w:tblLayout w:type="fixed"/>
        <w:tblLook w:val="0000" w:firstRow="0" w:lastRow="0" w:firstColumn="0" w:lastColumn="0" w:noHBand="0" w:noVBand="0"/>
      </w:tblPr>
      <w:tblGrid>
        <w:gridCol w:w="9358"/>
      </w:tblGrid>
      <w:tr>
        <w:tc>
          <w:tcPr>
            <w:tcW w:w="9358" w:type="dxa"/>
            <w:tcBorders>
              <w:top w:val="single" w:sz="4" w:space="0" w:color="000000"/>
              <w:left w:val="single" w:sz="4" w:space="0" w:color="000000"/>
              <w:bottom w:val="single" w:sz="4" w:space="0" w:color="000000"/>
              <w:right w:val="single" w:sz="4" w:space="0" w:color="000000"/>
            </w:tcBorders>
          </w:tcPr>
          <w:p>
            <w:pPr>
              <w:widowControl w:val="0"/>
              <w:suppressAutoHyphens/>
              <w:autoSpaceDE w:val="0"/>
              <w:snapToGrid w:val="0"/>
              <w:spacing w:after="0" w:line="240" w:lineRule="auto"/>
              <w:rPr>
                <w:rFonts w:ascii="Times New Roman" w:eastAsia="Times New Roman" w:hAnsi="Times New Roman"/>
                <w:b/>
                <w:lang w:val="it-IT" w:eastAsia="ar-SA"/>
              </w:rPr>
            </w:pPr>
            <w:r>
              <w:rPr>
                <w:rFonts w:ascii="Times New Roman" w:eastAsia="Times New Roman" w:hAnsi="Times New Roman"/>
                <w:b/>
                <w:lang w:val="it-IT" w:eastAsia="ar-SA"/>
              </w:rPr>
              <w:t>INFORMAZIONI MINIME DA APPORRE SU BLISTER O STRIP</w:t>
            </w:r>
          </w:p>
          <w:p>
            <w:pPr>
              <w:widowControl w:val="0"/>
              <w:suppressAutoHyphens/>
              <w:autoSpaceDE w:val="0"/>
              <w:spacing w:after="0" w:line="240" w:lineRule="auto"/>
              <w:rPr>
                <w:rFonts w:ascii="Times New Roman" w:eastAsia="Times New Roman" w:hAnsi="Times New Roman"/>
                <w:b/>
                <w:lang w:val="it-IT" w:eastAsia="ar-SA"/>
              </w:rPr>
            </w:pPr>
          </w:p>
          <w:p>
            <w:pPr>
              <w:widowControl w:val="0"/>
              <w:suppressAutoHyphens/>
              <w:autoSpaceDE w:val="0"/>
              <w:spacing w:after="0" w:line="240" w:lineRule="auto"/>
              <w:rPr>
                <w:rFonts w:ascii="Times New Roman" w:eastAsia="Times New Roman" w:hAnsi="Times New Roman"/>
                <w:b/>
                <w:lang w:val="it-IT" w:eastAsia="ar-SA"/>
              </w:rPr>
            </w:pPr>
            <w:r>
              <w:rPr>
                <w:rFonts w:ascii="Times New Roman" w:eastAsia="Times New Roman" w:hAnsi="Times New Roman"/>
                <w:b/>
                <w:lang w:val="it-IT" w:eastAsia="ar-SA"/>
              </w:rPr>
              <w:t>BLISTER</w:t>
            </w:r>
          </w:p>
        </w:tc>
      </w:tr>
    </w:tbl>
    <w:p>
      <w:pPr>
        <w:widowControl w:val="0"/>
        <w:suppressAutoHyphens/>
        <w:autoSpaceDE w:val="0"/>
        <w:spacing w:after="0" w:line="240" w:lineRule="auto"/>
        <w:rPr>
          <w:rFonts w:ascii="Times New Roman" w:eastAsia="Times New Roman" w:hAnsi="Times New Roman"/>
          <w:lang w:val="it-IT" w:eastAsia="ar-SA"/>
        </w:rPr>
      </w:pPr>
    </w:p>
    <w:p>
      <w:pPr>
        <w:widowControl w:val="0"/>
        <w:suppressAutoHyphens/>
        <w:autoSpaceDE w:val="0"/>
        <w:spacing w:after="0" w:line="240" w:lineRule="auto"/>
        <w:rPr>
          <w:rFonts w:ascii="Times New Roman" w:eastAsia="Times New Roman" w:hAnsi="Times New Roman"/>
          <w:lang w:val="it-IT" w:eastAsia="ar-SA"/>
        </w:rPr>
      </w:pPr>
    </w:p>
    <w:tbl>
      <w:tblPr>
        <w:tblW w:w="0" w:type="auto"/>
        <w:tblInd w:w="-30" w:type="dxa"/>
        <w:tblLayout w:type="fixed"/>
        <w:tblLook w:val="0000" w:firstRow="0" w:lastRow="0" w:firstColumn="0" w:lastColumn="0" w:noHBand="0" w:noVBand="0"/>
      </w:tblPr>
      <w:tblGrid>
        <w:gridCol w:w="9358"/>
      </w:tblGrid>
      <w:tr>
        <w:tc>
          <w:tcPr>
            <w:tcW w:w="9358" w:type="dxa"/>
            <w:tcBorders>
              <w:top w:val="single" w:sz="4" w:space="0" w:color="000000"/>
              <w:left w:val="single" w:sz="4" w:space="0" w:color="000000"/>
              <w:bottom w:val="single" w:sz="4" w:space="0" w:color="000000"/>
              <w:right w:val="single" w:sz="4" w:space="0" w:color="000000"/>
            </w:tcBorders>
          </w:tcPr>
          <w:p>
            <w:pPr>
              <w:widowControl w:val="0"/>
              <w:suppressAutoHyphens/>
              <w:autoSpaceDE w:val="0"/>
              <w:snapToGrid w:val="0"/>
              <w:spacing w:after="0" w:line="240" w:lineRule="auto"/>
              <w:rPr>
                <w:rFonts w:ascii="Times New Roman" w:eastAsia="Times New Roman" w:hAnsi="Times New Roman"/>
                <w:b/>
                <w:lang w:val="it-IT" w:eastAsia="ar-SA"/>
              </w:rPr>
            </w:pPr>
            <w:r>
              <w:rPr>
                <w:rFonts w:ascii="Times New Roman" w:eastAsia="Times New Roman" w:hAnsi="Times New Roman"/>
                <w:b/>
                <w:lang w:val="it-IT" w:eastAsia="ar-SA"/>
              </w:rPr>
              <w:t>1.</w:t>
            </w:r>
            <w:r>
              <w:rPr>
                <w:rFonts w:ascii="Times New Roman" w:eastAsia="Times New Roman" w:hAnsi="Times New Roman"/>
                <w:b/>
                <w:lang w:val="it-IT" w:eastAsia="ar-SA"/>
              </w:rPr>
              <w:tab/>
              <w:t>DENOMINAZIONE DEL MEDICINALE</w:t>
            </w:r>
          </w:p>
        </w:tc>
      </w:tr>
    </w:tbl>
    <w:p>
      <w:pPr>
        <w:widowControl w:val="0"/>
        <w:suppressAutoHyphens/>
        <w:autoSpaceDE w:val="0"/>
        <w:spacing w:after="0" w:line="240" w:lineRule="auto"/>
        <w:rPr>
          <w:rFonts w:ascii="Times New Roman" w:eastAsia="Times New Roman" w:hAnsi="Times New Roman"/>
          <w:lang w:val="it-IT" w:eastAsia="ar-SA"/>
        </w:rPr>
      </w:pPr>
    </w:p>
    <w:p>
      <w:pPr>
        <w:widowControl w:val="0"/>
        <w:suppressAutoHyphens/>
        <w:autoSpaceDE w:val="0"/>
        <w:spacing w:after="0" w:line="240" w:lineRule="auto"/>
        <w:rPr>
          <w:rFonts w:ascii="Times New Roman" w:eastAsia="Times New Roman" w:hAnsi="Times New Roman"/>
          <w:lang w:val="it-IT" w:eastAsia="ar-SA"/>
        </w:rPr>
      </w:pPr>
      <w:r>
        <w:rPr>
          <w:rFonts w:ascii="Times New Roman" w:eastAsia="Times New Roman" w:hAnsi="Times New Roman"/>
          <w:lang w:val="it-IT" w:eastAsia="ar-SA"/>
        </w:rPr>
        <w:t>Clopidogrel Krka 75 mg compresse rivestite con film</w:t>
      </w:r>
    </w:p>
    <w:p>
      <w:pPr>
        <w:widowControl w:val="0"/>
        <w:suppressAutoHyphens/>
        <w:autoSpaceDE w:val="0"/>
        <w:spacing w:after="0" w:line="240" w:lineRule="auto"/>
        <w:rPr>
          <w:rFonts w:ascii="Times New Roman" w:eastAsia="Times New Roman" w:hAnsi="Times New Roman"/>
          <w:lang w:val="it-IT" w:eastAsia="ar-SA"/>
        </w:rPr>
      </w:pPr>
    </w:p>
    <w:p>
      <w:pPr>
        <w:widowControl w:val="0"/>
        <w:suppressAutoHyphens/>
        <w:autoSpaceDE w:val="0"/>
        <w:spacing w:after="0" w:line="240" w:lineRule="auto"/>
        <w:rPr>
          <w:rFonts w:ascii="Times New Roman" w:eastAsia="Times New Roman" w:hAnsi="Times New Roman"/>
          <w:lang w:val="it-IT" w:eastAsia="ar-SA"/>
        </w:rPr>
      </w:pPr>
      <w:r>
        <w:rPr>
          <w:rFonts w:ascii="Times New Roman" w:eastAsia="Times New Roman" w:hAnsi="Times New Roman"/>
          <w:lang w:val="it-IT" w:eastAsia="ar-SA"/>
        </w:rPr>
        <w:t>clopidogrel</w:t>
      </w:r>
    </w:p>
    <w:p>
      <w:pPr>
        <w:widowControl w:val="0"/>
        <w:suppressAutoHyphens/>
        <w:autoSpaceDE w:val="0"/>
        <w:spacing w:after="0" w:line="240" w:lineRule="auto"/>
        <w:rPr>
          <w:rFonts w:ascii="Times New Roman" w:eastAsia="Times New Roman" w:hAnsi="Times New Roman"/>
          <w:lang w:val="it-IT" w:eastAsia="ar-SA"/>
        </w:rPr>
      </w:pPr>
    </w:p>
    <w:p>
      <w:pPr>
        <w:widowControl w:val="0"/>
        <w:suppressAutoHyphens/>
        <w:autoSpaceDE w:val="0"/>
        <w:spacing w:after="0" w:line="240" w:lineRule="auto"/>
        <w:rPr>
          <w:rFonts w:ascii="Times New Roman" w:eastAsia="Times New Roman" w:hAnsi="Times New Roman"/>
          <w:lang w:val="it-IT" w:eastAsia="ar-SA"/>
        </w:rPr>
      </w:pPr>
    </w:p>
    <w:tbl>
      <w:tblPr>
        <w:tblW w:w="0" w:type="auto"/>
        <w:tblInd w:w="-30" w:type="dxa"/>
        <w:tblLayout w:type="fixed"/>
        <w:tblLook w:val="0000" w:firstRow="0" w:lastRow="0" w:firstColumn="0" w:lastColumn="0" w:noHBand="0" w:noVBand="0"/>
      </w:tblPr>
      <w:tblGrid>
        <w:gridCol w:w="9358"/>
      </w:tblGrid>
      <w:tr>
        <w:tc>
          <w:tcPr>
            <w:tcW w:w="9358" w:type="dxa"/>
            <w:tcBorders>
              <w:top w:val="single" w:sz="4" w:space="0" w:color="000000"/>
              <w:left w:val="single" w:sz="4" w:space="0" w:color="000000"/>
              <w:bottom w:val="single" w:sz="4" w:space="0" w:color="000000"/>
              <w:right w:val="single" w:sz="4" w:space="0" w:color="000000"/>
            </w:tcBorders>
          </w:tcPr>
          <w:p>
            <w:pPr>
              <w:widowControl w:val="0"/>
              <w:suppressAutoHyphens/>
              <w:autoSpaceDE w:val="0"/>
              <w:snapToGrid w:val="0"/>
              <w:spacing w:after="0" w:line="240" w:lineRule="auto"/>
              <w:ind w:left="587" w:hanging="587"/>
              <w:rPr>
                <w:rFonts w:ascii="Times New Roman" w:eastAsia="Times New Roman" w:hAnsi="Times New Roman"/>
                <w:b/>
                <w:lang w:val="it-IT" w:eastAsia="ar-SA"/>
              </w:rPr>
            </w:pPr>
            <w:r>
              <w:rPr>
                <w:rFonts w:ascii="Times New Roman" w:eastAsia="Times New Roman" w:hAnsi="Times New Roman"/>
                <w:b/>
                <w:lang w:val="it-IT" w:eastAsia="ar-SA"/>
              </w:rPr>
              <w:t>2.</w:t>
            </w:r>
            <w:r>
              <w:rPr>
                <w:rFonts w:ascii="Times New Roman" w:eastAsia="Times New Roman" w:hAnsi="Times New Roman"/>
                <w:b/>
                <w:lang w:val="it-IT" w:eastAsia="ar-SA"/>
              </w:rPr>
              <w:tab/>
              <w:t>NOME DEL TITOLARE DELL’AUTORIZZAZIONE ALL’IMMISSIONE IN COMMERCIO</w:t>
            </w:r>
          </w:p>
        </w:tc>
      </w:tr>
    </w:tbl>
    <w:p>
      <w:pPr>
        <w:widowControl w:val="0"/>
        <w:suppressAutoHyphens/>
        <w:autoSpaceDE w:val="0"/>
        <w:spacing w:after="0" w:line="240" w:lineRule="auto"/>
        <w:rPr>
          <w:rFonts w:ascii="Times New Roman" w:eastAsia="Times New Roman" w:hAnsi="Times New Roman"/>
          <w:lang w:val="it-IT" w:eastAsia="ar-SA"/>
        </w:rPr>
      </w:pPr>
    </w:p>
    <w:p>
      <w:pPr>
        <w:widowControl w:val="0"/>
        <w:suppressAutoHyphens/>
        <w:autoSpaceDE w:val="0"/>
        <w:spacing w:after="0" w:line="240" w:lineRule="auto"/>
        <w:rPr>
          <w:rFonts w:ascii="Times New Roman" w:eastAsia="Times New Roman" w:hAnsi="Times New Roman"/>
          <w:lang w:val="it-IT" w:eastAsia="ar-SA"/>
        </w:rPr>
      </w:pPr>
      <w:r>
        <w:rPr>
          <w:rFonts w:ascii="Times New Roman" w:eastAsia="Times New Roman" w:hAnsi="Times New Roman"/>
          <w:lang w:val="it-IT" w:eastAsia="ar-SA"/>
        </w:rPr>
        <w:t>KRKA</w:t>
      </w:r>
    </w:p>
    <w:p>
      <w:pPr>
        <w:widowControl w:val="0"/>
        <w:suppressAutoHyphens/>
        <w:autoSpaceDE w:val="0"/>
        <w:spacing w:after="0" w:line="240" w:lineRule="auto"/>
        <w:rPr>
          <w:rFonts w:ascii="Times New Roman" w:eastAsia="Times New Roman" w:hAnsi="Times New Roman"/>
          <w:lang w:val="it-IT" w:eastAsia="ar-SA"/>
        </w:rPr>
      </w:pPr>
    </w:p>
    <w:p>
      <w:pPr>
        <w:widowControl w:val="0"/>
        <w:suppressAutoHyphens/>
        <w:autoSpaceDE w:val="0"/>
        <w:spacing w:after="0" w:line="240" w:lineRule="auto"/>
        <w:rPr>
          <w:rFonts w:ascii="Times New Roman" w:eastAsia="Times New Roman" w:hAnsi="Times New Roman"/>
          <w:lang w:val="it-IT" w:eastAsia="ar-SA"/>
        </w:rPr>
      </w:pPr>
    </w:p>
    <w:tbl>
      <w:tblPr>
        <w:tblW w:w="0" w:type="auto"/>
        <w:tblInd w:w="-30" w:type="dxa"/>
        <w:tblLayout w:type="fixed"/>
        <w:tblLook w:val="0000" w:firstRow="0" w:lastRow="0" w:firstColumn="0" w:lastColumn="0" w:noHBand="0" w:noVBand="0"/>
      </w:tblPr>
      <w:tblGrid>
        <w:gridCol w:w="9358"/>
      </w:tblGrid>
      <w:tr>
        <w:tc>
          <w:tcPr>
            <w:tcW w:w="9358" w:type="dxa"/>
            <w:tcBorders>
              <w:top w:val="single" w:sz="4" w:space="0" w:color="000000"/>
              <w:left w:val="single" w:sz="4" w:space="0" w:color="000000"/>
              <w:bottom w:val="single" w:sz="4" w:space="0" w:color="000000"/>
              <w:right w:val="single" w:sz="4" w:space="0" w:color="000000"/>
            </w:tcBorders>
          </w:tcPr>
          <w:p>
            <w:pPr>
              <w:widowControl w:val="0"/>
              <w:suppressAutoHyphens/>
              <w:autoSpaceDE w:val="0"/>
              <w:snapToGrid w:val="0"/>
              <w:spacing w:after="0" w:line="240" w:lineRule="auto"/>
              <w:rPr>
                <w:rFonts w:ascii="Times New Roman" w:eastAsia="Times New Roman" w:hAnsi="Times New Roman"/>
                <w:b/>
                <w:lang w:val="it-IT" w:eastAsia="ar-SA"/>
              </w:rPr>
            </w:pPr>
            <w:r>
              <w:rPr>
                <w:rFonts w:ascii="Times New Roman" w:eastAsia="Times New Roman" w:hAnsi="Times New Roman"/>
                <w:b/>
                <w:lang w:val="it-IT" w:eastAsia="ar-SA"/>
              </w:rPr>
              <w:t>3.</w:t>
            </w:r>
            <w:r>
              <w:rPr>
                <w:rFonts w:ascii="Times New Roman" w:eastAsia="Times New Roman" w:hAnsi="Times New Roman"/>
                <w:b/>
                <w:lang w:val="it-IT" w:eastAsia="ar-SA"/>
              </w:rPr>
              <w:tab/>
              <w:t>DATA DI SCADENZA</w:t>
            </w:r>
          </w:p>
        </w:tc>
      </w:tr>
    </w:tbl>
    <w:p>
      <w:pPr>
        <w:widowControl w:val="0"/>
        <w:suppressAutoHyphens/>
        <w:autoSpaceDE w:val="0"/>
        <w:spacing w:after="0" w:line="240" w:lineRule="auto"/>
        <w:rPr>
          <w:rFonts w:ascii="Times New Roman" w:eastAsia="Times New Roman" w:hAnsi="Times New Roman"/>
          <w:lang w:val="it-IT" w:eastAsia="ar-SA"/>
        </w:rPr>
      </w:pPr>
    </w:p>
    <w:p>
      <w:pPr>
        <w:widowControl w:val="0"/>
        <w:suppressAutoHyphens/>
        <w:autoSpaceDE w:val="0"/>
        <w:spacing w:after="0" w:line="240" w:lineRule="auto"/>
        <w:rPr>
          <w:rFonts w:ascii="Times New Roman" w:eastAsia="Times New Roman" w:hAnsi="Times New Roman"/>
          <w:lang w:val="it-IT" w:eastAsia="ar-SA"/>
        </w:rPr>
      </w:pPr>
      <w:r>
        <w:rPr>
          <w:rFonts w:ascii="Times New Roman" w:eastAsia="Times New Roman" w:hAnsi="Times New Roman"/>
          <w:lang w:val="it-IT" w:eastAsia="ar-SA"/>
        </w:rPr>
        <w:t>EXP</w:t>
      </w:r>
    </w:p>
    <w:p>
      <w:pPr>
        <w:widowControl w:val="0"/>
        <w:suppressAutoHyphens/>
        <w:autoSpaceDE w:val="0"/>
        <w:spacing w:after="0" w:line="240" w:lineRule="auto"/>
        <w:rPr>
          <w:rFonts w:ascii="Times New Roman" w:eastAsia="Times New Roman" w:hAnsi="Times New Roman"/>
          <w:lang w:val="it-IT" w:eastAsia="ar-SA"/>
        </w:rPr>
      </w:pPr>
    </w:p>
    <w:p>
      <w:pPr>
        <w:widowControl w:val="0"/>
        <w:suppressAutoHyphens/>
        <w:autoSpaceDE w:val="0"/>
        <w:spacing w:after="0" w:line="240" w:lineRule="auto"/>
        <w:rPr>
          <w:rFonts w:ascii="Times New Roman" w:eastAsia="Times New Roman" w:hAnsi="Times New Roman"/>
          <w:lang w:val="it-IT" w:eastAsia="ar-SA"/>
        </w:rPr>
      </w:pPr>
    </w:p>
    <w:tbl>
      <w:tblPr>
        <w:tblW w:w="0" w:type="auto"/>
        <w:tblInd w:w="-30" w:type="dxa"/>
        <w:tblLayout w:type="fixed"/>
        <w:tblLook w:val="0000" w:firstRow="0" w:lastRow="0" w:firstColumn="0" w:lastColumn="0" w:noHBand="0" w:noVBand="0"/>
      </w:tblPr>
      <w:tblGrid>
        <w:gridCol w:w="9358"/>
      </w:tblGrid>
      <w:tr>
        <w:tc>
          <w:tcPr>
            <w:tcW w:w="9358" w:type="dxa"/>
            <w:tcBorders>
              <w:top w:val="single" w:sz="4" w:space="0" w:color="000000"/>
              <w:left w:val="single" w:sz="4" w:space="0" w:color="000000"/>
              <w:bottom w:val="single" w:sz="4" w:space="0" w:color="000000"/>
              <w:right w:val="single" w:sz="4" w:space="0" w:color="000000"/>
            </w:tcBorders>
          </w:tcPr>
          <w:p>
            <w:pPr>
              <w:widowControl w:val="0"/>
              <w:suppressAutoHyphens/>
              <w:autoSpaceDE w:val="0"/>
              <w:snapToGrid w:val="0"/>
              <w:spacing w:after="0" w:line="240" w:lineRule="auto"/>
              <w:rPr>
                <w:rFonts w:ascii="Times New Roman" w:eastAsia="Times New Roman" w:hAnsi="Times New Roman"/>
                <w:b/>
                <w:lang w:val="it-IT" w:eastAsia="ar-SA"/>
              </w:rPr>
            </w:pPr>
            <w:r>
              <w:rPr>
                <w:rFonts w:ascii="Times New Roman" w:eastAsia="Times New Roman" w:hAnsi="Times New Roman"/>
                <w:b/>
                <w:lang w:val="it-IT" w:eastAsia="ar-SA"/>
              </w:rPr>
              <w:t>4.</w:t>
            </w:r>
            <w:r>
              <w:rPr>
                <w:rFonts w:ascii="Times New Roman" w:eastAsia="Times New Roman" w:hAnsi="Times New Roman"/>
                <w:b/>
                <w:lang w:val="it-IT" w:eastAsia="ar-SA"/>
              </w:rPr>
              <w:tab/>
              <w:t>NUMERO DI LOTTO</w:t>
            </w:r>
          </w:p>
        </w:tc>
      </w:tr>
    </w:tbl>
    <w:p>
      <w:pPr>
        <w:widowControl w:val="0"/>
        <w:suppressAutoHyphens/>
        <w:autoSpaceDE w:val="0"/>
        <w:spacing w:after="0" w:line="240" w:lineRule="auto"/>
        <w:rPr>
          <w:rFonts w:ascii="Times New Roman" w:eastAsia="Times New Roman" w:hAnsi="Times New Roman"/>
          <w:lang w:val="it-IT" w:eastAsia="ar-SA"/>
        </w:rPr>
      </w:pPr>
    </w:p>
    <w:p>
      <w:pPr>
        <w:widowControl w:val="0"/>
        <w:suppressAutoHyphens/>
        <w:autoSpaceDE w:val="0"/>
        <w:spacing w:after="0" w:line="240" w:lineRule="auto"/>
        <w:rPr>
          <w:rFonts w:ascii="Times New Roman" w:eastAsia="Times New Roman" w:hAnsi="Times New Roman"/>
          <w:lang w:val="it-IT" w:eastAsia="ar-SA"/>
        </w:rPr>
      </w:pPr>
      <w:r>
        <w:rPr>
          <w:rFonts w:ascii="Times New Roman" w:eastAsia="Times New Roman" w:hAnsi="Times New Roman"/>
          <w:lang w:val="it-IT" w:eastAsia="ar-SA"/>
        </w:rPr>
        <w:t>Lot</w:t>
      </w:r>
    </w:p>
    <w:p>
      <w:pPr>
        <w:widowControl w:val="0"/>
        <w:tabs>
          <w:tab w:val="left" w:pos="709"/>
        </w:tabs>
        <w:suppressAutoHyphens/>
        <w:autoSpaceDE w:val="0"/>
        <w:spacing w:after="0" w:line="240" w:lineRule="auto"/>
        <w:rPr>
          <w:rFonts w:ascii="Times New Roman" w:eastAsia="Times New Roman" w:hAnsi="Times New Roman"/>
          <w:b/>
          <w:lang w:val="it-IT" w:eastAsia="ar-SA"/>
        </w:rPr>
      </w:pPr>
    </w:p>
    <w:p>
      <w:pPr>
        <w:widowControl w:val="0"/>
        <w:tabs>
          <w:tab w:val="left" w:pos="709"/>
        </w:tabs>
        <w:suppressAutoHyphens/>
        <w:autoSpaceDE w:val="0"/>
        <w:spacing w:after="0" w:line="240" w:lineRule="auto"/>
        <w:rPr>
          <w:rFonts w:ascii="Times New Roman" w:eastAsia="Times New Roman" w:hAnsi="Times New Roman"/>
          <w:b/>
          <w:lang w:val="it-IT" w:eastAsia="ar-SA"/>
        </w:rPr>
      </w:pPr>
    </w:p>
    <w:tbl>
      <w:tblPr>
        <w:tblW w:w="0" w:type="auto"/>
        <w:tblInd w:w="-30" w:type="dxa"/>
        <w:tblLayout w:type="fixed"/>
        <w:tblLook w:val="0000" w:firstRow="0" w:lastRow="0" w:firstColumn="0" w:lastColumn="0" w:noHBand="0" w:noVBand="0"/>
      </w:tblPr>
      <w:tblGrid>
        <w:gridCol w:w="9347"/>
      </w:tblGrid>
      <w:tr>
        <w:tc>
          <w:tcPr>
            <w:tcW w:w="9347" w:type="dxa"/>
            <w:tcBorders>
              <w:top w:val="single" w:sz="4" w:space="0" w:color="000000"/>
              <w:left w:val="single" w:sz="4" w:space="0" w:color="000000"/>
              <w:bottom w:val="single" w:sz="4" w:space="0" w:color="000000"/>
              <w:right w:val="single" w:sz="4" w:space="0" w:color="000000"/>
            </w:tcBorders>
          </w:tcPr>
          <w:p>
            <w:pPr>
              <w:widowControl w:val="0"/>
              <w:tabs>
                <w:tab w:val="left" w:pos="587"/>
              </w:tabs>
              <w:suppressAutoHyphens/>
              <w:autoSpaceDE w:val="0"/>
              <w:snapToGrid w:val="0"/>
              <w:spacing w:after="0" w:line="240" w:lineRule="auto"/>
              <w:rPr>
                <w:rFonts w:ascii="Times New Roman" w:eastAsia="Times New Roman" w:hAnsi="Times New Roman"/>
                <w:b/>
                <w:lang w:val="it-IT" w:eastAsia="ar-SA"/>
              </w:rPr>
            </w:pPr>
            <w:r>
              <w:rPr>
                <w:rFonts w:ascii="Times New Roman" w:eastAsia="Times New Roman" w:hAnsi="Times New Roman"/>
                <w:b/>
                <w:lang w:val="it-IT" w:eastAsia="ar-SA"/>
              </w:rPr>
              <w:t>5.</w:t>
            </w:r>
            <w:r>
              <w:rPr>
                <w:rFonts w:ascii="Times New Roman" w:eastAsia="Times New Roman" w:hAnsi="Times New Roman"/>
                <w:b/>
                <w:lang w:val="it-IT" w:eastAsia="ar-SA"/>
              </w:rPr>
              <w:tab/>
              <w:t>ALTRO</w:t>
            </w:r>
          </w:p>
        </w:tc>
      </w:tr>
    </w:tbl>
    <w:p>
      <w:pPr>
        <w:widowControl w:val="0"/>
        <w:suppressAutoHyphens/>
        <w:autoSpaceDE w:val="0"/>
        <w:spacing w:after="0" w:line="240" w:lineRule="auto"/>
        <w:rPr>
          <w:rFonts w:ascii="Times New Roman" w:eastAsia="Times New Roman" w:hAnsi="Times New Roman"/>
          <w:lang w:val="it-IT" w:eastAsia="ar-SA"/>
        </w:rPr>
      </w:pPr>
    </w:p>
    <w:p>
      <w:pPr>
        <w:pageBreakBefore/>
        <w:widowControl w:val="0"/>
        <w:suppressAutoHyphens/>
        <w:autoSpaceDE w:val="0"/>
        <w:spacing w:after="0" w:line="240" w:lineRule="auto"/>
        <w:rPr>
          <w:rFonts w:ascii="Times New Roman" w:eastAsia="Times New Roman" w:hAnsi="Times New Roman"/>
          <w:lang w:val="it-IT" w:eastAsia="ar-SA"/>
        </w:rPr>
      </w:pPr>
    </w:p>
    <w:p>
      <w:pPr>
        <w:widowControl w:val="0"/>
        <w:suppressAutoHyphens/>
        <w:autoSpaceDE w:val="0"/>
        <w:spacing w:after="0" w:line="240" w:lineRule="auto"/>
        <w:rPr>
          <w:rFonts w:ascii="Times New Roman" w:eastAsia="Times New Roman" w:hAnsi="Times New Roman"/>
          <w:lang w:val="it-IT" w:eastAsia="ar-SA"/>
        </w:rPr>
      </w:pPr>
    </w:p>
    <w:p>
      <w:pPr>
        <w:widowControl w:val="0"/>
        <w:suppressAutoHyphens/>
        <w:autoSpaceDE w:val="0"/>
        <w:spacing w:after="0" w:line="240" w:lineRule="auto"/>
        <w:rPr>
          <w:rFonts w:ascii="Times New Roman" w:eastAsia="Times New Roman" w:hAnsi="Times New Roman"/>
          <w:lang w:val="it-IT" w:eastAsia="ar-SA"/>
        </w:rPr>
      </w:pPr>
    </w:p>
    <w:p>
      <w:pPr>
        <w:widowControl w:val="0"/>
        <w:suppressAutoHyphens/>
        <w:autoSpaceDE w:val="0"/>
        <w:spacing w:after="0" w:line="240" w:lineRule="auto"/>
        <w:rPr>
          <w:rFonts w:ascii="Times New Roman" w:eastAsia="Times New Roman" w:hAnsi="Times New Roman"/>
          <w:lang w:val="it-IT" w:eastAsia="ar-SA"/>
        </w:rPr>
      </w:pPr>
    </w:p>
    <w:p>
      <w:pPr>
        <w:widowControl w:val="0"/>
        <w:suppressAutoHyphens/>
        <w:autoSpaceDE w:val="0"/>
        <w:spacing w:after="0" w:line="240" w:lineRule="auto"/>
        <w:rPr>
          <w:rFonts w:ascii="Times New Roman" w:eastAsia="Times New Roman" w:hAnsi="Times New Roman"/>
          <w:lang w:val="it-IT" w:eastAsia="ar-SA"/>
        </w:rPr>
      </w:pPr>
    </w:p>
    <w:p>
      <w:pPr>
        <w:widowControl w:val="0"/>
        <w:suppressAutoHyphens/>
        <w:autoSpaceDE w:val="0"/>
        <w:spacing w:after="0" w:line="240" w:lineRule="auto"/>
        <w:rPr>
          <w:rFonts w:ascii="Times New Roman" w:eastAsia="Times New Roman" w:hAnsi="Times New Roman"/>
          <w:lang w:val="it-IT" w:eastAsia="ar-SA"/>
        </w:rPr>
      </w:pPr>
    </w:p>
    <w:p>
      <w:pPr>
        <w:widowControl w:val="0"/>
        <w:suppressAutoHyphens/>
        <w:autoSpaceDE w:val="0"/>
        <w:spacing w:after="0" w:line="240" w:lineRule="auto"/>
        <w:rPr>
          <w:rFonts w:ascii="Times New Roman" w:eastAsia="Times New Roman" w:hAnsi="Times New Roman"/>
          <w:lang w:val="it-IT" w:eastAsia="ar-SA"/>
        </w:rPr>
      </w:pPr>
    </w:p>
    <w:p>
      <w:pPr>
        <w:widowControl w:val="0"/>
        <w:suppressAutoHyphens/>
        <w:autoSpaceDE w:val="0"/>
        <w:spacing w:after="0" w:line="240" w:lineRule="auto"/>
        <w:rPr>
          <w:rFonts w:ascii="Times New Roman" w:eastAsia="Times New Roman" w:hAnsi="Times New Roman"/>
          <w:lang w:val="it-IT" w:eastAsia="ar-SA"/>
        </w:rPr>
      </w:pPr>
    </w:p>
    <w:p>
      <w:pPr>
        <w:widowControl w:val="0"/>
        <w:suppressAutoHyphens/>
        <w:autoSpaceDE w:val="0"/>
        <w:spacing w:after="0" w:line="240" w:lineRule="auto"/>
        <w:rPr>
          <w:rFonts w:ascii="Times New Roman" w:eastAsia="Times New Roman" w:hAnsi="Times New Roman"/>
          <w:lang w:val="it-IT" w:eastAsia="ar-SA"/>
        </w:rPr>
      </w:pPr>
    </w:p>
    <w:p>
      <w:pPr>
        <w:widowControl w:val="0"/>
        <w:suppressAutoHyphens/>
        <w:autoSpaceDE w:val="0"/>
        <w:spacing w:after="0" w:line="240" w:lineRule="auto"/>
        <w:rPr>
          <w:rFonts w:ascii="Times New Roman" w:eastAsia="Times New Roman" w:hAnsi="Times New Roman"/>
          <w:lang w:val="it-IT" w:eastAsia="ar-SA"/>
        </w:rPr>
      </w:pPr>
    </w:p>
    <w:p>
      <w:pPr>
        <w:widowControl w:val="0"/>
        <w:suppressAutoHyphens/>
        <w:autoSpaceDE w:val="0"/>
        <w:spacing w:after="0" w:line="240" w:lineRule="auto"/>
        <w:rPr>
          <w:rFonts w:ascii="Times New Roman" w:eastAsia="Times New Roman" w:hAnsi="Times New Roman"/>
          <w:lang w:val="it-IT" w:eastAsia="ar-SA"/>
        </w:rPr>
      </w:pPr>
    </w:p>
    <w:p>
      <w:pPr>
        <w:widowControl w:val="0"/>
        <w:suppressAutoHyphens/>
        <w:autoSpaceDE w:val="0"/>
        <w:spacing w:after="0" w:line="240" w:lineRule="auto"/>
        <w:rPr>
          <w:rFonts w:ascii="Times New Roman" w:eastAsia="Times New Roman" w:hAnsi="Times New Roman"/>
          <w:lang w:val="it-IT" w:eastAsia="ar-SA"/>
        </w:rPr>
      </w:pPr>
    </w:p>
    <w:p>
      <w:pPr>
        <w:widowControl w:val="0"/>
        <w:suppressAutoHyphens/>
        <w:autoSpaceDE w:val="0"/>
        <w:spacing w:after="0" w:line="240" w:lineRule="auto"/>
        <w:rPr>
          <w:rFonts w:ascii="Times New Roman" w:eastAsia="Times New Roman" w:hAnsi="Times New Roman"/>
          <w:lang w:val="it-IT" w:eastAsia="ar-SA"/>
        </w:rPr>
      </w:pPr>
    </w:p>
    <w:p>
      <w:pPr>
        <w:widowControl w:val="0"/>
        <w:suppressAutoHyphens/>
        <w:autoSpaceDE w:val="0"/>
        <w:spacing w:after="0" w:line="240" w:lineRule="auto"/>
        <w:rPr>
          <w:rFonts w:ascii="Times New Roman" w:eastAsia="Times New Roman" w:hAnsi="Times New Roman"/>
          <w:lang w:val="it-IT" w:eastAsia="ar-SA"/>
        </w:rPr>
      </w:pPr>
    </w:p>
    <w:p>
      <w:pPr>
        <w:widowControl w:val="0"/>
        <w:suppressAutoHyphens/>
        <w:autoSpaceDE w:val="0"/>
        <w:spacing w:after="0" w:line="240" w:lineRule="auto"/>
        <w:rPr>
          <w:rFonts w:ascii="Times New Roman" w:eastAsia="Times New Roman" w:hAnsi="Times New Roman"/>
          <w:lang w:val="it-IT" w:eastAsia="ar-SA"/>
        </w:rPr>
      </w:pPr>
    </w:p>
    <w:p>
      <w:pPr>
        <w:widowControl w:val="0"/>
        <w:suppressAutoHyphens/>
        <w:autoSpaceDE w:val="0"/>
        <w:spacing w:after="0" w:line="240" w:lineRule="auto"/>
        <w:rPr>
          <w:rFonts w:ascii="Times New Roman" w:eastAsia="Times New Roman" w:hAnsi="Times New Roman"/>
          <w:lang w:val="it-IT" w:eastAsia="ar-SA"/>
        </w:rPr>
      </w:pPr>
    </w:p>
    <w:p>
      <w:pPr>
        <w:widowControl w:val="0"/>
        <w:suppressAutoHyphens/>
        <w:autoSpaceDE w:val="0"/>
        <w:spacing w:after="0" w:line="240" w:lineRule="auto"/>
        <w:rPr>
          <w:rFonts w:ascii="Times New Roman" w:eastAsia="Times New Roman" w:hAnsi="Times New Roman"/>
          <w:lang w:val="it-IT" w:eastAsia="ar-SA"/>
        </w:rPr>
      </w:pPr>
    </w:p>
    <w:p>
      <w:pPr>
        <w:widowControl w:val="0"/>
        <w:suppressAutoHyphens/>
        <w:autoSpaceDE w:val="0"/>
        <w:spacing w:after="0" w:line="240" w:lineRule="auto"/>
        <w:rPr>
          <w:rFonts w:ascii="Times New Roman" w:eastAsia="Times New Roman" w:hAnsi="Times New Roman"/>
          <w:lang w:val="it-IT" w:eastAsia="ar-SA"/>
        </w:rPr>
      </w:pPr>
    </w:p>
    <w:p>
      <w:pPr>
        <w:widowControl w:val="0"/>
        <w:suppressAutoHyphens/>
        <w:autoSpaceDE w:val="0"/>
        <w:spacing w:after="0" w:line="240" w:lineRule="auto"/>
        <w:rPr>
          <w:rFonts w:ascii="Times New Roman" w:eastAsia="Times New Roman" w:hAnsi="Times New Roman"/>
          <w:lang w:val="it-IT" w:eastAsia="ar-SA"/>
        </w:rPr>
      </w:pPr>
    </w:p>
    <w:p>
      <w:pPr>
        <w:widowControl w:val="0"/>
        <w:suppressAutoHyphens/>
        <w:autoSpaceDE w:val="0"/>
        <w:spacing w:after="0" w:line="240" w:lineRule="auto"/>
        <w:rPr>
          <w:rFonts w:ascii="Times New Roman" w:eastAsia="Times New Roman" w:hAnsi="Times New Roman"/>
          <w:lang w:val="it-IT" w:eastAsia="ar-SA"/>
        </w:rPr>
      </w:pPr>
    </w:p>
    <w:p>
      <w:pPr>
        <w:widowControl w:val="0"/>
        <w:suppressAutoHyphens/>
        <w:autoSpaceDE w:val="0"/>
        <w:spacing w:after="0" w:line="240" w:lineRule="auto"/>
        <w:rPr>
          <w:rFonts w:ascii="Times New Roman" w:eastAsia="Times New Roman" w:hAnsi="Times New Roman"/>
          <w:lang w:val="it-IT" w:eastAsia="ar-SA"/>
        </w:rPr>
      </w:pPr>
    </w:p>
    <w:p>
      <w:pPr>
        <w:widowControl w:val="0"/>
        <w:suppressAutoHyphens/>
        <w:autoSpaceDE w:val="0"/>
        <w:spacing w:after="0" w:line="240" w:lineRule="auto"/>
        <w:rPr>
          <w:rFonts w:ascii="Times New Roman" w:eastAsia="Times New Roman" w:hAnsi="Times New Roman"/>
          <w:lang w:val="it-IT" w:eastAsia="ar-SA"/>
        </w:rPr>
      </w:pPr>
    </w:p>
    <w:p>
      <w:pPr>
        <w:widowControl w:val="0"/>
        <w:suppressAutoHyphens/>
        <w:autoSpaceDE w:val="0"/>
        <w:spacing w:after="0" w:line="240" w:lineRule="auto"/>
        <w:rPr>
          <w:rFonts w:ascii="Times New Roman" w:eastAsia="Times New Roman" w:hAnsi="Times New Roman"/>
          <w:lang w:val="it-IT" w:eastAsia="ar-SA"/>
        </w:rPr>
      </w:pPr>
    </w:p>
    <w:p>
      <w:pPr>
        <w:pStyle w:val="TitleA"/>
      </w:pPr>
      <w:r>
        <w:t>B. FOGLIO ILLUSTRATIVO</w:t>
      </w:r>
    </w:p>
    <w:p>
      <w:pPr>
        <w:pageBreakBefore/>
        <w:widowControl w:val="0"/>
        <w:shd w:val="clear" w:color="auto" w:fill="FFFFFF"/>
        <w:suppressAutoHyphens/>
        <w:autoSpaceDE w:val="0"/>
        <w:spacing w:after="0" w:line="240" w:lineRule="auto"/>
        <w:jc w:val="center"/>
        <w:rPr>
          <w:rFonts w:ascii="Times New Roman" w:eastAsia="Times New Roman" w:hAnsi="Times New Roman"/>
          <w:b/>
          <w:bCs/>
          <w:color w:val="000000"/>
          <w:lang w:val="it-IT" w:eastAsia="ar-SA"/>
        </w:rPr>
      </w:pPr>
      <w:r>
        <w:rPr>
          <w:rFonts w:ascii="Times New Roman" w:eastAsia="Times New Roman" w:hAnsi="Times New Roman"/>
          <w:b/>
          <w:bCs/>
          <w:color w:val="000000"/>
          <w:lang w:val="it-IT" w:eastAsia="ar-SA"/>
        </w:rPr>
        <w:t>Foglio illustrativo: Informazioni per l'utilizzatore</w:t>
      </w:r>
    </w:p>
    <w:p>
      <w:pPr>
        <w:widowControl w:val="0"/>
        <w:shd w:val="clear" w:color="auto" w:fill="FFFFFF"/>
        <w:suppressAutoHyphens/>
        <w:autoSpaceDE w:val="0"/>
        <w:spacing w:after="0" w:line="240" w:lineRule="auto"/>
        <w:jc w:val="center"/>
        <w:rPr>
          <w:rFonts w:ascii="Times New Roman" w:eastAsia="Times New Roman" w:hAnsi="Times New Roman"/>
          <w:b/>
          <w:bCs/>
          <w:color w:val="000000"/>
          <w:lang w:val="it-IT" w:eastAsia="ar-SA"/>
        </w:rPr>
      </w:pPr>
    </w:p>
    <w:p>
      <w:pPr>
        <w:widowControl w:val="0"/>
        <w:shd w:val="clear" w:color="auto" w:fill="FFFFFF"/>
        <w:suppressAutoHyphens/>
        <w:autoSpaceDE w:val="0"/>
        <w:spacing w:after="0" w:line="240" w:lineRule="auto"/>
        <w:jc w:val="center"/>
        <w:rPr>
          <w:rFonts w:ascii="Times New Roman" w:eastAsia="Times New Roman" w:hAnsi="Times New Roman"/>
          <w:b/>
          <w:bCs/>
          <w:color w:val="000000"/>
          <w:lang w:val="it-IT" w:eastAsia="ar-SA"/>
        </w:rPr>
      </w:pPr>
      <w:r>
        <w:rPr>
          <w:rFonts w:ascii="Times New Roman" w:eastAsia="Times New Roman" w:hAnsi="Times New Roman"/>
          <w:b/>
          <w:bCs/>
          <w:color w:val="000000"/>
          <w:lang w:val="it-IT" w:eastAsia="ar-SA"/>
        </w:rPr>
        <w:t>Clopidogrel Krka 75 mg compresse rivestite con film</w:t>
      </w:r>
    </w:p>
    <w:p>
      <w:pPr>
        <w:widowControl w:val="0"/>
        <w:shd w:val="clear" w:color="auto" w:fill="FFFFFF"/>
        <w:suppressAutoHyphens/>
        <w:autoSpaceDE w:val="0"/>
        <w:spacing w:after="0" w:line="240" w:lineRule="auto"/>
        <w:jc w:val="center"/>
        <w:rPr>
          <w:rFonts w:ascii="Times New Roman" w:eastAsia="Times New Roman" w:hAnsi="Times New Roman"/>
          <w:color w:val="000000"/>
          <w:spacing w:val="-1"/>
          <w:lang w:val="it-IT" w:eastAsia="ar-SA"/>
        </w:rPr>
      </w:pPr>
      <w:r>
        <w:rPr>
          <w:rFonts w:ascii="Times New Roman" w:eastAsia="Times New Roman" w:hAnsi="Times New Roman"/>
          <w:color w:val="000000"/>
          <w:spacing w:val="-1"/>
          <w:lang w:val="it-IT" w:eastAsia="ar-SA"/>
        </w:rPr>
        <w:t>clopidogrel</w:t>
      </w:r>
    </w:p>
    <w:p>
      <w:pPr>
        <w:widowControl w:val="0"/>
        <w:shd w:val="clear" w:color="auto" w:fill="FFFFFF"/>
        <w:suppressAutoHyphens/>
        <w:autoSpaceDE w:val="0"/>
        <w:spacing w:after="0" w:line="240" w:lineRule="auto"/>
        <w:rPr>
          <w:rFonts w:ascii="Times New Roman" w:eastAsia="Times New Roman" w:hAnsi="Times New Roman"/>
          <w:color w:val="000000"/>
          <w:spacing w:val="-1"/>
          <w:lang w:val="it-IT" w:eastAsia="ar-SA"/>
        </w:rPr>
      </w:pPr>
    </w:p>
    <w:p>
      <w:pPr>
        <w:suppressAutoHyphens/>
        <w:spacing w:after="0" w:line="240" w:lineRule="auto"/>
        <w:ind w:left="567" w:hanging="567"/>
        <w:rPr>
          <w:rFonts w:ascii="Times New Roman" w:eastAsia="Times New Roman" w:hAnsi="Times New Roman"/>
          <w:lang w:val="it-IT"/>
        </w:rPr>
      </w:pPr>
      <w:r>
        <w:rPr>
          <w:rFonts w:ascii="Times New Roman" w:eastAsia="Times New Roman" w:hAnsi="Times New Roman"/>
          <w:b/>
          <w:lang w:val="it-IT"/>
        </w:rPr>
        <w:t>Legga attentamente questo foglio prima di prendere questo medicinale perché contiene importanti informazioni per lei.</w:t>
      </w:r>
    </w:p>
    <w:p>
      <w:pPr>
        <w:tabs>
          <w:tab w:val="left" w:pos="540"/>
        </w:tabs>
        <w:suppressAutoHyphens/>
        <w:spacing w:after="0" w:line="240" w:lineRule="auto"/>
        <w:ind w:left="567" w:hanging="567"/>
        <w:rPr>
          <w:rFonts w:ascii="Times New Roman" w:eastAsia="Times New Roman" w:hAnsi="Times New Roman"/>
          <w:lang w:val="it-IT"/>
        </w:rPr>
      </w:pPr>
      <w:r>
        <w:rPr>
          <w:rFonts w:ascii="Times New Roman" w:eastAsia="Times New Roman" w:hAnsi="Times New Roman"/>
          <w:b/>
          <w:lang w:val="it-IT"/>
        </w:rPr>
        <w:t>-</w:t>
      </w:r>
      <w:r>
        <w:rPr>
          <w:rFonts w:ascii="Times New Roman" w:eastAsia="Times New Roman" w:hAnsi="Times New Roman"/>
          <w:b/>
          <w:lang w:val="it-IT"/>
        </w:rPr>
        <w:tab/>
      </w:r>
      <w:r>
        <w:rPr>
          <w:rFonts w:ascii="Times New Roman" w:eastAsia="Times New Roman" w:hAnsi="Times New Roman"/>
          <w:lang w:val="it-IT"/>
        </w:rPr>
        <w:t>Conservi questo foglio. Potrebbe aver bisogno di leggerlo di nuovo.</w:t>
      </w:r>
    </w:p>
    <w:p>
      <w:pPr>
        <w:tabs>
          <w:tab w:val="left" w:pos="540"/>
        </w:tabs>
        <w:suppressAutoHyphens/>
        <w:spacing w:after="0" w:line="240" w:lineRule="auto"/>
        <w:ind w:left="567" w:hanging="567"/>
        <w:rPr>
          <w:rFonts w:ascii="Times New Roman" w:eastAsia="Times New Roman" w:hAnsi="Times New Roman"/>
          <w:lang w:val="it-IT"/>
        </w:rPr>
      </w:pPr>
      <w:r>
        <w:rPr>
          <w:rFonts w:ascii="Times New Roman" w:eastAsia="Times New Roman" w:hAnsi="Times New Roman"/>
          <w:lang w:val="it-IT"/>
        </w:rPr>
        <w:t>-</w:t>
      </w:r>
      <w:r>
        <w:rPr>
          <w:rFonts w:ascii="Times New Roman" w:eastAsia="Times New Roman" w:hAnsi="Times New Roman"/>
          <w:lang w:val="it-IT"/>
        </w:rPr>
        <w:tab/>
        <w:t>Se ha qualsiasi dubbio, si rivolga al medico o al farmacista.</w:t>
      </w:r>
    </w:p>
    <w:p>
      <w:pPr>
        <w:tabs>
          <w:tab w:val="left" w:pos="540"/>
        </w:tabs>
        <w:suppressAutoHyphens/>
        <w:spacing w:after="0" w:line="240" w:lineRule="auto"/>
        <w:ind w:left="567" w:hanging="567"/>
        <w:rPr>
          <w:rFonts w:ascii="Times New Roman" w:eastAsia="Times New Roman" w:hAnsi="Times New Roman"/>
          <w:lang w:val="it-IT"/>
        </w:rPr>
      </w:pPr>
      <w:r>
        <w:rPr>
          <w:rFonts w:ascii="Times New Roman" w:eastAsia="Times New Roman" w:hAnsi="Times New Roman"/>
          <w:lang w:val="it-IT"/>
        </w:rPr>
        <w:t>-</w:t>
      </w:r>
      <w:r>
        <w:rPr>
          <w:rFonts w:ascii="Times New Roman" w:eastAsia="Times New Roman" w:hAnsi="Times New Roman"/>
          <w:lang w:val="it-IT"/>
        </w:rPr>
        <w:tab/>
        <w:t>Questo medicinale è stato prescritto soltanto per lei. Non lo dia ad altre persone, anche se i sintomi della malattia sono uguali ai suoi, perché potrebbe essere pericoloso.</w:t>
      </w:r>
    </w:p>
    <w:p>
      <w:pPr>
        <w:tabs>
          <w:tab w:val="left" w:pos="540"/>
        </w:tabs>
        <w:suppressAutoHyphens/>
        <w:spacing w:after="0" w:line="240" w:lineRule="auto"/>
        <w:ind w:left="567" w:hanging="567"/>
        <w:rPr>
          <w:rFonts w:ascii="Times New Roman" w:eastAsia="Times New Roman" w:hAnsi="Times New Roman"/>
          <w:lang w:val="it-IT"/>
        </w:rPr>
      </w:pPr>
      <w:r>
        <w:rPr>
          <w:rFonts w:ascii="Times New Roman" w:eastAsia="Times New Roman" w:hAnsi="Times New Roman"/>
          <w:lang w:val="it-IT"/>
        </w:rPr>
        <w:t>-</w:t>
      </w:r>
      <w:r>
        <w:rPr>
          <w:rFonts w:ascii="Times New Roman" w:eastAsia="Times New Roman" w:hAnsi="Times New Roman"/>
          <w:lang w:val="it-IT"/>
        </w:rPr>
        <w:tab/>
        <w:t>Se si manifesta un qualsiasi effetto indesiderato, compresi quelli non elencati in questo foglio, si rivolga al medico o al farmacista. Vedere paragrafo 4.</w:t>
      </w:r>
    </w:p>
    <w:p>
      <w:pPr>
        <w:widowControl w:val="0"/>
        <w:shd w:val="clear" w:color="auto" w:fill="FFFFFF"/>
        <w:suppressAutoHyphens/>
        <w:autoSpaceDE w:val="0"/>
        <w:spacing w:after="0" w:line="240" w:lineRule="auto"/>
        <w:rPr>
          <w:rFonts w:ascii="Times New Roman" w:eastAsia="Times New Roman" w:hAnsi="Times New Roman"/>
          <w:b/>
          <w:bCs/>
          <w:color w:val="000000"/>
          <w:spacing w:val="-1"/>
          <w:lang w:val="it-IT" w:eastAsia="ar-SA"/>
        </w:rPr>
      </w:pPr>
    </w:p>
    <w:p>
      <w:pPr>
        <w:widowControl w:val="0"/>
        <w:shd w:val="clear" w:color="auto" w:fill="FFFFFF"/>
        <w:suppressAutoHyphens/>
        <w:autoSpaceDE w:val="0"/>
        <w:spacing w:after="0" w:line="240" w:lineRule="auto"/>
        <w:rPr>
          <w:rFonts w:ascii="Times New Roman" w:eastAsia="Times New Roman" w:hAnsi="Times New Roman"/>
          <w:b/>
          <w:bCs/>
          <w:color w:val="000000"/>
          <w:spacing w:val="-1"/>
          <w:lang w:val="it-IT" w:eastAsia="ar-SA"/>
        </w:rPr>
      </w:pPr>
      <w:r>
        <w:rPr>
          <w:rFonts w:ascii="Times New Roman" w:eastAsia="Times New Roman" w:hAnsi="Times New Roman"/>
          <w:b/>
          <w:bCs/>
          <w:color w:val="000000"/>
          <w:spacing w:val="-1"/>
          <w:lang w:val="it-IT" w:eastAsia="ar-SA"/>
        </w:rPr>
        <w:t>Contenuto di questo foglio:</w:t>
      </w:r>
    </w:p>
    <w:p>
      <w:pPr>
        <w:widowControl w:val="0"/>
        <w:numPr>
          <w:ilvl w:val="0"/>
          <w:numId w:val="2"/>
        </w:numPr>
        <w:shd w:val="clear" w:color="auto" w:fill="FFFFFF"/>
        <w:tabs>
          <w:tab w:val="left" w:pos="567"/>
          <w:tab w:val="left" w:pos="1701"/>
        </w:tabs>
        <w:suppressAutoHyphens/>
        <w:autoSpaceDE w:val="0"/>
        <w:spacing w:after="0" w:line="240" w:lineRule="auto"/>
        <w:ind w:left="567" w:hanging="567"/>
        <w:rPr>
          <w:rFonts w:ascii="Times New Roman" w:eastAsia="Times New Roman" w:hAnsi="Times New Roman"/>
          <w:color w:val="000000"/>
          <w:lang w:val="it-IT" w:eastAsia="ar-SA"/>
        </w:rPr>
      </w:pPr>
      <w:r>
        <w:rPr>
          <w:rFonts w:ascii="Times New Roman" w:eastAsia="Times New Roman" w:hAnsi="Times New Roman"/>
          <w:color w:val="000000"/>
          <w:lang w:val="it-IT" w:eastAsia="ar-SA"/>
        </w:rPr>
        <w:t>Cos'è Clopidogrel Krka e a cosa serve</w:t>
      </w:r>
    </w:p>
    <w:p>
      <w:pPr>
        <w:widowControl w:val="0"/>
        <w:numPr>
          <w:ilvl w:val="0"/>
          <w:numId w:val="2"/>
        </w:numPr>
        <w:shd w:val="clear" w:color="auto" w:fill="FFFFFF"/>
        <w:tabs>
          <w:tab w:val="left" w:pos="567"/>
          <w:tab w:val="left" w:pos="1701"/>
        </w:tabs>
        <w:suppressAutoHyphens/>
        <w:autoSpaceDE w:val="0"/>
        <w:spacing w:after="0" w:line="240" w:lineRule="auto"/>
        <w:ind w:left="567" w:hanging="567"/>
        <w:rPr>
          <w:rFonts w:ascii="Times New Roman" w:eastAsia="Times New Roman" w:hAnsi="Times New Roman"/>
          <w:color w:val="000000"/>
          <w:lang w:val="it-IT" w:eastAsia="ar-SA"/>
        </w:rPr>
      </w:pPr>
      <w:r>
        <w:rPr>
          <w:rFonts w:ascii="Times New Roman" w:eastAsia="Times New Roman" w:hAnsi="Times New Roman"/>
          <w:color w:val="000000"/>
          <w:lang w:val="it-IT" w:eastAsia="ar-SA"/>
        </w:rPr>
        <w:t>Cosa deve sapere prima di prendere Clopidogrel Krka</w:t>
      </w:r>
    </w:p>
    <w:p>
      <w:pPr>
        <w:widowControl w:val="0"/>
        <w:numPr>
          <w:ilvl w:val="0"/>
          <w:numId w:val="2"/>
        </w:numPr>
        <w:shd w:val="clear" w:color="auto" w:fill="FFFFFF"/>
        <w:tabs>
          <w:tab w:val="left" w:pos="567"/>
          <w:tab w:val="left" w:pos="1701"/>
        </w:tabs>
        <w:suppressAutoHyphens/>
        <w:autoSpaceDE w:val="0"/>
        <w:spacing w:after="0" w:line="240" w:lineRule="auto"/>
        <w:ind w:left="567" w:hanging="567"/>
        <w:rPr>
          <w:rFonts w:ascii="Times New Roman" w:eastAsia="Times New Roman" w:hAnsi="Times New Roman"/>
          <w:color w:val="000000"/>
          <w:lang w:val="it-IT" w:eastAsia="ar-SA"/>
        </w:rPr>
      </w:pPr>
      <w:r>
        <w:rPr>
          <w:rFonts w:ascii="Times New Roman" w:eastAsia="Times New Roman" w:hAnsi="Times New Roman"/>
          <w:color w:val="000000"/>
          <w:lang w:val="it-IT" w:eastAsia="ar-SA"/>
        </w:rPr>
        <w:t>Come prendere Clopidogrel Krka</w:t>
      </w:r>
    </w:p>
    <w:p>
      <w:pPr>
        <w:widowControl w:val="0"/>
        <w:numPr>
          <w:ilvl w:val="0"/>
          <w:numId w:val="2"/>
        </w:numPr>
        <w:shd w:val="clear" w:color="auto" w:fill="FFFFFF"/>
        <w:tabs>
          <w:tab w:val="left" w:pos="567"/>
          <w:tab w:val="left" w:pos="1701"/>
        </w:tabs>
        <w:suppressAutoHyphens/>
        <w:autoSpaceDE w:val="0"/>
        <w:spacing w:after="0" w:line="240" w:lineRule="auto"/>
        <w:ind w:left="567" w:hanging="567"/>
        <w:rPr>
          <w:rFonts w:ascii="Times New Roman" w:eastAsia="Times New Roman" w:hAnsi="Times New Roman"/>
          <w:color w:val="000000"/>
          <w:lang w:val="it-IT" w:eastAsia="ar-SA"/>
        </w:rPr>
      </w:pPr>
      <w:r>
        <w:rPr>
          <w:rFonts w:ascii="Times New Roman" w:eastAsia="Times New Roman" w:hAnsi="Times New Roman"/>
          <w:color w:val="000000"/>
          <w:lang w:val="it-IT" w:eastAsia="ar-SA"/>
        </w:rPr>
        <w:t>Possibili effetti indesiderati</w:t>
      </w:r>
    </w:p>
    <w:p>
      <w:pPr>
        <w:widowControl w:val="0"/>
        <w:numPr>
          <w:ilvl w:val="0"/>
          <w:numId w:val="2"/>
        </w:numPr>
        <w:shd w:val="clear" w:color="auto" w:fill="FFFFFF"/>
        <w:tabs>
          <w:tab w:val="left" w:pos="567"/>
          <w:tab w:val="left" w:pos="1701"/>
        </w:tabs>
        <w:suppressAutoHyphens/>
        <w:autoSpaceDE w:val="0"/>
        <w:spacing w:after="0" w:line="240" w:lineRule="auto"/>
        <w:ind w:left="567" w:hanging="567"/>
        <w:rPr>
          <w:rFonts w:ascii="Times New Roman" w:eastAsia="Times New Roman" w:hAnsi="Times New Roman"/>
          <w:color w:val="000000"/>
          <w:lang w:val="it-IT" w:eastAsia="ar-SA"/>
        </w:rPr>
      </w:pPr>
      <w:r>
        <w:rPr>
          <w:rFonts w:ascii="Times New Roman" w:eastAsia="Times New Roman" w:hAnsi="Times New Roman"/>
          <w:color w:val="000000"/>
          <w:lang w:val="it-IT" w:eastAsia="ar-SA"/>
        </w:rPr>
        <w:t>Come conservare Clopidogrel Krka</w:t>
      </w:r>
    </w:p>
    <w:p>
      <w:pPr>
        <w:widowControl w:val="0"/>
        <w:numPr>
          <w:ilvl w:val="0"/>
          <w:numId w:val="2"/>
        </w:numPr>
        <w:shd w:val="clear" w:color="auto" w:fill="FFFFFF"/>
        <w:tabs>
          <w:tab w:val="left" w:pos="567"/>
          <w:tab w:val="left" w:pos="1701"/>
        </w:tabs>
        <w:suppressAutoHyphens/>
        <w:autoSpaceDE w:val="0"/>
        <w:spacing w:after="0" w:line="240" w:lineRule="auto"/>
        <w:ind w:left="567" w:hanging="567"/>
        <w:rPr>
          <w:rFonts w:ascii="Times New Roman" w:eastAsia="Times New Roman" w:hAnsi="Times New Roman"/>
          <w:color w:val="000000"/>
          <w:lang w:val="it-IT" w:eastAsia="ar-SA"/>
        </w:rPr>
      </w:pPr>
      <w:r>
        <w:rPr>
          <w:rFonts w:ascii="Times New Roman" w:eastAsia="Times New Roman" w:hAnsi="Times New Roman"/>
          <w:color w:val="000000"/>
          <w:lang w:val="it-IT" w:eastAsia="ar-SA"/>
        </w:rPr>
        <w:t>Contenuto della confezione e altre informazioni</w:t>
      </w:r>
    </w:p>
    <w:p>
      <w:pPr>
        <w:widowControl w:val="0"/>
        <w:shd w:val="clear" w:color="auto" w:fill="FFFFFF"/>
        <w:tabs>
          <w:tab w:val="left" w:pos="538"/>
        </w:tabs>
        <w:autoSpaceDE w:val="0"/>
        <w:spacing w:after="0" w:line="240" w:lineRule="auto"/>
        <w:rPr>
          <w:rFonts w:ascii="Times New Roman" w:eastAsia="Times New Roman" w:hAnsi="Times New Roman"/>
          <w:color w:val="000000"/>
          <w:lang w:val="it-IT" w:eastAsia="ar-SA"/>
        </w:rPr>
      </w:pPr>
    </w:p>
    <w:p>
      <w:pPr>
        <w:widowControl w:val="0"/>
        <w:shd w:val="clear" w:color="auto" w:fill="FFFFFF"/>
        <w:tabs>
          <w:tab w:val="left" w:pos="538"/>
        </w:tabs>
        <w:autoSpaceDE w:val="0"/>
        <w:spacing w:after="0" w:line="240" w:lineRule="auto"/>
        <w:rPr>
          <w:rFonts w:ascii="Times New Roman" w:eastAsia="Times New Roman" w:hAnsi="Times New Roman"/>
          <w:color w:val="000000"/>
          <w:lang w:val="it-IT" w:eastAsia="ar-SA"/>
        </w:rPr>
      </w:pPr>
    </w:p>
    <w:p>
      <w:pPr>
        <w:widowControl w:val="0"/>
        <w:numPr>
          <w:ilvl w:val="0"/>
          <w:numId w:val="5"/>
        </w:numPr>
        <w:shd w:val="clear" w:color="auto" w:fill="FFFFFF"/>
        <w:suppressAutoHyphens/>
        <w:autoSpaceDE w:val="0"/>
        <w:spacing w:after="0" w:line="240" w:lineRule="auto"/>
        <w:ind w:left="567" w:hanging="567"/>
        <w:rPr>
          <w:rFonts w:ascii="Times New Roman" w:eastAsia="Times New Roman" w:hAnsi="Times New Roman"/>
          <w:b/>
          <w:bCs/>
          <w:color w:val="000000"/>
          <w:lang w:val="it-IT" w:eastAsia="ar-SA"/>
        </w:rPr>
      </w:pPr>
      <w:r>
        <w:rPr>
          <w:rFonts w:ascii="Times New Roman" w:eastAsia="Times New Roman" w:hAnsi="Times New Roman"/>
          <w:b/>
          <w:bCs/>
          <w:color w:val="000000"/>
          <w:lang w:val="it-IT" w:eastAsia="ar-SA"/>
        </w:rPr>
        <w:t>Cos'</w:t>
      </w:r>
      <w:r>
        <w:rPr>
          <w:rFonts w:ascii="Times New Roman" w:eastAsia="Times New Roman" w:hAnsi="Times New Roman"/>
          <w:b/>
          <w:bCs/>
          <w:lang w:val="it-IT" w:eastAsia="ar-SA"/>
        </w:rPr>
        <w:t>è</w:t>
      </w:r>
      <w:r>
        <w:rPr>
          <w:rFonts w:ascii="Times New Roman" w:eastAsia="Times New Roman" w:hAnsi="Times New Roman"/>
          <w:b/>
          <w:bCs/>
          <w:color w:val="000000"/>
          <w:lang w:val="it-IT" w:eastAsia="ar-SA"/>
        </w:rPr>
        <w:t xml:space="preserve"> Clopidogrel Krka e a cosa serve</w:t>
      </w:r>
    </w:p>
    <w:p>
      <w:pPr>
        <w:widowControl w:val="0"/>
        <w:shd w:val="clear" w:color="auto" w:fill="FFFFFF"/>
        <w:suppressAutoHyphens/>
        <w:autoSpaceDE w:val="0"/>
        <w:spacing w:after="0" w:line="240" w:lineRule="auto"/>
        <w:rPr>
          <w:rFonts w:ascii="Times New Roman" w:eastAsia="Times New Roman" w:hAnsi="Times New Roman"/>
          <w:color w:val="000000"/>
          <w:lang w:val="it-IT" w:eastAsia="ar-SA"/>
        </w:rPr>
      </w:pPr>
    </w:p>
    <w:p>
      <w:pPr>
        <w:widowControl w:val="0"/>
        <w:shd w:val="clear" w:color="auto" w:fill="FFFFFF"/>
        <w:suppressAutoHyphens/>
        <w:autoSpaceDE w:val="0"/>
        <w:spacing w:after="0" w:line="240" w:lineRule="auto"/>
        <w:rPr>
          <w:rFonts w:ascii="Times New Roman" w:eastAsia="Times New Roman" w:hAnsi="Times New Roman"/>
          <w:color w:val="000000"/>
          <w:spacing w:val="-1"/>
          <w:lang w:val="it-IT" w:eastAsia="ar-SA"/>
        </w:rPr>
      </w:pPr>
      <w:r>
        <w:rPr>
          <w:rFonts w:ascii="Times New Roman" w:eastAsia="Times New Roman" w:hAnsi="Times New Roman"/>
          <w:color w:val="000000"/>
          <w:lang w:val="it-IT" w:eastAsia="ar-SA"/>
        </w:rPr>
        <w:t xml:space="preserve">Clopidogrel Krka </w:t>
      </w:r>
      <w:r>
        <w:rPr>
          <w:rFonts w:ascii="Times New Roman" w:eastAsia="Times New Roman" w:hAnsi="Times New Roman"/>
          <w:lang w:val="it-IT" w:eastAsia="ar-SA"/>
        </w:rPr>
        <w:t xml:space="preserve">contiene clopidogrel e </w:t>
      </w:r>
      <w:r>
        <w:rPr>
          <w:rFonts w:ascii="Times New Roman" w:eastAsia="Times New Roman" w:hAnsi="Times New Roman"/>
          <w:color w:val="000000"/>
          <w:lang w:val="it-IT" w:eastAsia="ar-SA"/>
        </w:rPr>
        <w:t xml:space="preserve">appartiene ad un gruppo di medicinali chiamati antiaggreganti piastrinici. Le piastrine sono </w:t>
      </w:r>
      <w:r>
        <w:rPr>
          <w:rFonts w:ascii="Times New Roman" w:eastAsia="Times New Roman" w:hAnsi="Times New Roman"/>
          <w:color w:val="000000"/>
          <w:spacing w:val="-1"/>
          <w:lang w:val="it-IT" w:eastAsia="ar-SA"/>
        </w:rPr>
        <w:t xml:space="preserve">elementi del sangue di dimensioni microscopiche e che si aggregano assieme durante la coagulazione del sangue. Impedendo tale aggregazione, i </w:t>
      </w:r>
      <w:r>
        <w:rPr>
          <w:rFonts w:ascii="Times New Roman" w:eastAsia="Times New Roman" w:hAnsi="Times New Roman"/>
          <w:color w:val="000000"/>
          <w:lang w:val="it-IT" w:eastAsia="ar-SA"/>
        </w:rPr>
        <w:t xml:space="preserve">medicinali antiaggreganti piastrinici diminuiscono la possibilità di formazione di coaguli sanguigni </w:t>
      </w:r>
      <w:r>
        <w:rPr>
          <w:rFonts w:ascii="Times New Roman" w:eastAsia="Times New Roman" w:hAnsi="Times New Roman"/>
          <w:color w:val="000000"/>
          <w:spacing w:val="-1"/>
          <w:lang w:val="it-IT" w:eastAsia="ar-SA"/>
        </w:rPr>
        <w:t>(un fenomeno chiamato trombosi).</w:t>
      </w:r>
    </w:p>
    <w:p>
      <w:pPr>
        <w:widowControl w:val="0"/>
        <w:shd w:val="clear" w:color="auto" w:fill="FFFFFF"/>
        <w:suppressAutoHyphens/>
        <w:autoSpaceDE w:val="0"/>
        <w:spacing w:after="0" w:line="240" w:lineRule="auto"/>
        <w:rPr>
          <w:rFonts w:ascii="Times New Roman" w:eastAsia="Times New Roman" w:hAnsi="Times New Roman"/>
          <w:color w:val="000000"/>
          <w:lang w:val="it-IT" w:eastAsia="ar-SA"/>
        </w:rPr>
      </w:pPr>
    </w:p>
    <w:p>
      <w:pPr>
        <w:widowControl w:val="0"/>
        <w:shd w:val="clear" w:color="auto" w:fill="FFFFFF"/>
        <w:suppressAutoHyphens/>
        <w:autoSpaceDE w:val="0"/>
        <w:spacing w:after="0" w:line="240" w:lineRule="auto"/>
        <w:rPr>
          <w:rFonts w:ascii="Times New Roman" w:eastAsia="Times New Roman" w:hAnsi="Times New Roman"/>
          <w:color w:val="000000"/>
          <w:lang w:val="it-IT" w:eastAsia="ar-SA"/>
        </w:rPr>
      </w:pPr>
      <w:r>
        <w:rPr>
          <w:rFonts w:ascii="Times New Roman" w:eastAsia="Times New Roman" w:hAnsi="Times New Roman"/>
          <w:color w:val="000000"/>
          <w:lang w:val="it-IT" w:eastAsia="ar-SA"/>
        </w:rPr>
        <w:t>Clopidogrel Krka</w:t>
      </w:r>
      <w:r>
        <w:rPr>
          <w:rFonts w:ascii="Times New Roman" w:eastAsia="Times New Roman" w:hAnsi="Times New Roman"/>
          <w:color w:val="000000"/>
          <w:spacing w:val="-1"/>
          <w:lang w:val="it-IT" w:eastAsia="ar-SA"/>
        </w:rPr>
        <w:t xml:space="preserve"> viene assunto</w:t>
      </w:r>
      <w:r>
        <w:rPr>
          <w:rFonts w:ascii="Times New Roman" w:eastAsia="Times New Roman" w:hAnsi="Times New Roman"/>
          <w:lang w:val="it-IT"/>
        </w:rPr>
        <w:t xml:space="preserve"> </w:t>
      </w:r>
      <w:r>
        <w:rPr>
          <w:rFonts w:ascii="Times New Roman" w:eastAsia="Times New Roman" w:hAnsi="Times New Roman"/>
          <w:color w:val="000000"/>
          <w:spacing w:val="-1"/>
          <w:lang w:val="it-IT" w:eastAsia="ar-SA"/>
        </w:rPr>
        <w:t xml:space="preserve">dagli adulti per prevenire la formazione di coaguli sanguigni (trombi) nei vasi sanguigni (arterie) </w:t>
      </w:r>
      <w:r>
        <w:rPr>
          <w:rFonts w:ascii="Times New Roman" w:eastAsia="Times New Roman" w:hAnsi="Times New Roman"/>
          <w:color w:val="000000"/>
          <w:lang w:val="it-IT" w:eastAsia="ar-SA"/>
        </w:rPr>
        <w:t>induriti, processo conosciuto come aterotrombosi, che può causare eventi di origine aterotrombotica (come ictus, attacco cardiaco, o morte).</w:t>
      </w:r>
    </w:p>
    <w:p>
      <w:pPr>
        <w:widowControl w:val="0"/>
        <w:shd w:val="clear" w:color="auto" w:fill="FFFFFF"/>
        <w:suppressAutoHyphens/>
        <w:autoSpaceDE w:val="0"/>
        <w:spacing w:after="0" w:line="240" w:lineRule="auto"/>
        <w:rPr>
          <w:rFonts w:ascii="Times New Roman" w:eastAsia="Times New Roman" w:hAnsi="Times New Roman"/>
          <w:color w:val="000000"/>
          <w:lang w:val="it-IT" w:eastAsia="ar-SA"/>
        </w:rPr>
      </w:pPr>
    </w:p>
    <w:p>
      <w:pPr>
        <w:widowControl w:val="0"/>
        <w:shd w:val="clear" w:color="auto" w:fill="FFFFFF"/>
        <w:suppressAutoHyphens/>
        <w:autoSpaceDE w:val="0"/>
        <w:spacing w:after="0" w:line="240" w:lineRule="auto"/>
        <w:rPr>
          <w:rFonts w:ascii="Times New Roman" w:eastAsia="Times New Roman" w:hAnsi="Times New Roman"/>
          <w:color w:val="000000"/>
          <w:spacing w:val="-1"/>
          <w:lang w:val="it-IT" w:eastAsia="ar-SA"/>
        </w:rPr>
      </w:pPr>
      <w:r>
        <w:rPr>
          <w:rFonts w:ascii="Times New Roman" w:eastAsia="Times New Roman" w:hAnsi="Times New Roman"/>
          <w:color w:val="000000"/>
          <w:lang w:val="it-IT" w:eastAsia="ar-SA"/>
        </w:rPr>
        <w:t>Clopidogrel Krka le è stato prescritto come aiuto nel prevenire la formazione di coaguli sanguigni e per ridurre il</w:t>
      </w:r>
      <w:r>
        <w:rPr>
          <w:rFonts w:ascii="Times New Roman" w:eastAsia="Times New Roman" w:hAnsi="Times New Roman"/>
          <w:lang w:val="it-IT" w:eastAsia="ar-SA"/>
        </w:rPr>
        <w:t xml:space="preserve"> </w:t>
      </w:r>
      <w:r>
        <w:rPr>
          <w:rFonts w:ascii="Times New Roman" w:eastAsia="Times New Roman" w:hAnsi="Times New Roman"/>
          <w:color w:val="000000"/>
          <w:spacing w:val="-1"/>
          <w:lang w:val="it-IT" w:eastAsia="ar-SA"/>
        </w:rPr>
        <w:t>rischio di questi gravi eventi perché:</w:t>
      </w:r>
    </w:p>
    <w:p>
      <w:pPr>
        <w:numPr>
          <w:ilvl w:val="0"/>
          <w:numId w:val="3"/>
        </w:numPr>
        <w:shd w:val="clear" w:color="auto" w:fill="FFFFFF"/>
        <w:suppressAutoHyphens/>
        <w:autoSpaceDE w:val="0"/>
        <w:spacing w:after="0" w:line="240" w:lineRule="auto"/>
        <w:ind w:left="567" w:hanging="567"/>
        <w:rPr>
          <w:color w:val="000000"/>
          <w:lang w:val="it-IT"/>
        </w:rPr>
      </w:pPr>
      <w:r>
        <w:rPr>
          <w:rFonts w:ascii="Times New Roman" w:eastAsia="Times New Roman" w:hAnsi="Times New Roman"/>
          <w:color w:val="000000"/>
          <w:lang w:val="it-IT" w:eastAsia="ar-SA"/>
        </w:rPr>
        <w:t>lei presenta una condizione nota come indurimento delle arterie (anche detta aterosclerosi), e lei ha avuto in precedenza un attacco cardiaco, un ictus o una condizione nota come arteriopatia obliterante periferica, oppure</w:t>
      </w:r>
    </w:p>
    <w:p>
      <w:pPr>
        <w:pStyle w:val="EndnoteText"/>
        <w:widowControl/>
        <w:ind w:left="567" w:hanging="567"/>
        <w:rPr>
          <w:color w:val="000000"/>
          <w:spacing w:val="-1"/>
          <w:sz w:val="22"/>
          <w:szCs w:val="22"/>
        </w:rPr>
      </w:pPr>
      <w:r>
        <w:rPr>
          <w:color w:val="000000"/>
          <w:spacing w:val="-1"/>
          <w:sz w:val="22"/>
          <w:szCs w:val="22"/>
        </w:rPr>
        <w:t>-</w:t>
      </w:r>
      <w:r>
        <w:rPr>
          <w:color w:val="000000"/>
          <w:spacing w:val="-1"/>
          <w:sz w:val="22"/>
          <w:szCs w:val="22"/>
        </w:rPr>
        <w:tab/>
        <w:t>lei ha sofferto in precedenza di un grave dolore al petto noto come “angina instabile” o “infarto miocardico” (attacco cardiaco). Per curare questa condizione il medico può averle posizionato uno stent nell’arteria ostruita o ristretta per ristabilire il flusso del sangue. Il medico può averle prescritto anche acido acetilsalicilico (una sostanza presente in molti medicinali usati per alleviare il dolore e ridurre la febbre, come anche per prevenire la coagulazione del sangue),</w:t>
      </w:r>
    </w:p>
    <w:p>
      <w:pPr>
        <w:pStyle w:val="EndnoteText"/>
        <w:widowControl/>
        <w:numPr>
          <w:ilvl w:val="0"/>
          <w:numId w:val="3"/>
        </w:numPr>
        <w:tabs>
          <w:tab w:val="num" w:pos="0"/>
          <w:tab w:val="left" w:pos="567"/>
        </w:tabs>
        <w:suppressAutoHyphens w:val="0"/>
        <w:autoSpaceDE/>
        <w:ind w:left="567" w:hanging="567"/>
        <w:rPr>
          <w:color w:val="000000"/>
          <w:spacing w:val="-1"/>
          <w:sz w:val="22"/>
          <w:szCs w:val="22"/>
        </w:rPr>
      </w:pPr>
      <w:r>
        <w:rPr>
          <w:color w:val="000000"/>
          <w:spacing w:val="-1"/>
          <w:sz w:val="22"/>
          <w:szCs w:val="22"/>
        </w:rPr>
        <w:t>ha avuto sintomi di ictus che scompaiono in un breve periodo di tempo (noto anche come attacco ischemico transitorio) o ictus ischemico di gravità lieve. Il medico potrebbe prescriverle anche acido acetilsalicilico a partire dalle prime 24 ore</w:t>
      </w:r>
    </w:p>
    <w:p>
      <w:pPr>
        <w:tabs>
          <w:tab w:val="left" w:pos="567"/>
        </w:tabs>
        <w:spacing w:after="0" w:line="240" w:lineRule="auto"/>
        <w:ind w:left="540" w:hanging="567"/>
        <w:rPr>
          <w:rFonts w:ascii="Times New Roman" w:eastAsia="Times New Roman" w:hAnsi="Times New Roman"/>
          <w:color w:val="000000"/>
          <w:spacing w:val="-1"/>
          <w:lang w:val="it-IT" w:eastAsia="ar-SA"/>
        </w:rPr>
      </w:pPr>
      <w:r>
        <w:rPr>
          <w:rFonts w:ascii="Times New Roman" w:eastAsia="Times New Roman" w:hAnsi="Times New Roman"/>
          <w:color w:val="000000"/>
          <w:spacing w:val="-1"/>
          <w:lang w:val="it-IT" w:eastAsia="ar-SA"/>
        </w:rPr>
        <w:t>-</w:t>
      </w:r>
      <w:r>
        <w:rPr>
          <w:rFonts w:ascii="Times New Roman" w:eastAsia="Times New Roman" w:hAnsi="Times New Roman"/>
          <w:color w:val="000000"/>
          <w:spacing w:val="-1"/>
          <w:lang w:val="it-IT" w:eastAsia="ar-SA"/>
        </w:rPr>
        <w:tab/>
        <w:t>lei ha il battito cardiaco irregolare, una condizione chiamata “fibrillazione atriale”, e non può assumere medicinali noti come “anticoagulanti orali” (antagonisti della vitamina K) che prevengono la formazione di nuovi coaguli e lo sviluppo di quelli già esistenti. Le sarà stato detto che gli “anticoagulanti orali” sono più efficaci dell’acido acetilsalicilico o dell’uso combinato di Clopidogrel Krka e di acido acetilsalicilico nel trattamento di questa condizione. Se lei non può assumere “anticoagulanti orali” e non ha un rischio di sanguinamento maggiore, il medico potrebbe averle prescritto Clopidogrel Krka più acido acetilsalicilico</w:t>
      </w:r>
      <w:r>
        <w:rPr>
          <w:rFonts w:ascii="Times New Roman" w:eastAsia="Times New Roman" w:hAnsi="Times New Roman"/>
          <w:color w:val="000000"/>
          <w:lang w:val="it-IT" w:eastAsia="ar-SA"/>
        </w:rPr>
        <w:t>.</w:t>
      </w:r>
    </w:p>
    <w:p>
      <w:pPr>
        <w:widowControl w:val="0"/>
        <w:shd w:val="clear" w:color="auto" w:fill="FFFFFF"/>
        <w:autoSpaceDE w:val="0"/>
        <w:spacing w:after="0" w:line="240" w:lineRule="auto"/>
        <w:ind w:left="207"/>
        <w:rPr>
          <w:rFonts w:ascii="Times New Roman" w:eastAsia="Times New Roman" w:hAnsi="Times New Roman"/>
          <w:color w:val="000000"/>
          <w:lang w:val="it-IT" w:eastAsia="ar-SA"/>
        </w:rPr>
      </w:pPr>
    </w:p>
    <w:p>
      <w:pPr>
        <w:widowControl w:val="0"/>
        <w:shd w:val="clear" w:color="auto" w:fill="FFFFFF"/>
        <w:autoSpaceDE w:val="0"/>
        <w:spacing w:after="0" w:line="240" w:lineRule="auto"/>
        <w:ind w:left="207"/>
        <w:rPr>
          <w:rFonts w:ascii="Times New Roman" w:eastAsia="Times New Roman" w:hAnsi="Times New Roman"/>
          <w:color w:val="000000"/>
          <w:lang w:val="it-IT" w:eastAsia="ar-SA"/>
        </w:rPr>
      </w:pPr>
    </w:p>
    <w:p>
      <w:pPr>
        <w:widowControl w:val="0"/>
        <w:numPr>
          <w:ilvl w:val="0"/>
          <w:numId w:val="5"/>
        </w:numPr>
        <w:shd w:val="clear" w:color="auto" w:fill="FFFFFF"/>
        <w:suppressAutoHyphens/>
        <w:autoSpaceDE w:val="0"/>
        <w:spacing w:after="0" w:line="240" w:lineRule="auto"/>
        <w:ind w:left="567" w:hanging="567"/>
        <w:rPr>
          <w:rFonts w:ascii="Times New Roman" w:eastAsia="Times New Roman" w:hAnsi="Times New Roman"/>
          <w:b/>
          <w:bCs/>
          <w:color w:val="000000"/>
          <w:spacing w:val="-1"/>
          <w:lang w:val="it-IT" w:eastAsia="ar-SA"/>
        </w:rPr>
      </w:pPr>
      <w:r>
        <w:rPr>
          <w:rFonts w:ascii="Times New Roman" w:eastAsia="Times New Roman" w:hAnsi="Times New Roman"/>
          <w:b/>
          <w:bCs/>
          <w:lang w:val="it-IT" w:eastAsia="ar-SA"/>
        </w:rPr>
        <w:t xml:space="preserve">Cosa deve sapere </w:t>
      </w:r>
      <w:r>
        <w:rPr>
          <w:rFonts w:ascii="Times New Roman" w:eastAsia="Times New Roman" w:hAnsi="Times New Roman"/>
          <w:b/>
          <w:bCs/>
          <w:color w:val="000000"/>
          <w:spacing w:val="-1"/>
          <w:lang w:val="it-IT" w:eastAsia="ar-SA"/>
        </w:rPr>
        <w:t>prima di prendere Clopidogrel Krka</w:t>
      </w:r>
    </w:p>
    <w:p>
      <w:pPr>
        <w:widowControl w:val="0"/>
        <w:shd w:val="clear" w:color="auto" w:fill="FFFFFF"/>
        <w:suppressAutoHyphens/>
        <w:autoSpaceDE w:val="0"/>
        <w:spacing w:after="0" w:line="240" w:lineRule="auto"/>
        <w:rPr>
          <w:rFonts w:ascii="Times New Roman" w:eastAsia="Times New Roman" w:hAnsi="Times New Roman"/>
          <w:b/>
          <w:bCs/>
          <w:color w:val="000000"/>
          <w:spacing w:val="-1"/>
          <w:lang w:val="it-IT" w:eastAsia="ar-SA"/>
        </w:rPr>
      </w:pPr>
    </w:p>
    <w:p>
      <w:pPr>
        <w:widowControl w:val="0"/>
        <w:shd w:val="clear" w:color="auto" w:fill="FFFFFF"/>
        <w:suppressAutoHyphens/>
        <w:autoSpaceDE w:val="0"/>
        <w:spacing w:after="0" w:line="240" w:lineRule="auto"/>
        <w:rPr>
          <w:rFonts w:ascii="Times New Roman" w:eastAsia="Times New Roman" w:hAnsi="Times New Roman"/>
          <w:b/>
          <w:bCs/>
          <w:color w:val="000000"/>
          <w:spacing w:val="-1"/>
          <w:lang w:val="it-IT" w:eastAsia="ar-SA"/>
        </w:rPr>
      </w:pPr>
      <w:r>
        <w:rPr>
          <w:rFonts w:ascii="Times New Roman" w:eastAsia="Times New Roman" w:hAnsi="Times New Roman"/>
          <w:b/>
          <w:bCs/>
          <w:color w:val="000000"/>
          <w:spacing w:val="-1"/>
          <w:lang w:val="it-IT" w:eastAsia="ar-SA"/>
        </w:rPr>
        <w:t xml:space="preserve">Non prenda </w:t>
      </w:r>
      <w:r>
        <w:rPr>
          <w:rFonts w:ascii="Times New Roman" w:eastAsia="Times New Roman" w:hAnsi="Times New Roman"/>
          <w:b/>
          <w:color w:val="000000"/>
          <w:lang w:val="it-IT" w:eastAsia="ar-SA"/>
        </w:rPr>
        <w:t>Clopidogrel Krka</w:t>
      </w:r>
    </w:p>
    <w:p>
      <w:pPr>
        <w:widowControl w:val="0"/>
        <w:numPr>
          <w:ilvl w:val="0"/>
          <w:numId w:val="11"/>
        </w:numPr>
        <w:shd w:val="clear" w:color="auto" w:fill="FFFFFF"/>
        <w:tabs>
          <w:tab w:val="left" w:pos="567"/>
        </w:tabs>
        <w:suppressAutoHyphens/>
        <w:autoSpaceDE w:val="0"/>
        <w:spacing w:after="0" w:line="240" w:lineRule="auto"/>
        <w:ind w:left="567" w:hanging="567"/>
        <w:rPr>
          <w:rFonts w:ascii="Times New Roman" w:eastAsia="Times New Roman" w:hAnsi="Times New Roman"/>
          <w:color w:val="000000"/>
          <w:lang w:val="it-IT" w:eastAsia="ar-SA"/>
        </w:rPr>
      </w:pPr>
      <w:r>
        <w:rPr>
          <w:rFonts w:ascii="Times New Roman" w:eastAsia="Times New Roman" w:hAnsi="Times New Roman"/>
          <w:color w:val="000000"/>
          <w:lang w:val="it-IT" w:eastAsia="ar-SA"/>
        </w:rPr>
        <w:t>Se è allergico (ipersensibile) a clopidogrel o ad uno qualsiasi degli altri eccipienti di questo medicinale (elencati al paragrafo 6).</w:t>
      </w:r>
    </w:p>
    <w:p>
      <w:pPr>
        <w:widowControl w:val="0"/>
        <w:numPr>
          <w:ilvl w:val="0"/>
          <w:numId w:val="11"/>
        </w:numPr>
        <w:shd w:val="clear" w:color="auto" w:fill="FFFFFF"/>
        <w:tabs>
          <w:tab w:val="left" w:pos="567"/>
        </w:tabs>
        <w:suppressAutoHyphens/>
        <w:autoSpaceDE w:val="0"/>
        <w:spacing w:after="0" w:line="240" w:lineRule="auto"/>
        <w:ind w:left="567" w:hanging="567"/>
        <w:rPr>
          <w:rFonts w:ascii="Times New Roman" w:eastAsia="Times New Roman" w:hAnsi="Times New Roman"/>
          <w:color w:val="000000"/>
          <w:spacing w:val="-1"/>
          <w:lang w:val="it-IT" w:eastAsia="ar-SA"/>
        </w:rPr>
      </w:pPr>
      <w:r>
        <w:rPr>
          <w:rFonts w:ascii="Times New Roman" w:eastAsia="Times New Roman" w:hAnsi="Times New Roman"/>
          <w:color w:val="000000"/>
          <w:spacing w:val="-1"/>
          <w:lang w:val="it-IT" w:eastAsia="ar-SA"/>
        </w:rPr>
        <w:t>Se ha un sanguinamento in atto, come ad esempio un'ulcera gastrica o un’emorragia in una zona del cervello.</w:t>
      </w:r>
    </w:p>
    <w:p>
      <w:pPr>
        <w:widowControl w:val="0"/>
        <w:numPr>
          <w:ilvl w:val="0"/>
          <w:numId w:val="11"/>
        </w:numPr>
        <w:shd w:val="clear" w:color="auto" w:fill="FFFFFF"/>
        <w:tabs>
          <w:tab w:val="left" w:pos="567"/>
        </w:tabs>
        <w:suppressAutoHyphens/>
        <w:autoSpaceDE w:val="0"/>
        <w:spacing w:after="0" w:line="240" w:lineRule="auto"/>
        <w:ind w:left="567" w:hanging="567"/>
        <w:rPr>
          <w:rFonts w:ascii="Times New Roman" w:eastAsia="Times New Roman" w:hAnsi="Times New Roman"/>
          <w:color w:val="000000"/>
          <w:spacing w:val="-1"/>
          <w:lang w:val="it-IT" w:eastAsia="ar-SA"/>
        </w:rPr>
      </w:pPr>
      <w:r>
        <w:rPr>
          <w:rFonts w:ascii="Times New Roman" w:eastAsia="Times New Roman" w:hAnsi="Times New Roman"/>
          <w:color w:val="000000"/>
          <w:spacing w:val="-1"/>
          <w:lang w:val="it-IT" w:eastAsia="ar-SA"/>
        </w:rPr>
        <w:t>Se soffre di una grave malattia del fegato.</w:t>
      </w:r>
    </w:p>
    <w:p>
      <w:pPr>
        <w:widowControl w:val="0"/>
        <w:shd w:val="clear" w:color="auto" w:fill="FFFFFF"/>
        <w:suppressAutoHyphens/>
        <w:autoSpaceDE w:val="0"/>
        <w:spacing w:after="0" w:line="240" w:lineRule="auto"/>
        <w:rPr>
          <w:rFonts w:ascii="Times New Roman" w:eastAsia="Times New Roman" w:hAnsi="Times New Roman"/>
          <w:color w:val="000000"/>
          <w:spacing w:val="-1"/>
          <w:lang w:val="it-IT" w:eastAsia="ar-SA"/>
        </w:rPr>
      </w:pPr>
    </w:p>
    <w:p>
      <w:pPr>
        <w:widowControl w:val="0"/>
        <w:shd w:val="clear" w:color="auto" w:fill="FFFFFF"/>
        <w:suppressAutoHyphens/>
        <w:autoSpaceDE w:val="0"/>
        <w:spacing w:after="0" w:line="240" w:lineRule="auto"/>
        <w:rPr>
          <w:rFonts w:ascii="Times New Roman" w:eastAsia="Times New Roman" w:hAnsi="Times New Roman"/>
          <w:lang w:val="it-IT" w:eastAsia="ar-SA"/>
        </w:rPr>
      </w:pPr>
      <w:r>
        <w:rPr>
          <w:rFonts w:ascii="Times New Roman" w:eastAsia="Times New Roman" w:hAnsi="Times New Roman"/>
          <w:color w:val="000000"/>
          <w:spacing w:val="-1"/>
          <w:lang w:val="it-IT" w:eastAsia="ar-SA"/>
        </w:rPr>
        <w:t xml:space="preserve">Se ritiene che uno di questi casi la riguardi, o se ci fossero dubbi in proposito, consulti il medico prima di usare </w:t>
      </w:r>
      <w:r>
        <w:rPr>
          <w:rFonts w:ascii="Times New Roman" w:eastAsia="Times New Roman" w:hAnsi="Times New Roman"/>
          <w:color w:val="000000"/>
          <w:lang w:val="it-IT" w:eastAsia="ar-SA"/>
        </w:rPr>
        <w:t>Clopidogrel Krka</w:t>
      </w:r>
      <w:r>
        <w:rPr>
          <w:rFonts w:ascii="Times New Roman" w:eastAsia="Times New Roman" w:hAnsi="Times New Roman"/>
          <w:color w:val="000000"/>
          <w:spacing w:val="-1"/>
          <w:lang w:val="it-IT" w:eastAsia="ar-SA"/>
        </w:rPr>
        <w:t>.</w:t>
      </w:r>
    </w:p>
    <w:p>
      <w:pPr>
        <w:widowControl w:val="0"/>
        <w:shd w:val="clear" w:color="auto" w:fill="FFFFFF"/>
        <w:suppressAutoHyphens/>
        <w:autoSpaceDE w:val="0"/>
        <w:spacing w:after="0" w:line="240" w:lineRule="auto"/>
        <w:rPr>
          <w:rFonts w:ascii="Times New Roman" w:eastAsia="Times New Roman" w:hAnsi="Times New Roman"/>
          <w:lang w:val="it-IT" w:eastAsia="ar-SA"/>
        </w:rPr>
      </w:pPr>
    </w:p>
    <w:p>
      <w:pPr>
        <w:spacing w:after="0" w:line="240" w:lineRule="auto"/>
        <w:rPr>
          <w:rFonts w:ascii="Times New Roman" w:hAnsi="Times New Roman"/>
          <w:lang w:val="it-IT"/>
        </w:rPr>
      </w:pPr>
      <w:r>
        <w:rPr>
          <w:rFonts w:ascii="Times New Roman" w:hAnsi="Times New Roman"/>
          <w:b/>
          <w:bCs/>
          <w:lang w:val="it-IT"/>
        </w:rPr>
        <w:t>Avvertenze e precauzioni</w:t>
      </w:r>
    </w:p>
    <w:p>
      <w:pPr>
        <w:widowControl w:val="0"/>
        <w:shd w:val="clear" w:color="auto" w:fill="FFFFFF"/>
        <w:suppressAutoHyphens/>
        <w:autoSpaceDE w:val="0"/>
        <w:spacing w:after="0" w:line="240" w:lineRule="auto"/>
        <w:rPr>
          <w:rFonts w:ascii="Times New Roman" w:eastAsia="Times New Roman" w:hAnsi="Times New Roman"/>
          <w:color w:val="000000"/>
          <w:lang w:val="it-IT" w:eastAsia="ar-SA"/>
        </w:rPr>
      </w:pPr>
      <w:r>
        <w:rPr>
          <w:rFonts w:ascii="Times New Roman" w:eastAsia="Times New Roman" w:hAnsi="Times New Roman"/>
          <w:color w:val="000000"/>
          <w:lang w:val="it-IT" w:eastAsia="ar-SA"/>
        </w:rPr>
        <w:t>In presenza di una delle situazioni menzionate qui sotto, informi il medico prima di prendere Clopidogrel Krka:</w:t>
      </w:r>
    </w:p>
    <w:p>
      <w:pPr>
        <w:widowControl w:val="0"/>
        <w:numPr>
          <w:ilvl w:val="0"/>
          <w:numId w:val="7"/>
        </w:numPr>
        <w:shd w:val="clear" w:color="auto" w:fill="FFFFFF"/>
        <w:tabs>
          <w:tab w:val="clear" w:pos="360"/>
          <w:tab w:val="num" w:pos="567"/>
        </w:tabs>
        <w:suppressAutoHyphens/>
        <w:autoSpaceDE w:val="0"/>
        <w:spacing w:after="0" w:line="240" w:lineRule="auto"/>
        <w:ind w:left="567" w:hanging="567"/>
        <w:rPr>
          <w:rFonts w:ascii="Times New Roman" w:eastAsia="Times New Roman" w:hAnsi="Times New Roman"/>
          <w:color w:val="000000"/>
          <w:spacing w:val="-1"/>
          <w:lang w:val="it-IT" w:eastAsia="ar-SA"/>
        </w:rPr>
      </w:pPr>
      <w:r>
        <w:rPr>
          <w:rFonts w:ascii="Times New Roman" w:eastAsia="Times New Roman" w:hAnsi="Times New Roman"/>
          <w:color w:val="000000"/>
          <w:spacing w:val="-1"/>
          <w:lang w:val="it-IT" w:eastAsia="ar-SA"/>
        </w:rPr>
        <w:t>se ha un rischio di emorragia come:</w:t>
      </w:r>
    </w:p>
    <w:p>
      <w:pPr>
        <w:widowControl w:val="0"/>
        <w:numPr>
          <w:ilvl w:val="0"/>
          <w:numId w:val="6"/>
        </w:numPr>
        <w:shd w:val="clear" w:color="auto" w:fill="FFFFFF"/>
        <w:tabs>
          <w:tab w:val="left" w:pos="851"/>
        </w:tabs>
        <w:suppressAutoHyphens/>
        <w:autoSpaceDE w:val="0"/>
        <w:spacing w:after="0" w:line="240" w:lineRule="auto"/>
        <w:ind w:left="851" w:hanging="284"/>
        <w:rPr>
          <w:rFonts w:ascii="Times New Roman" w:eastAsia="Times New Roman" w:hAnsi="Times New Roman"/>
          <w:color w:val="000000"/>
          <w:spacing w:val="-1"/>
          <w:lang w:val="it-IT" w:eastAsia="ar-SA"/>
        </w:rPr>
      </w:pPr>
      <w:r>
        <w:rPr>
          <w:rFonts w:ascii="Times New Roman" w:eastAsia="Times New Roman" w:hAnsi="Times New Roman"/>
          <w:color w:val="000000"/>
          <w:spacing w:val="-1"/>
          <w:lang w:val="it-IT" w:eastAsia="ar-SA"/>
        </w:rPr>
        <w:t>una condizione medica che la pone a rischio di sanguinamento interno (come un'ulcera gastrica)</w:t>
      </w:r>
    </w:p>
    <w:p>
      <w:pPr>
        <w:widowControl w:val="0"/>
        <w:numPr>
          <w:ilvl w:val="0"/>
          <w:numId w:val="6"/>
        </w:numPr>
        <w:shd w:val="clear" w:color="auto" w:fill="FFFFFF"/>
        <w:tabs>
          <w:tab w:val="left" w:pos="851"/>
        </w:tabs>
        <w:suppressAutoHyphens/>
        <w:autoSpaceDE w:val="0"/>
        <w:spacing w:after="0" w:line="240" w:lineRule="auto"/>
        <w:ind w:left="851" w:hanging="284"/>
        <w:rPr>
          <w:rFonts w:ascii="Times New Roman" w:eastAsia="Times New Roman" w:hAnsi="Times New Roman"/>
          <w:color w:val="000000"/>
          <w:spacing w:val="-1"/>
          <w:lang w:val="it-IT" w:eastAsia="ar-SA"/>
        </w:rPr>
      </w:pPr>
      <w:r>
        <w:rPr>
          <w:rFonts w:ascii="Times New Roman" w:eastAsia="Times New Roman" w:hAnsi="Times New Roman"/>
          <w:color w:val="000000"/>
          <w:spacing w:val="-1"/>
          <w:lang w:val="it-IT" w:eastAsia="ar-SA"/>
        </w:rPr>
        <w:t xml:space="preserve">un disturbo del sangue che la rende soggetto a sanguinamento interno (sanguinamento </w:t>
      </w:r>
      <w:r>
        <w:rPr>
          <w:rFonts w:ascii="Times New Roman" w:eastAsia="Times New Roman" w:hAnsi="Times New Roman"/>
          <w:color w:val="000000"/>
          <w:lang w:val="it-IT" w:eastAsia="ar-SA"/>
        </w:rPr>
        <w:t>all'interno di qualunque tessuto, organo o articolazione del corpo)</w:t>
      </w:r>
    </w:p>
    <w:p>
      <w:pPr>
        <w:widowControl w:val="0"/>
        <w:numPr>
          <w:ilvl w:val="0"/>
          <w:numId w:val="6"/>
        </w:numPr>
        <w:shd w:val="clear" w:color="auto" w:fill="FFFFFF"/>
        <w:tabs>
          <w:tab w:val="left" w:pos="851"/>
        </w:tabs>
        <w:suppressAutoHyphens/>
        <w:autoSpaceDE w:val="0"/>
        <w:spacing w:after="0" w:line="240" w:lineRule="auto"/>
        <w:ind w:left="851" w:hanging="284"/>
        <w:rPr>
          <w:rFonts w:ascii="Times New Roman" w:eastAsia="Times New Roman" w:hAnsi="Times New Roman"/>
          <w:color w:val="000000"/>
          <w:spacing w:val="-1"/>
          <w:lang w:val="it-IT" w:eastAsia="ar-SA"/>
        </w:rPr>
      </w:pPr>
      <w:r>
        <w:rPr>
          <w:rFonts w:ascii="Times New Roman" w:eastAsia="Times New Roman" w:hAnsi="Times New Roman"/>
          <w:color w:val="000000"/>
          <w:lang w:val="it-IT" w:eastAsia="ar-SA"/>
        </w:rPr>
        <w:t>una ferita recente grave</w:t>
      </w:r>
    </w:p>
    <w:p>
      <w:pPr>
        <w:widowControl w:val="0"/>
        <w:numPr>
          <w:ilvl w:val="0"/>
          <w:numId w:val="6"/>
        </w:numPr>
        <w:shd w:val="clear" w:color="auto" w:fill="FFFFFF"/>
        <w:tabs>
          <w:tab w:val="left" w:pos="851"/>
        </w:tabs>
        <w:suppressAutoHyphens/>
        <w:autoSpaceDE w:val="0"/>
        <w:spacing w:after="0" w:line="240" w:lineRule="auto"/>
        <w:ind w:left="851" w:hanging="284"/>
        <w:rPr>
          <w:rFonts w:ascii="Times New Roman" w:eastAsia="Times New Roman" w:hAnsi="Times New Roman"/>
          <w:color w:val="000000"/>
          <w:spacing w:val="-1"/>
          <w:lang w:val="it-IT" w:eastAsia="ar-SA"/>
        </w:rPr>
      </w:pPr>
      <w:r>
        <w:rPr>
          <w:rFonts w:ascii="Times New Roman" w:eastAsia="Times New Roman" w:hAnsi="Times New Roman"/>
          <w:color w:val="000000"/>
          <w:lang w:val="it-IT" w:eastAsia="ar-SA"/>
        </w:rPr>
        <w:t>un intervento chirurgico recente (compreso un intervento ai denti)</w:t>
      </w:r>
    </w:p>
    <w:p>
      <w:pPr>
        <w:widowControl w:val="0"/>
        <w:numPr>
          <w:ilvl w:val="0"/>
          <w:numId w:val="6"/>
        </w:numPr>
        <w:shd w:val="clear" w:color="auto" w:fill="FFFFFF"/>
        <w:tabs>
          <w:tab w:val="left" w:pos="851"/>
        </w:tabs>
        <w:suppressAutoHyphens/>
        <w:autoSpaceDE w:val="0"/>
        <w:spacing w:after="0" w:line="240" w:lineRule="auto"/>
        <w:ind w:left="851" w:hanging="284"/>
        <w:rPr>
          <w:rFonts w:ascii="Times New Roman" w:eastAsia="Times New Roman" w:hAnsi="Times New Roman"/>
          <w:color w:val="000000"/>
          <w:spacing w:val="-1"/>
          <w:lang w:val="it-IT" w:eastAsia="ar-SA"/>
        </w:rPr>
      </w:pPr>
      <w:r>
        <w:rPr>
          <w:rFonts w:ascii="Times New Roman" w:eastAsia="Times New Roman" w:hAnsi="Times New Roman"/>
          <w:color w:val="000000"/>
          <w:spacing w:val="-1"/>
          <w:lang w:val="it-IT" w:eastAsia="ar-SA"/>
        </w:rPr>
        <w:t>un intervento chirurgico (compreso un intervento ai denti) in programma nei successivi sette giorni</w:t>
      </w:r>
    </w:p>
    <w:p>
      <w:pPr>
        <w:widowControl w:val="0"/>
        <w:numPr>
          <w:ilvl w:val="0"/>
          <w:numId w:val="8"/>
        </w:numPr>
        <w:shd w:val="clear" w:color="auto" w:fill="FFFFFF"/>
        <w:tabs>
          <w:tab w:val="clear" w:pos="360"/>
          <w:tab w:val="left" w:pos="567"/>
          <w:tab w:val="left" w:pos="1701"/>
        </w:tabs>
        <w:suppressAutoHyphens/>
        <w:autoSpaceDE w:val="0"/>
        <w:spacing w:before="34" w:after="0" w:line="240" w:lineRule="auto"/>
        <w:ind w:left="567" w:hanging="567"/>
        <w:rPr>
          <w:rFonts w:ascii="Times New Roman" w:eastAsia="Times New Roman" w:hAnsi="Times New Roman"/>
          <w:color w:val="000000"/>
          <w:spacing w:val="-1"/>
          <w:lang w:val="it-IT" w:eastAsia="ar-SA"/>
        </w:rPr>
      </w:pPr>
      <w:r>
        <w:rPr>
          <w:rFonts w:ascii="Times New Roman" w:eastAsia="Times New Roman" w:hAnsi="Times New Roman"/>
          <w:color w:val="000000"/>
          <w:lang w:val="it-IT" w:eastAsia="ar-SA"/>
        </w:rPr>
        <w:t xml:space="preserve">se ha avuto un coagulo in un'arteria del cervello (ictus ischemico) che si è verificato negli ultimi </w:t>
      </w:r>
      <w:r>
        <w:rPr>
          <w:rFonts w:ascii="Times New Roman" w:eastAsia="Times New Roman" w:hAnsi="Times New Roman"/>
          <w:color w:val="000000"/>
          <w:spacing w:val="-1"/>
          <w:lang w:val="it-IT" w:eastAsia="ar-SA"/>
        </w:rPr>
        <w:t>sette giorni</w:t>
      </w:r>
    </w:p>
    <w:p>
      <w:pPr>
        <w:widowControl w:val="0"/>
        <w:numPr>
          <w:ilvl w:val="0"/>
          <w:numId w:val="8"/>
        </w:numPr>
        <w:shd w:val="clear" w:color="auto" w:fill="FFFFFF"/>
        <w:tabs>
          <w:tab w:val="clear" w:pos="360"/>
          <w:tab w:val="left" w:pos="567"/>
          <w:tab w:val="left" w:pos="1701"/>
        </w:tabs>
        <w:suppressAutoHyphens/>
        <w:autoSpaceDE w:val="0"/>
        <w:spacing w:before="34" w:after="0" w:line="240" w:lineRule="auto"/>
        <w:ind w:left="567" w:hanging="567"/>
        <w:rPr>
          <w:rFonts w:ascii="Times New Roman" w:eastAsia="Times New Roman" w:hAnsi="Times New Roman"/>
          <w:color w:val="000000"/>
          <w:spacing w:val="-1"/>
          <w:lang w:val="it-IT" w:eastAsia="ar-SA"/>
        </w:rPr>
      </w:pPr>
      <w:r>
        <w:rPr>
          <w:rFonts w:ascii="Times New Roman" w:eastAsia="Times New Roman" w:hAnsi="Times New Roman"/>
          <w:color w:val="000000"/>
          <w:lang w:val="it-IT" w:eastAsia="ar-SA"/>
        </w:rPr>
        <w:t>se ha malattie del rene o del fegato</w:t>
      </w:r>
    </w:p>
    <w:p>
      <w:pPr>
        <w:widowControl w:val="0"/>
        <w:numPr>
          <w:ilvl w:val="0"/>
          <w:numId w:val="8"/>
        </w:numPr>
        <w:tabs>
          <w:tab w:val="clear" w:pos="360"/>
          <w:tab w:val="num" w:pos="567"/>
        </w:tabs>
        <w:suppressAutoHyphens/>
        <w:autoSpaceDE w:val="0"/>
        <w:spacing w:after="0" w:line="240" w:lineRule="auto"/>
        <w:ind w:left="567" w:hanging="567"/>
        <w:rPr>
          <w:rFonts w:ascii="Times New Roman" w:eastAsia="Times New Roman" w:hAnsi="Times New Roman"/>
          <w:lang w:val="it-IT" w:eastAsia="ar-SA"/>
        </w:rPr>
      </w:pPr>
      <w:r>
        <w:rPr>
          <w:rFonts w:ascii="Times New Roman" w:eastAsia="Times New Roman" w:hAnsi="Times New Roman"/>
          <w:lang w:val="it-IT" w:eastAsia="ar-SA"/>
        </w:rPr>
        <w:t>se ha avuto un’allergia o una reazione a qualsiasi medicinale usato per trattare la sua malattia</w:t>
      </w:r>
    </w:p>
    <w:p>
      <w:pPr>
        <w:widowControl w:val="0"/>
        <w:numPr>
          <w:ilvl w:val="0"/>
          <w:numId w:val="8"/>
        </w:numPr>
        <w:shd w:val="clear" w:color="auto" w:fill="FFFFFF"/>
        <w:tabs>
          <w:tab w:val="clear" w:pos="360"/>
          <w:tab w:val="left" w:pos="567"/>
          <w:tab w:val="left" w:pos="1701"/>
        </w:tabs>
        <w:autoSpaceDE w:val="0"/>
        <w:spacing w:before="34" w:after="0" w:line="240" w:lineRule="auto"/>
        <w:ind w:left="567" w:hanging="567"/>
        <w:rPr>
          <w:rFonts w:ascii="Times New Roman" w:eastAsia="Times New Roman" w:hAnsi="Times New Roman"/>
          <w:color w:val="000000"/>
          <w:lang w:val="it-IT" w:eastAsia="ar-SA"/>
        </w:rPr>
      </w:pPr>
      <w:r>
        <w:rPr>
          <w:rFonts w:ascii="Times New Roman" w:eastAsia="Times New Roman" w:hAnsi="Times New Roman"/>
          <w:color w:val="000000"/>
          <w:lang w:val="it-IT" w:eastAsia="ar-SA"/>
        </w:rPr>
        <w:t>se ha avuto in passato un’emorragia cerebrale di origine non traumatica.</w:t>
      </w:r>
    </w:p>
    <w:p>
      <w:pPr>
        <w:widowControl w:val="0"/>
        <w:suppressAutoHyphens/>
        <w:autoSpaceDE w:val="0"/>
        <w:spacing w:after="0" w:line="240" w:lineRule="auto"/>
        <w:rPr>
          <w:rFonts w:ascii="Times New Roman" w:eastAsia="Times New Roman" w:hAnsi="Times New Roman"/>
          <w:color w:val="000000"/>
          <w:lang w:val="it-IT" w:eastAsia="ar-SA"/>
        </w:rPr>
      </w:pPr>
    </w:p>
    <w:p>
      <w:pPr>
        <w:widowControl w:val="0"/>
        <w:shd w:val="clear" w:color="auto" w:fill="FFFFFF"/>
        <w:suppressAutoHyphens/>
        <w:autoSpaceDE w:val="0"/>
        <w:spacing w:after="0" w:line="240" w:lineRule="auto"/>
        <w:rPr>
          <w:rFonts w:ascii="Times New Roman" w:eastAsia="Times New Roman" w:hAnsi="Times New Roman"/>
          <w:color w:val="000000"/>
          <w:spacing w:val="-1"/>
          <w:lang w:val="it-IT" w:eastAsia="ar-SA"/>
        </w:rPr>
      </w:pPr>
      <w:r>
        <w:rPr>
          <w:rFonts w:ascii="Times New Roman" w:eastAsia="Times New Roman" w:hAnsi="Times New Roman"/>
          <w:color w:val="000000"/>
          <w:spacing w:val="-1"/>
          <w:lang w:val="it-IT" w:eastAsia="ar-SA"/>
        </w:rPr>
        <w:t xml:space="preserve">Mentre sta prendendo </w:t>
      </w:r>
      <w:r>
        <w:rPr>
          <w:rFonts w:ascii="Times New Roman" w:eastAsia="Times New Roman" w:hAnsi="Times New Roman"/>
          <w:color w:val="000000"/>
          <w:lang w:val="it-IT" w:eastAsia="ar-SA"/>
        </w:rPr>
        <w:t>Clopidogrel Krka</w:t>
      </w:r>
      <w:r>
        <w:rPr>
          <w:rFonts w:ascii="Times New Roman" w:eastAsia="Times New Roman" w:hAnsi="Times New Roman"/>
          <w:color w:val="000000"/>
          <w:spacing w:val="-1"/>
          <w:lang w:val="it-IT" w:eastAsia="ar-SA"/>
        </w:rPr>
        <w:t>:</w:t>
      </w:r>
    </w:p>
    <w:p>
      <w:pPr>
        <w:widowControl w:val="0"/>
        <w:numPr>
          <w:ilvl w:val="0"/>
          <w:numId w:val="12"/>
        </w:numPr>
        <w:shd w:val="clear" w:color="auto" w:fill="FFFFFF"/>
        <w:tabs>
          <w:tab w:val="left" w:pos="567"/>
        </w:tabs>
        <w:suppressAutoHyphens/>
        <w:autoSpaceDE w:val="0"/>
        <w:spacing w:after="0" w:line="240" w:lineRule="auto"/>
        <w:ind w:left="567" w:hanging="567"/>
        <w:rPr>
          <w:rFonts w:ascii="Times New Roman" w:eastAsia="Times New Roman" w:hAnsi="Times New Roman"/>
          <w:color w:val="000000"/>
          <w:lang w:val="it-IT" w:eastAsia="ar-SA"/>
        </w:rPr>
      </w:pPr>
      <w:r>
        <w:rPr>
          <w:rFonts w:ascii="Times New Roman" w:eastAsia="Times New Roman" w:hAnsi="Times New Roman"/>
          <w:color w:val="000000"/>
          <w:spacing w:val="-1"/>
          <w:lang w:val="it-IT" w:eastAsia="ar-SA"/>
        </w:rPr>
        <w:t xml:space="preserve">Deve informare il medico nel caso in cui lei debba essere sottoposto ad intervento chirurgico </w:t>
      </w:r>
      <w:r>
        <w:rPr>
          <w:rFonts w:ascii="Times New Roman" w:eastAsia="Times New Roman" w:hAnsi="Times New Roman"/>
          <w:color w:val="000000"/>
          <w:lang w:val="it-IT" w:eastAsia="ar-SA"/>
        </w:rPr>
        <w:t>(compreso un intervento ai denti)</w:t>
      </w:r>
    </w:p>
    <w:p>
      <w:pPr>
        <w:widowControl w:val="0"/>
        <w:numPr>
          <w:ilvl w:val="0"/>
          <w:numId w:val="12"/>
        </w:numPr>
        <w:shd w:val="clear" w:color="auto" w:fill="FFFFFF"/>
        <w:tabs>
          <w:tab w:val="left" w:pos="567"/>
        </w:tabs>
        <w:suppressAutoHyphens/>
        <w:autoSpaceDE w:val="0"/>
        <w:spacing w:after="0" w:line="240" w:lineRule="auto"/>
        <w:ind w:left="567" w:hanging="567"/>
        <w:rPr>
          <w:rFonts w:ascii="Times New Roman" w:eastAsia="Times New Roman" w:hAnsi="Times New Roman"/>
          <w:color w:val="000000"/>
          <w:lang w:val="it-IT" w:eastAsia="ar-SA"/>
        </w:rPr>
      </w:pPr>
      <w:r>
        <w:rPr>
          <w:rFonts w:ascii="Times New Roman" w:eastAsia="Times New Roman" w:hAnsi="Times New Roman"/>
          <w:color w:val="000000"/>
          <w:lang w:val="it-IT" w:eastAsia="ar-SA"/>
        </w:rPr>
        <w:t xml:space="preserve">Deve anche informare immediatamente il medico se sviluppa una condizione medica </w:t>
      </w:r>
      <w:r>
        <w:rPr>
          <w:rFonts w:ascii="Times New Roman" w:eastAsia="Times New Roman" w:hAnsi="Times New Roman"/>
          <w:lang w:val="it-IT" w:eastAsia="ar-SA"/>
        </w:rPr>
        <w:t xml:space="preserve">(anche nota come Porpora Trombotica Trombocitopenica o PTT) </w:t>
      </w:r>
      <w:r>
        <w:rPr>
          <w:rFonts w:ascii="Times New Roman" w:eastAsia="Times New Roman" w:hAnsi="Times New Roman"/>
          <w:color w:val="000000"/>
          <w:lang w:val="it-IT" w:eastAsia="ar-SA"/>
        </w:rPr>
        <w:t xml:space="preserve">che include </w:t>
      </w:r>
      <w:r>
        <w:rPr>
          <w:rFonts w:ascii="Times New Roman" w:eastAsia="Times New Roman" w:hAnsi="Times New Roman"/>
          <w:color w:val="000000"/>
          <w:spacing w:val="-1"/>
          <w:lang w:val="it-IT" w:eastAsia="ar-SA"/>
        </w:rPr>
        <w:t xml:space="preserve">febbre e contusioni sotto la pelle che appaiono come puntini rossi, con o senza affaticamento </w:t>
      </w:r>
      <w:r>
        <w:rPr>
          <w:rFonts w:ascii="Times New Roman" w:eastAsia="Times New Roman" w:hAnsi="Times New Roman"/>
          <w:color w:val="000000"/>
          <w:lang w:val="it-IT" w:eastAsia="ar-SA"/>
        </w:rPr>
        <w:t xml:space="preserve">estremo inspiegato, confusione, ingiallimento della pelle o degli occhi (ittero) (vedere </w:t>
      </w:r>
      <w:r>
        <w:rPr>
          <w:rFonts w:ascii="Times New Roman" w:eastAsia="Times New Roman" w:hAnsi="Times New Roman"/>
          <w:lang w:val="it-IT" w:eastAsia="ar-SA"/>
        </w:rPr>
        <w:t xml:space="preserve">paragrafo 4 </w:t>
      </w:r>
      <w:r>
        <w:rPr>
          <w:rFonts w:ascii="Times New Roman" w:eastAsia="Times New Roman" w:hAnsi="Times New Roman"/>
          <w:color w:val="000000"/>
          <w:lang w:val="it-IT" w:eastAsia="ar-SA"/>
        </w:rPr>
        <w:t>"Possibili effetti indesiderati")</w:t>
      </w:r>
    </w:p>
    <w:p>
      <w:pPr>
        <w:widowControl w:val="0"/>
        <w:numPr>
          <w:ilvl w:val="0"/>
          <w:numId w:val="12"/>
        </w:numPr>
        <w:shd w:val="clear" w:color="auto" w:fill="FFFFFF"/>
        <w:tabs>
          <w:tab w:val="left" w:pos="567"/>
          <w:tab w:val="left" w:pos="3342"/>
        </w:tabs>
        <w:suppressAutoHyphens/>
        <w:autoSpaceDE w:val="0"/>
        <w:spacing w:after="0" w:line="240" w:lineRule="auto"/>
        <w:ind w:left="567" w:hanging="567"/>
        <w:rPr>
          <w:rFonts w:ascii="Times New Roman" w:eastAsia="Times New Roman" w:hAnsi="Times New Roman"/>
          <w:color w:val="000000"/>
          <w:lang w:val="it-IT" w:eastAsia="ar-SA"/>
        </w:rPr>
      </w:pPr>
      <w:r>
        <w:rPr>
          <w:rFonts w:ascii="Times New Roman" w:eastAsia="Times New Roman" w:hAnsi="Times New Roman"/>
          <w:color w:val="000000"/>
          <w:lang w:val="it-IT" w:eastAsia="ar-SA"/>
        </w:rPr>
        <w:t xml:space="preserve">Se si taglia o si ferisce, potrebbe essere necessario un tempo più lungo del solito perché il </w:t>
      </w:r>
      <w:r>
        <w:rPr>
          <w:rFonts w:ascii="Times New Roman" w:eastAsia="Times New Roman" w:hAnsi="Times New Roman"/>
          <w:color w:val="000000"/>
          <w:spacing w:val="-1"/>
          <w:lang w:val="it-IT" w:eastAsia="ar-SA"/>
        </w:rPr>
        <w:t xml:space="preserve">sanguinamento si fermi. Questo è dovuto al modo in cui agisce il medicinale poiché impedisce </w:t>
      </w:r>
      <w:r>
        <w:rPr>
          <w:rFonts w:ascii="Times New Roman" w:eastAsia="Times New Roman" w:hAnsi="Times New Roman"/>
          <w:color w:val="000000"/>
          <w:lang w:val="it-IT" w:eastAsia="ar-SA"/>
        </w:rPr>
        <w:t xml:space="preserve">la formazione di coaguli sanguigni. Per tagli e ferite minori, come tagliarsi da soli o farsi la </w:t>
      </w:r>
      <w:r>
        <w:rPr>
          <w:rFonts w:ascii="Times New Roman" w:eastAsia="Times New Roman" w:hAnsi="Times New Roman"/>
          <w:color w:val="000000"/>
          <w:spacing w:val="-1"/>
          <w:lang w:val="it-IT" w:eastAsia="ar-SA"/>
        </w:rPr>
        <w:t xml:space="preserve">barba, questo solitamente non crea problemi. Tuttavia, se è preoccupato per il sanguinamento, </w:t>
      </w:r>
      <w:r>
        <w:rPr>
          <w:rFonts w:ascii="Times New Roman" w:eastAsia="Times New Roman" w:hAnsi="Times New Roman"/>
          <w:color w:val="000000"/>
          <w:lang w:val="it-IT" w:eastAsia="ar-SA"/>
        </w:rPr>
        <w:t xml:space="preserve">contatti subito il medico (vedere </w:t>
      </w:r>
      <w:r>
        <w:rPr>
          <w:rFonts w:ascii="Times New Roman" w:eastAsia="Times New Roman" w:hAnsi="Times New Roman"/>
          <w:lang w:val="it-IT" w:eastAsia="ar-SA"/>
        </w:rPr>
        <w:t xml:space="preserve">paragrafo 4 </w:t>
      </w:r>
      <w:r>
        <w:rPr>
          <w:rFonts w:ascii="Times New Roman" w:eastAsia="Times New Roman" w:hAnsi="Times New Roman"/>
          <w:color w:val="000000"/>
          <w:lang w:val="it-IT" w:eastAsia="ar-SA"/>
        </w:rPr>
        <w:t>"Possibili effetti indesiderati")</w:t>
      </w:r>
    </w:p>
    <w:p>
      <w:pPr>
        <w:widowControl w:val="0"/>
        <w:numPr>
          <w:ilvl w:val="0"/>
          <w:numId w:val="12"/>
        </w:numPr>
        <w:shd w:val="clear" w:color="auto" w:fill="FFFFFF"/>
        <w:tabs>
          <w:tab w:val="left" w:pos="567"/>
          <w:tab w:val="left" w:pos="1728"/>
        </w:tabs>
        <w:suppressAutoHyphens/>
        <w:autoSpaceDE w:val="0"/>
        <w:spacing w:after="0" w:line="240" w:lineRule="auto"/>
        <w:ind w:left="567" w:hanging="567"/>
        <w:rPr>
          <w:rFonts w:ascii="Times New Roman" w:eastAsia="Times New Roman" w:hAnsi="Times New Roman"/>
          <w:color w:val="000000"/>
          <w:lang w:val="it-IT" w:eastAsia="ar-SA"/>
        </w:rPr>
      </w:pPr>
      <w:r>
        <w:rPr>
          <w:rFonts w:ascii="Times New Roman" w:eastAsia="Times New Roman" w:hAnsi="Times New Roman"/>
          <w:color w:val="000000"/>
          <w:lang w:val="it-IT" w:eastAsia="ar-SA"/>
        </w:rPr>
        <w:t>Il medico potrebbe prescriverle le analisi del sangue</w:t>
      </w:r>
    </w:p>
    <w:p>
      <w:pPr>
        <w:widowControl w:val="0"/>
        <w:shd w:val="clear" w:color="auto" w:fill="FFFFFF"/>
        <w:suppressAutoHyphens/>
        <w:autoSpaceDE w:val="0"/>
        <w:spacing w:after="0" w:line="240" w:lineRule="auto"/>
        <w:rPr>
          <w:rFonts w:ascii="Times New Roman" w:eastAsia="Times New Roman" w:hAnsi="Times New Roman"/>
          <w:color w:val="000000"/>
          <w:lang w:val="it-IT" w:eastAsia="ar-SA"/>
        </w:rPr>
      </w:pPr>
    </w:p>
    <w:p>
      <w:pPr>
        <w:widowControl w:val="0"/>
        <w:shd w:val="clear" w:color="auto" w:fill="FFFFFF"/>
        <w:suppressAutoHyphens/>
        <w:autoSpaceDE w:val="0"/>
        <w:spacing w:after="0" w:line="240" w:lineRule="auto"/>
        <w:rPr>
          <w:rFonts w:ascii="Times New Roman" w:eastAsia="Times New Roman" w:hAnsi="Times New Roman"/>
          <w:b/>
          <w:color w:val="000000"/>
          <w:lang w:val="it-IT" w:eastAsia="ar-SA"/>
        </w:rPr>
      </w:pPr>
      <w:r>
        <w:rPr>
          <w:rFonts w:ascii="Times New Roman" w:eastAsia="Times New Roman" w:hAnsi="Times New Roman"/>
          <w:b/>
          <w:color w:val="000000"/>
          <w:lang w:val="it-IT" w:eastAsia="ar-SA"/>
        </w:rPr>
        <w:t>Bambini e adolescenti</w:t>
      </w:r>
    </w:p>
    <w:p>
      <w:pPr>
        <w:widowControl w:val="0"/>
        <w:shd w:val="clear" w:color="auto" w:fill="FFFFFF"/>
        <w:suppressAutoHyphens/>
        <w:autoSpaceDE w:val="0"/>
        <w:spacing w:after="0" w:line="240" w:lineRule="auto"/>
        <w:rPr>
          <w:rFonts w:ascii="Times New Roman" w:eastAsia="Times New Roman" w:hAnsi="Times New Roman"/>
          <w:bCs/>
          <w:color w:val="000000"/>
          <w:lang w:val="it-IT" w:eastAsia="ar-SA"/>
        </w:rPr>
      </w:pPr>
      <w:r>
        <w:rPr>
          <w:rFonts w:ascii="Times New Roman" w:eastAsia="Times New Roman" w:hAnsi="Times New Roman"/>
          <w:bCs/>
          <w:color w:val="000000"/>
          <w:lang w:val="it-IT" w:eastAsia="ar-SA"/>
        </w:rPr>
        <w:t>Non somministrare questo medicinale ai bambini perché non è efficace.</w:t>
      </w:r>
    </w:p>
    <w:p>
      <w:pPr>
        <w:widowControl w:val="0"/>
        <w:shd w:val="clear" w:color="auto" w:fill="FFFFFF"/>
        <w:suppressAutoHyphens/>
        <w:autoSpaceDE w:val="0"/>
        <w:spacing w:after="0" w:line="240" w:lineRule="auto"/>
        <w:rPr>
          <w:rFonts w:ascii="Times New Roman" w:eastAsia="Times New Roman" w:hAnsi="Times New Roman"/>
          <w:bCs/>
          <w:color w:val="000000"/>
          <w:lang w:val="it-IT" w:eastAsia="ar-SA"/>
        </w:rPr>
      </w:pPr>
    </w:p>
    <w:p>
      <w:pPr>
        <w:widowControl w:val="0"/>
        <w:shd w:val="clear" w:color="auto" w:fill="FFFFFF"/>
        <w:suppressAutoHyphens/>
        <w:autoSpaceDE w:val="0"/>
        <w:spacing w:after="0" w:line="240" w:lineRule="auto"/>
        <w:jc w:val="both"/>
        <w:rPr>
          <w:rFonts w:ascii="Times New Roman" w:eastAsia="Times New Roman" w:hAnsi="Times New Roman"/>
          <w:b/>
          <w:bCs/>
          <w:color w:val="000000"/>
          <w:lang w:val="it-IT" w:eastAsia="ar-SA"/>
        </w:rPr>
      </w:pPr>
      <w:r>
        <w:rPr>
          <w:rFonts w:ascii="Times New Roman" w:eastAsia="Times New Roman" w:hAnsi="Times New Roman"/>
          <w:b/>
          <w:bCs/>
          <w:color w:val="000000"/>
          <w:lang w:val="it-IT" w:eastAsia="ar-SA"/>
        </w:rPr>
        <w:t>Altri medicinali e Clopidogrel Krka:</w:t>
      </w:r>
    </w:p>
    <w:p>
      <w:pPr>
        <w:widowControl w:val="0"/>
        <w:shd w:val="clear" w:color="auto" w:fill="FFFFFF"/>
        <w:suppressAutoHyphens/>
        <w:autoSpaceDE w:val="0"/>
        <w:spacing w:after="0" w:line="240" w:lineRule="auto"/>
        <w:rPr>
          <w:rFonts w:ascii="Times New Roman" w:eastAsia="Times New Roman" w:hAnsi="Times New Roman"/>
          <w:color w:val="000000"/>
          <w:lang w:val="it-IT" w:eastAsia="ar-SA"/>
        </w:rPr>
      </w:pPr>
      <w:r>
        <w:rPr>
          <w:rFonts w:ascii="Times New Roman" w:eastAsia="Times New Roman" w:hAnsi="Times New Roman"/>
          <w:color w:val="000000"/>
          <w:spacing w:val="-1"/>
          <w:lang w:val="it-IT" w:eastAsia="ar-SA"/>
        </w:rPr>
        <w:t xml:space="preserve">Informi il medico o il farmacista se sta assumendo, ha recentemente assunto </w:t>
      </w:r>
      <w:r>
        <w:rPr>
          <w:rFonts w:ascii="Times New Roman" w:eastAsia="Times New Roman" w:hAnsi="Times New Roman"/>
          <w:lang w:val="it-IT" w:eastAsia="ar-SA"/>
        </w:rPr>
        <w:t xml:space="preserve">o potrebbe assumere </w:t>
      </w:r>
      <w:r>
        <w:rPr>
          <w:rFonts w:ascii="Times New Roman" w:eastAsia="Times New Roman" w:hAnsi="Times New Roman"/>
          <w:color w:val="000000"/>
          <w:spacing w:val="-1"/>
          <w:lang w:val="it-IT" w:eastAsia="ar-SA"/>
        </w:rPr>
        <w:t xml:space="preserve">qualsiasi altro </w:t>
      </w:r>
      <w:r>
        <w:rPr>
          <w:rFonts w:ascii="Times New Roman" w:eastAsia="Times New Roman" w:hAnsi="Times New Roman"/>
          <w:color w:val="000000"/>
          <w:lang w:val="it-IT" w:eastAsia="ar-SA"/>
        </w:rPr>
        <w:t>medicinale, compresi quelli senza prescrizione medica.</w:t>
      </w:r>
    </w:p>
    <w:p>
      <w:pPr>
        <w:widowControl w:val="0"/>
        <w:shd w:val="clear" w:color="auto" w:fill="FFFFFF"/>
        <w:suppressAutoHyphens/>
        <w:autoSpaceDE w:val="0"/>
        <w:spacing w:after="0" w:line="240" w:lineRule="auto"/>
        <w:rPr>
          <w:rFonts w:ascii="Times New Roman" w:eastAsia="Times New Roman" w:hAnsi="Times New Roman"/>
          <w:color w:val="000000"/>
          <w:lang w:val="it-IT" w:eastAsia="ar-SA"/>
        </w:rPr>
      </w:pPr>
      <w:r>
        <w:rPr>
          <w:rFonts w:ascii="Times New Roman" w:eastAsia="Times New Roman" w:hAnsi="Times New Roman"/>
          <w:color w:val="000000"/>
          <w:lang w:val="it-IT" w:eastAsia="ar-SA"/>
        </w:rPr>
        <w:t>Alcuni medicinali possono influenzare l'uso di Clopidogrel Krka o viceversa.</w:t>
      </w:r>
    </w:p>
    <w:p>
      <w:pPr>
        <w:widowControl w:val="0"/>
        <w:shd w:val="clear" w:color="auto" w:fill="FFFFFF"/>
        <w:suppressAutoHyphens/>
        <w:autoSpaceDE w:val="0"/>
        <w:spacing w:after="0" w:line="240" w:lineRule="auto"/>
        <w:rPr>
          <w:rFonts w:ascii="Times New Roman" w:eastAsia="Times New Roman" w:hAnsi="Times New Roman"/>
          <w:color w:val="000000"/>
          <w:lang w:val="it-IT" w:eastAsia="ar-SA"/>
        </w:rPr>
      </w:pPr>
    </w:p>
    <w:p>
      <w:pPr>
        <w:widowControl w:val="0"/>
        <w:suppressAutoHyphens/>
        <w:autoSpaceDE w:val="0"/>
        <w:spacing w:after="0" w:line="240" w:lineRule="auto"/>
        <w:rPr>
          <w:rFonts w:ascii="Times New Roman" w:eastAsia="Times New Roman" w:hAnsi="Times New Roman"/>
          <w:lang w:val="it-IT" w:eastAsia="ar-SA"/>
        </w:rPr>
      </w:pPr>
      <w:r>
        <w:rPr>
          <w:rFonts w:ascii="Times New Roman" w:eastAsia="Times New Roman" w:hAnsi="Times New Roman"/>
          <w:lang w:val="it-IT" w:eastAsia="ar-SA"/>
        </w:rPr>
        <w:t>Deve informare in modo preciso il medico se sta prendendo:</w:t>
      </w:r>
    </w:p>
    <w:p>
      <w:pPr>
        <w:numPr>
          <w:ilvl w:val="0"/>
          <w:numId w:val="24"/>
        </w:numPr>
        <w:spacing w:after="0" w:line="240" w:lineRule="auto"/>
        <w:rPr>
          <w:rFonts w:ascii="Times New Roman" w:hAnsi="Times New Roman"/>
          <w:lang w:val="it-IT"/>
        </w:rPr>
      </w:pPr>
      <w:r>
        <w:rPr>
          <w:rFonts w:ascii="Times New Roman" w:hAnsi="Times New Roman"/>
          <w:lang w:val="it-IT"/>
        </w:rPr>
        <w:t>medicinali che possono aumentare il suo rischio di sanguinamento come:</w:t>
      </w:r>
    </w:p>
    <w:p>
      <w:pPr>
        <w:widowControl w:val="0"/>
        <w:numPr>
          <w:ilvl w:val="0"/>
          <w:numId w:val="34"/>
        </w:numPr>
        <w:tabs>
          <w:tab w:val="left" w:pos="993"/>
        </w:tabs>
        <w:suppressAutoHyphens/>
        <w:autoSpaceDE w:val="0"/>
        <w:spacing w:after="0" w:line="240" w:lineRule="auto"/>
        <w:rPr>
          <w:rFonts w:ascii="Times New Roman" w:eastAsia="Times New Roman" w:hAnsi="Times New Roman"/>
          <w:lang w:val="it-IT" w:eastAsia="ar-SA"/>
        </w:rPr>
      </w:pPr>
      <w:r>
        <w:rPr>
          <w:rFonts w:ascii="Times New Roman" w:eastAsia="Times New Roman" w:hAnsi="Times New Roman"/>
          <w:lang w:val="it-IT" w:eastAsia="ar-SA"/>
        </w:rPr>
        <w:t>anticoagulanti orali, medicinali usati per ridurre la coagulazione del sangue,</w:t>
      </w:r>
    </w:p>
    <w:p>
      <w:pPr>
        <w:widowControl w:val="0"/>
        <w:numPr>
          <w:ilvl w:val="0"/>
          <w:numId w:val="34"/>
        </w:numPr>
        <w:tabs>
          <w:tab w:val="left" w:pos="993"/>
        </w:tabs>
        <w:suppressAutoHyphens/>
        <w:autoSpaceDE w:val="0"/>
        <w:spacing w:after="0" w:line="240" w:lineRule="auto"/>
        <w:rPr>
          <w:rFonts w:ascii="Times New Roman" w:eastAsia="Times New Roman" w:hAnsi="Times New Roman"/>
          <w:lang w:val="it-IT" w:eastAsia="ar-SA"/>
        </w:rPr>
      </w:pPr>
      <w:r>
        <w:rPr>
          <w:rFonts w:ascii="Times New Roman" w:eastAsia="Times New Roman" w:hAnsi="Times New Roman"/>
          <w:lang w:val="it-IT" w:eastAsia="ar-SA"/>
        </w:rPr>
        <w:t>un medicinale antinfiammatorio non steroideo, generalmente usato per trattare gli stati dolorosi e/o infiammatori di muscoli o articolazioni,</w:t>
      </w:r>
    </w:p>
    <w:p>
      <w:pPr>
        <w:widowControl w:val="0"/>
        <w:numPr>
          <w:ilvl w:val="0"/>
          <w:numId w:val="34"/>
        </w:numPr>
        <w:tabs>
          <w:tab w:val="left" w:pos="993"/>
        </w:tabs>
        <w:suppressAutoHyphens/>
        <w:autoSpaceDE w:val="0"/>
        <w:spacing w:after="0" w:line="240" w:lineRule="auto"/>
        <w:rPr>
          <w:rFonts w:ascii="Times New Roman" w:eastAsia="Times New Roman" w:hAnsi="Times New Roman"/>
          <w:lang w:val="it-IT" w:eastAsia="ar-SA"/>
        </w:rPr>
      </w:pPr>
      <w:r>
        <w:rPr>
          <w:rFonts w:ascii="Times New Roman" w:eastAsia="Times New Roman" w:hAnsi="Times New Roman"/>
          <w:lang w:val="it-IT" w:eastAsia="ar-SA"/>
        </w:rPr>
        <w:t xml:space="preserve">eparina o qualsiasi altro farmaco iniettabile usato per ridurre la coagulazione sanguigna, </w:t>
      </w:r>
    </w:p>
    <w:p>
      <w:pPr>
        <w:widowControl w:val="0"/>
        <w:numPr>
          <w:ilvl w:val="0"/>
          <w:numId w:val="34"/>
        </w:numPr>
        <w:tabs>
          <w:tab w:val="left" w:pos="993"/>
        </w:tabs>
        <w:suppressAutoHyphens/>
        <w:autoSpaceDE w:val="0"/>
        <w:spacing w:after="0" w:line="240" w:lineRule="auto"/>
        <w:rPr>
          <w:rFonts w:ascii="Times New Roman" w:eastAsia="Times New Roman" w:hAnsi="Times New Roman"/>
          <w:lang w:val="it-IT" w:eastAsia="ar-SA"/>
        </w:rPr>
      </w:pPr>
      <w:r>
        <w:rPr>
          <w:rFonts w:ascii="Times New Roman" w:eastAsia="Times New Roman" w:hAnsi="Times New Roman"/>
          <w:lang w:val="it-IT" w:eastAsia="ar-SA"/>
        </w:rPr>
        <w:t>ticlopidina o altri agenti antipiastrinici,</w:t>
      </w:r>
    </w:p>
    <w:p>
      <w:pPr>
        <w:widowControl w:val="0"/>
        <w:numPr>
          <w:ilvl w:val="0"/>
          <w:numId w:val="34"/>
        </w:numPr>
        <w:tabs>
          <w:tab w:val="left" w:pos="993"/>
        </w:tabs>
        <w:suppressAutoHyphens/>
        <w:autoSpaceDE w:val="0"/>
        <w:spacing w:after="0" w:line="240" w:lineRule="auto"/>
        <w:rPr>
          <w:rFonts w:ascii="Times New Roman" w:eastAsia="Times New Roman" w:hAnsi="Times New Roman"/>
          <w:lang w:val="it-IT" w:eastAsia="ar-SA"/>
        </w:rPr>
      </w:pPr>
      <w:r>
        <w:rPr>
          <w:rFonts w:ascii="Times New Roman" w:hAnsi="Times New Roman"/>
          <w:lang w:val="it-IT"/>
        </w:rPr>
        <w:t>un inibitore selettivo della ricaptazione della serotonina (compreso ma non limitato a fluoxetina o fluvoxamina), medicinali normalmente utilizzati per trattare la depressione,</w:t>
      </w:r>
    </w:p>
    <w:p>
      <w:pPr>
        <w:widowControl w:val="0"/>
        <w:numPr>
          <w:ilvl w:val="0"/>
          <w:numId w:val="34"/>
        </w:numPr>
        <w:tabs>
          <w:tab w:val="left" w:pos="993"/>
        </w:tabs>
        <w:suppressAutoHyphens/>
        <w:autoSpaceDE w:val="0"/>
        <w:spacing w:after="0" w:line="240" w:lineRule="auto"/>
        <w:rPr>
          <w:rFonts w:ascii="Times New Roman" w:eastAsia="Times New Roman" w:hAnsi="Times New Roman"/>
          <w:lang w:val="it-IT" w:eastAsia="ar-SA"/>
        </w:rPr>
      </w:pPr>
      <w:r>
        <w:rPr>
          <w:rFonts w:ascii="Times New Roman" w:eastAsia="Times New Roman" w:hAnsi="Times New Roman"/>
          <w:lang w:val="it-IT" w:eastAsia="ar-SA"/>
        </w:rPr>
        <w:t>rifampicina (usata per trattare infezioni gravi),</w:t>
      </w:r>
    </w:p>
    <w:p>
      <w:pPr>
        <w:widowControl w:val="0"/>
        <w:numPr>
          <w:ilvl w:val="0"/>
          <w:numId w:val="24"/>
        </w:numPr>
        <w:suppressAutoHyphens/>
        <w:autoSpaceDE w:val="0"/>
        <w:spacing w:after="0" w:line="240" w:lineRule="auto"/>
        <w:rPr>
          <w:rFonts w:ascii="Times New Roman" w:eastAsia="Times New Roman" w:hAnsi="Times New Roman"/>
          <w:lang w:val="it-IT" w:eastAsia="ar-SA"/>
        </w:rPr>
      </w:pPr>
      <w:r>
        <w:rPr>
          <w:rFonts w:ascii="Times New Roman" w:eastAsia="Times New Roman" w:hAnsi="Times New Roman"/>
          <w:lang w:val="it-IT" w:eastAsia="ar-SA"/>
        </w:rPr>
        <w:t>omeprazolo o esomeprazolo, medicinali usati per trattare problemi di stomaco,</w:t>
      </w:r>
    </w:p>
    <w:p>
      <w:pPr>
        <w:widowControl w:val="0"/>
        <w:numPr>
          <w:ilvl w:val="0"/>
          <w:numId w:val="24"/>
        </w:numPr>
        <w:suppressAutoHyphens/>
        <w:autoSpaceDE w:val="0"/>
        <w:spacing w:after="0" w:line="240" w:lineRule="auto"/>
        <w:rPr>
          <w:rFonts w:ascii="Times New Roman" w:eastAsia="Times New Roman" w:hAnsi="Times New Roman"/>
          <w:lang w:val="it-IT" w:eastAsia="ar-SA"/>
        </w:rPr>
      </w:pPr>
      <w:r>
        <w:rPr>
          <w:rFonts w:ascii="Times New Roman" w:eastAsia="Times New Roman" w:hAnsi="Times New Roman"/>
          <w:lang w:val="it-IT" w:eastAsia="ar-SA"/>
        </w:rPr>
        <w:t>fluconazolo o voriconazolo, medicinali usati per trattare le infezioni fungine,</w:t>
      </w:r>
    </w:p>
    <w:p>
      <w:pPr>
        <w:numPr>
          <w:ilvl w:val="0"/>
          <w:numId w:val="24"/>
        </w:numPr>
        <w:spacing w:after="0" w:line="240" w:lineRule="auto"/>
        <w:rPr>
          <w:rFonts w:ascii="Times New Roman" w:hAnsi="Times New Roman"/>
          <w:lang w:val="it-IT"/>
        </w:rPr>
      </w:pPr>
      <w:r>
        <w:rPr>
          <w:rFonts w:ascii="Times New Roman" w:hAnsi="Times New Roman"/>
          <w:lang w:val="it-IT"/>
        </w:rPr>
        <w:t xml:space="preserve">efavirenz </w:t>
      </w:r>
      <w:r>
        <w:rPr>
          <w:rFonts w:ascii="Times New Roman" w:eastAsia="Times New Roman" w:hAnsi="Times New Roman"/>
          <w:lang w:val="it-IT" w:eastAsia="ar-SA"/>
        </w:rPr>
        <w:t xml:space="preserve">o altri medicinali anti-retrovirali </w:t>
      </w:r>
      <w:r>
        <w:rPr>
          <w:rFonts w:ascii="Times New Roman" w:hAnsi="Times New Roman"/>
          <w:lang w:val="it-IT"/>
        </w:rPr>
        <w:t>(usati per il trattamento dell'infezione da HIV),</w:t>
      </w:r>
    </w:p>
    <w:p>
      <w:pPr>
        <w:widowControl w:val="0"/>
        <w:numPr>
          <w:ilvl w:val="0"/>
          <w:numId w:val="24"/>
        </w:numPr>
        <w:suppressAutoHyphens/>
        <w:autoSpaceDE w:val="0"/>
        <w:spacing w:after="0" w:line="240" w:lineRule="auto"/>
        <w:rPr>
          <w:rFonts w:ascii="Times New Roman" w:eastAsia="Times New Roman" w:hAnsi="Times New Roman"/>
          <w:lang w:val="it-IT" w:eastAsia="ar-SA"/>
        </w:rPr>
      </w:pPr>
      <w:r>
        <w:rPr>
          <w:rFonts w:ascii="Times New Roman" w:eastAsia="Times New Roman" w:hAnsi="Times New Roman"/>
          <w:lang w:val="it-IT" w:eastAsia="ar-SA"/>
        </w:rPr>
        <w:t>carbamazepina, medicinale usato per trattare alcune forme di epilessia,</w:t>
      </w:r>
    </w:p>
    <w:p>
      <w:pPr>
        <w:numPr>
          <w:ilvl w:val="0"/>
          <w:numId w:val="24"/>
        </w:numPr>
        <w:spacing w:after="0" w:line="240" w:lineRule="auto"/>
        <w:rPr>
          <w:rFonts w:ascii="Times New Roman" w:hAnsi="Times New Roman"/>
          <w:lang w:val="it-IT"/>
        </w:rPr>
      </w:pPr>
      <w:r>
        <w:rPr>
          <w:rFonts w:ascii="Times New Roman" w:hAnsi="Times New Roman"/>
          <w:lang w:val="it-IT"/>
        </w:rPr>
        <w:t>moclobemide, medicinale usato per trattare la depressione,</w:t>
      </w:r>
    </w:p>
    <w:p>
      <w:pPr>
        <w:numPr>
          <w:ilvl w:val="0"/>
          <w:numId w:val="24"/>
        </w:numPr>
        <w:spacing w:after="0" w:line="240" w:lineRule="auto"/>
        <w:rPr>
          <w:rFonts w:ascii="Times New Roman" w:hAnsi="Times New Roman"/>
          <w:lang w:val="it-IT"/>
        </w:rPr>
      </w:pPr>
      <w:r>
        <w:rPr>
          <w:rFonts w:ascii="Times New Roman" w:hAnsi="Times New Roman"/>
          <w:lang w:val="it-IT"/>
        </w:rPr>
        <w:t>repaglinide, un medicinale usato per trattare il diabete,</w:t>
      </w:r>
    </w:p>
    <w:p>
      <w:pPr>
        <w:numPr>
          <w:ilvl w:val="0"/>
          <w:numId w:val="24"/>
        </w:numPr>
        <w:spacing w:after="0" w:line="240" w:lineRule="auto"/>
        <w:rPr>
          <w:rFonts w:ascii="Times New Roman" w:hAnsi="Times New Roman"/>
          <w:lang w:val="it-IT"/>
        </w:rPr>
      </w:pPr>
      <w:r>
        <w:rPr>
          <w:rFonts w:ascii="Times New Roman" w:hAnsi="Times New Roman"/>
          <w:lang w:val="it-IT"/>
        </w:rPr>
        <w:t>paclitaxel, un medicinale usato per trattare il cancro,</w:t>
      </w:r>
    </w:p>
    <w:p>
      <w:pPr>
        <w:numPr>
          <w:ilvl w:val="0"/>
          <w:numId w:val="24"/>
        </w:numPr>
        <w:spacing w:after="0" w:line="240" w:lineRule="auto"/>
        <w:rPr>
          <w:rFonts w:ascii="Times New Roman" w:hAnsi="Times New Roman"/>
          <w:lang w:val="it-IT"/>
        </w:rPr>
      </w:pPr>
      <w:r>
        <w:rPr>
          <w:rFonts w:ascii="Times New Roman" w:hAnsi="Times New Roman"/>
          <w:lang w:val="it-IT"/>
        </w:rPr>
        <w:t>oppioidi: mentre è in terapia con clopidogrel, deve informare il medico prima che le venga prescritto qualsiasi oppioide (usato per trattare il dolore grave),</w:t>
      </w:r>
    </w:p>
    <w:p>
      <w:pPr>
        <w:pStyle w:val="ListParagraph"/>
        <w:numPr>
          <w:ilvl w:val="0"/>
          <w:numId w:val="24"/>
        </w:numPr>
        <w:rPr>
          <w:sz w:val="22"/>
          <w:szCs w:val="22"/>
        </w:rPr>
      </w:pPr>
      <w:r>
        <w:rPr>
          <w:sz w:val="22"/>
          <w:szCs w:val="22"/>
        </w:rPr>
        <w:t>rosuvastatina (usata per abbassare il livello di colesterolo).</w:t>
      </w:r>
    </w:p>
    <w:p>
      <w:pPr>
        <w:spacing w:after="0" w:line="240" w:lineRule="auto"/>
        <w:ind w:left="60"/>
        <w:rPr>
          <w:rFonts w:ascii="Times New Roman" w:hAnsi="Times New Roman"/>
          <w:lang w:val="it-IT"/>
        </w:rPr>
      </w:pPr>
    </w:p>
    <w:p>
      <w:pPr>
        <w:widowControl w:val="0"/>
        <w:shd w:val="clear" w:color="auto" w:fill="FFFFFF"/>
        <w:suppressAutoHyphens/>
        <w:autoSpaceDE w:val="0"/>
        <w:spacing w:after="0" w:line="240" w:lineRule="auto"/>
        <w:rPr>
          <w:rFonts w:ascii="Times New Roman" w:eastAsia="Times New Roman" w:hAnsi="Times New Roman"/>
          <w:color w:val="000000"/>
          <w:lang w:val="it-IT" w:eastAsia="ar-SA"/>
        </w:rPr>
      </w:pPr>
      <w:r>
        <w:rPr>
          <w:rFonts w:ascii="Times New Roman" w:hAnsi="Times New Roman"/>
          <w:lang w:val="it-IT"/>
        </w:rPr>
        <w:t>Se ha avuto un grave dolore al petto (angina instabile o attacco cardiaco), un attacco ischemico transitorio o un ictus ischemico di lieve gravità</w:t>
      </w:r>
      <w:r>
        <w:rPr>
          <w:color w:val="000000"/>
          <w:lang w:val="it-IT"/>
        </w:rPr>
        <w:t>,</w:t>
      </w:r>
      <w:r>
        <w:rPr>
          <w:rFonts w:ascii="Times New Roman" w:eastAsia="Times New Roman" w:hAnsi="Times New Roman"/>
          <w:color w:val="000000"/>
          <w:lang w:val="it-IT"/>
        </w:rPr>
        <w:t xml:space="preserve"> è possibile che le sia stato </w:t>
      </w:r>
      <w:r>
        <w:rPr>
          <w:rFonts w:ascii="Times New Roman" w:eastAsia="Times New Roman" w:hAnsi="Times New Roman"/>
          <w:color w:val="000000"/>
          <w:spacing w:val="-1"/>
          <w:lang w:val="it-IT"/>
        </w:rPr>
        <w:t xml:space="preserve">prescritto Clopidogrel Krka in associazione ad </w:t>
      </w:r>
      <w:r>
        <w:rPr>
          <w:rFonts w:ascii="Times New Roman" w:eastAsia="Times New Roman" w:hAnsi="Times New Roman"/>
          <w:color w:val="000000"/>
          <w:lang w:val="it-IT" w:eastAsia="ar-SA"/>
        </w:rPr>
        <w:t>acido acetilsalicilico</w:t>
      </w:r>
      <w:r>
        <w:rPr>
          <w:rFonts w:ascii="Times New Roman" w:eastAsia="Times New Roman" w:hAnsi="Times New Roman"/>
          <w:color w:val="000000"/>
          <w:spacing w:val="-1"/>
          <w:lang w:val="it-IT" w:eastAsia="ar-SA"/>
        </w:rPr>
        <w:t xml:space="preserve">, una sostanza presente in molti farmaci usati </w:t>
      </w:r>
      <w:r>
        <w:rPr>
          <w:rFonts w:ascii="Times New Roman" w:eastAsia="Times New Roman" w:hAnsi="Times New Roman"/>
          <w:color w:val="000000"/>
          <w:lang w:val="it-IT" w:eastAsia="ar-SA"/>
        </w:rPr>
        <w:t>per alleviare il dolore e per ridurre la febbre. Un uso occasionale di acido acetilsalicilico (non più di 1.000 mg nelle 24 ore) non dovrebbe generalmente causare problemi, ma un uso prolungato in altre circostanze deve essere discusso con il medico.</w:t>
      </w:r>
    </w:p>
    <w:p>
      <w:pPr>
        <w:widowControl w:val="0"/>
        <w:shd w:val="clear" w:color="auto" w:fill="FFFFFF"/>
        <w:suppressAutoHyphens/>
        <w:autoSpaceDE w:val="0"/>
        <w:spacing w:after="0" w:line="240" w:lineRule="auto"/>
        <w:rPr>
          <w:rFonts w:ascii="Times New Roman" w:eastAsia="Times New Roman" w:hAnsi="Times New Roman"/>
          <w:b/>
          <w:bCs/>
          <w:color w:val="000000"/>
          <w:lang w:val="it-IT" w:eastAsia="ar-SA"/>
        </w:rPr>
      </w:pPr>
    </w:p>
    <w:p>
      <w:pPr>
        <w:widowControl w:val="0"/>
        <w:shd w:val="clear" w:color="auto" w:fill="FFFFFF"/>
        <w:suppressAutoHyphens/>
        <w:autoSpaceDE w:val="0"/>
        <w:spacing w:after="0" w:line="240" w:lineRule="auto"/>
        <w:rPr>
          <w:rFonts w:ascii="Times New Roman" w:eastAsia="Times New Roman" w:hAnsi="Times New Roman"/>
          <w:b/>
          <w:bCs/>
          <w:color w:val="000000"/>
          <w:lang w:val="it-IT" w:eastAsia="ar-SA"/>
        </w:rPr>
      </w:pPr>
      <w:r>
        <w:rPr>
          <w:rFonts w:ascii="Times New Roman" w:eastAsia="Times New Roman" w:hAnsi="Times New Roman"/>
          <w:b/>
          <w:bCs/>
          <w:color w:val="000000"/>
          <w:lang w:val="it-IT" w:eastAsia="ar-SA"/>
        </w:rPr>
        <w:t>Clopidogrel Krka con cibo e bevande</w:t>
      </w:r>
    </w:p>
    <w:p>
      <w:pPr>
        <w:widowControl w:val="0"/>
        <w:shd w:val="clear" w:color="auto" w:fill="FFFFFF"/>
        <w:suppressAutoHyphens/>
        <w:autoSpaceDE w:val="0"/>
        <w:spacing w:after="0" w:line="240" w:lineRule="auto"/>
        <w:rPr>
          <w:rFonts w:ascii="Times New Roman" w:eastAsia="Times New Roman" w:hAnsi="Times New Roman"/>
          <w:bCs/>
          <w:color w:val="000000"/>
          <w:lang w:val="it-IT" w:eastAsia="ar-SA"/>
        </w:rPr>
      </w:pPr>
      <w:r>
        <w:rPr>
          <w:rFonts w:ascii="Times New Roman" w:eastAsia="Times New Roman" w:hAnsi="Times New Roman"/>
          <w:bCs/>
          <w:color w:val="000000"/>
          <w:lang w:val="it-IT" w:eastAsia="ar-SA"/>
        </w:rPr>
        <w:t>Clopidogrel Krka può essere preso con o senza cibo.</w:t>
      </w:r>
    </w:p>
    <w:p>
      <w:pPr>
        <w:widowControl w:val="0"/>
        <w:shd w:val="clear" w:color="auto" w:fill="FFFFFF"/>
        <w:suppressAutoHyphens/>
        <w:autoSpaceDE w:val="0"/>
        <w:spacing w:after="0" w:line="240" w:lineRule="auto"/>
        <w:rPr>
          <w:rFonts w:ascii="Times New Roman" w:eastAsia="Times New Roman" w:hAnsi="Times New Roman"/>
          <w:b/>
          <w:bCs/>
          <w:color w:val="000000"/>
          <w:lang w:val="it-IT" w:eastAsia="ar-SA"/>
        </w:rPr>
      </w:pPr>
    </w:p>
    <w:p>
      <w:pPr>
        <w:widowControl w:val="0"/>
        <w:shd w:val="clear" w:color="auto" w:fill="FFFFFF"/>
        <w:suppressAutoHyphens/>
        <w:autoSpaceDE w:val="0"/>
        <w:spacing w:after="0" w:line="240" w:lineRule="auto"/>
        <w:ind w:left="10"/>
        <w:rPr>
          <w:rFonts w:ascii="Times New Roman" w:eastAsia="Times New Roman" w:hAnsi="Times New Roman"/>
          <w:b/>
          <w:bCs/>
          <w:color w:val="000000"/>
          <w:lang w:val="it-IT" w:eastAsia="ar-SA"/>
        </w:rPr>
      </w:pPr>
      <w:r>
        <w:rPr>
          <w:rFonts w:ascii="Times New Roman" w:eastAsia="Times New Roman" w:hAnsi="Times New Roman"/>
          <w:b/>
          <w:bCs/>
          <w:color w:val="000000"/>
          <w:lang w:val="it-IT" w:eastAsia="ar-SA"/>
        </w:rPr>
        <w:t>Gravidanza e allattamento</w:t>
      </w:r>
    </w:p>
    <w:p>
      <w:pPr>
        <w:widowControl w:val="0"/>
        <w:shd w:val="clear" w:color="auto" w:fill="FFFFFF"/>
        <w:suppressAutoHyphens/>
        <w:autoSpaceDE w:val="0"/>
        <w:spacing w:after="0" w:line="240" w:lineRule="auto"/>
        <w:rPr>
          <w:rFonts w:ascii="Times New Roman" w:eastAsia="Times New Roman" w:hAnsi="Times New Roman"/>
          <w:color w:val="000000"/>
          <w:spacing w:val="1"/>
          <w:lang w:val="it-IT" w:eastAsia="ar-SA"/>
        </w:rPr>
      </w:pPr>
      <w:r>
        <w:rPr>
          <w:rFonts w:ascii="Times New Roman" w:eastAsia="Times New Roman" w:hAnsi="Times New Roman"/>
          <w:lang w:val="it-IT" w:eastAsia="ar-SA"/>
        </w:rPr>
        <w:t>È preferibile non assumere questo medicinale durante la gravidanza.</w:t>
      </w:r>
    </w:p>
    <w:p>
      <w:pPr>
        <w:widowControl w:val="0"/>
        <w:shd w:val="clear" w:color="auto" w:fill="FFFFFF"/>
        <w:suppressAutoHyphens/>
        <w:autoSpaceDE w:val="0"/>
        <w:spacing w:after="0" w:line="240" w:lineRule="auto"/>
        <w:rPr>
          <w:rFonts w:ascii="Times New Roman" w:eastAsia="Times New Roman" w:hAnsi="Times New Roman"/>
          <w:color w:val="000000"/>
          <w:spacing w:val="-1"/>
          <w:lang w:val="it-IT" w:eastAsia="ar-SA"/>
        </w:rPr>
      </w:pPr>
    </w:p>
    <w:p>
      <w:pPr>
        <w:widowControl w:val="0"/>
        <w:shd w:val="clear" w:color="auto" w:fill="FFFFFF"/>
        <w:suppressAutoHyphens/>
        <w:autoSpaceDE w:val="0"/>
        <w:spacing w:after="0" w:line="240" w:lineRule="auto"/>
        <w:rPr>
          <w:rFonts w:ascii="Times New Roman" w:eastAsia="Times New Roman" w:hAnsi="Times New Roman"/>
          <w:color w:val="000000"/>
          <w:lang w:val="it-IT" w:eastAsia="ar-SA"/>
        </w:rPr>
      </w:pPr>
      <w:r>
        <w:rPr>
          <w:rFonts w:ascii="Times New Roman" w:eastAsia="Times New Roman" w:hAnsi="Times New Roman"/>
          <w:color w:val="000000"/>
          <w:spacing w:val="-1"/>
          <w:lang w:val="it-IT" w:eastAsia="ar-SA"/>
        </w:rPr>
        <w:t xml:space="preserve">Se è incinta o crede di esserlo, prima di prendere </w:t>
      </w:r>
      <w:r>
        <w:rPr>
          <w:rFonts w:ascii="Times New Roman" w:eastAsia="Times New Roman" w:hAnsi="Times New Roman"/>
          <w:color w:val="000000"/>
          <w:lang w:val="it-IT" w:eastAsia="ar-SA"/>
        </w:rPr>
        <w:t>Clopidogrel Krka</w:t>
      </w:r>
      <w:r>
        <w:rPr>
          <w:rFonts w:ascii="Times New Roman" w:eastAsia="Times New Roman" w:hAnsi="Times New Roman"/>
          <w:color w:val="000000"/>
          <w:spacing w:val="-1"/>
          <w:lang w:val="it-IT" w:eastAsia="ar-SA"/>
        </w:rPr>
        <w:t xml:space="preserve"> informi il medico o il farmacista. Nel caso si </w:t>
      </w:r>
      <w:r>
        <w:rPr>
          <w:rFonts w:ascii="Times New Roman" w:eastAsia="Times New Roman" w:hAnsi="Times New Roman"/>
          <w:color w:val="000000"/>
          <w:lang w:val="it-IT" w:eastAsia="ar-SA"/>
        </w:rPr>
        <w:t>verifichi una gravidanza mentre assume Clopidogrel Krka, consulti immediatamente il medico, poiché si raccomanda di non prendere clopidogrel durante la gravidanza.</w:t>
      </w:r>
    </w:p>
    <w:p>
      <w:pPr>
        <w:widowControl w:val="0"/>
        <w:shd w:val="clear" w:color="auto" w:fill="FFFFFF"/>
        <w:suppressAutoHyphens/>
        <w:autoSpaceDE w:val="0"/>
        <w:spacing w:after="0" w:line="240" w:lineRule="auto"/>
        <w:rPr>
          <w:rFonts w:ascii="Times New Roman" w:eastAsia="Times New Roman" w:hAnsi="Times New Roman"/>
          <w:color w:val="000000"/>
          <w:lang w:val="it-IT" w:eastAsia="ar-SA"/>
        </w:rPr>
      </w:pPr>
    </w:p>
    <w:p>
      <w:pPr>
        <w:widowControl w:val="0"/>
        <w:suppressAutoHyphens/>
        <w:autoSpaceDE w:val="0"/>
        <w:spacing w:after="0" w:line="240" w:lineRule="auto"/>
        <w:rPr>
          <w:rFonts w:ascii="Times New Roman" w:eastAsia="Times New Roman" w:hAnsi="Times New Roman"/>
          <w:lang w:val="it-IT" w:eastAsia="ar-SA"/>
        </w:rPr>
      </w:pPr>
      <w:r>
        <w:rPr>
          <w:rFonts w:ascii="Times New Roman" w:eastAsia="Times New Roman" w:hAnsi="Times New Roman"/>
          <w:lang w:val="it-IT" w:eastAsia="ar-SA"/>
        </w:rPr>
        <w:t>Non deve allattare mentre assume questo medicinale.</w:t>
      </w:r>
    </w:p>
    <w:p>
      <w:pPr>
        <w:widowControl w:val="0"/>
        <w:suppressAutoHyphens/>
        <w:autoSpaceDE w:val="0"/>
        <w:spacing w:after="0" w:line="240" w:lineRule="auto"/>
        <w:rPr>
          <w:rFonts w:ascii="Times New Roman" w:eastAsia="Times New Roman" w:hAnsi="Times New Roman"/>
          <w:lang w:val="it-IT" w:eastAsia="ar-SA"/>
        </w:rPr>
      </w:pPr>
      <w:r>
        <w:rPr>
          <w:rFonts w:ascii="Times New Roman" w:eastAsia="Times New Roman" w:hAnsi="Times New Roman"/>
          <w:lang w:val="it-IT" w:eastAsia="ar-SA"/>
        </w:rPr>
        <w:t>Se sta allattando o intende allattare, consulti il medico prima di assumere questo medicinale.</w:t>
      </w:r>
    </w:p>
    <w:p>
      <w:pPr>
        <w:widowControl w:val="0"/>
        <w:shd w:val="clear" w:color="auto" w:fill="FFFFFF"/>
        <w:suppressAutoHyphens/>
        <w:autoSpaceDE w:val="0"/>
        <w:spacing w:after="0" w:line="240" w:lineRule="auto"/>
        <w:rPr>
          <w:rFonts w:ascii="Times New Roman" w:eastAsia="Times New Roman" w:hAnsi="Times New Roman"/>
          <w:color w:val="000000"/>
          <w:lang w:val="it-IT" w:eastAsia="ar-SA"/>
        </w:rPr>
      </w:pPr>
    </w:p>
    <w:p>
      <w:pPr>
        <w:widowControl w:val="0"/>
        <w:shd w:val="clear" w:color="auto" w:fill="FFFFFF"/>
        <w:suppressAutoHyphens/>
        <w:autoSpaceDE w:val="0"/>
        <w:spacing w:after="0" w:line="240" w:lineRule="auto"/>
        <w:rPr>
          <w:rFonts w:ascii="Times New Roman" w:eastAsia="Times New Roman" w:hAnsi="Times New Roman"/>
          <w:color w:val="000000"/>
          <w:lang w:val="it-IT" w:eastAsia="ar-SA"/>
        </w:rPr>
      </w:pPr>
      <w:r>
        <w:rPr>
          <w:rFonts w:ascii="Times New Roman" w:eastAsia="Times New Roman" w:hAnsi="Times New Roman"/>
          <w:color w:val="000000"/>
          <w:lang w:val="it-IT" w:eastAsia="ar-SA"/>
        </w:rPr>
        <w:t>Chieda consiglio al medico o al farmacista prima di prendere qualsiasi medicinale.</w:t>
      </w:r>
    </w:p>
    <w:p>
      <w:pPr>
        <w:widowControl w:val="0"/>
        <w:shd w:val="clear" w:color="auto" w:fill="FFFFFF"/>
        <w:suppressAutoHyphens/>
        <w:autoSpaceDE w:val="0"/>
        <w:spacing w:after="0" w:line="240" w:lineRule="auto"/>
        <w:rPr>
          <w:rFonts w:ascii="Times New Roman" w:eastAsia="Times New Roman" w:hAnsi="Times New Roman"/>
          <w:b/>
          <w:bCs/>
          <w:color w:val="000000"/>
          <w:lang w:val="it-IT" w:eastAsia="ar-SA"/>
        </w:rPr>
      </w:pPr>
    </w:p>
    <w:p>
      <w:pPr>
        <w:widowControl w:val="0"/>
        <w:shd w:val="clear" w:color="auto" w:fill="FFFFFF"/>
        <w:suppressAutoHyphens/>
        <w:autoSpaceDE w:val="0"/>
        <w:spacing w:after="0" w:line="240" w:lineRule="auto"/>
        <w:rPr>
          <w:rFonts w:ascii="Times New Roman" w:eastAsia="Times New Roman" w:hAnsi="Times New Roman"/>
          <w:b/>
          <w:bCs/>
          <w:color w:val="000000"/>
          <w:lang w:val="it-IT" w:eastAsia="ar-SA"/>
        </w:rPr>
      </w:pPr>
      <w:r>
        <w:rPr>
          <w:rFonts w:ascii="Times New Roman" w:eastAsia="Times New Roman" w:hAnsi="Times New Roman"/>
          <w:b/>
          <w:bCs/>
          <w:color w:val="000000"/>
          <w:lang w:val="it-IT" w:eastAsia="ar-SA"/>
        </w:rPr>
        <w:t>Guida di veicoli e utilizzo di macchinari:</w:t>
      </w:r>
    </w:p>
    <w:p>
      <w:pPr>
        <w:widowControl w:val="0"/>
        <w:shd w:val="clear" w:color="auto" w:fill="FFFFFF"/>
        <w:suppressAutoHyphens/>
        <w:autoSpaceDE w:val="0"/>
        <w:spacing w:after="0" w:line="240" w:lineRule="auto"/>
        <w:rPr>
          <w:rFonts w:ascii="Times New Roman" w:eastAsia="Times New Roman" w:hAnsi="Times New Roman"/>
          <w:color w:val="000000"/>
          <w:lang w:val="it-IT" w:eastAsia="ar-SA"/>
        </w:rPr>
      </w:pPr>
      <w:r>
        <w:rPr>
          <w:rFonts w:ascii="Times New Roman" w:eastAsia="Times New Roman" w:hAnsi="Times New Roman"/>
          <w:color w:val="000000"/>
          <w:lang w:val="it-IT" w:eastAsia="ar-SA"/>
        </w:rPr>
        <w:t>È improbabile che Clopidogrel Krka influenzi la capacità di guidare veicoli e di utilizzare macchinari.</w:t>
      </w:r>
    </w:p>
    <w:p>
      <w:pPr>
        <w:widowControl w:val="0"/>
        <w:shd w:val="clear" w:color="auto" w:fill="FFFFFF"/>
        <w:tabs>
          <w:tab w:val="left" w:pos="745"/>
        </w:tabs>
        <w:suppressAutoHyphens/>
        <w:autoSpaceDE w:val="0"/>
        <w:spacing w:after="0" w:line="240" w:lineRule="auto"/>
        <w:rPr>
          <w:rFonts w:ascii="Times New Roman" w:eastAsia="Times New Roman" w:hAnsi="Times New Roman"/>
          <w:b/>
          <w:bCs/>
          <w:color w:val="000000"/>
          <w:spacing w:val="-4"/>
          <w:lang w:val="it-IT" w:eastAsia="ar-SA"/>
        </w:rPr>
      </w:pPr>
    </w:p>
    <w:p>
      <w:pPr>
        <w:widowControl w:val="0"/>
        <w:shd w:val="clear" w:color="auto" w:fill="FFFFFF"/>
        <w:tabs>
          <w:tab w:val="left" w:pos="745"/>
        </w:tabs>
        <w:suppressAutoHyphens/>
        <w:autoSpaceDE w:val="0"/>
        <w:spacing w:after="0" w:line="240" w:lineRule="auto"/>
        <w:rPr>
          <w:rFonts w:ascii="Times New Roman" w:eastAsia="Times New Roman" w:hAnsi="Times New Roman"/>
          <w:b/>
          <w:bCs/>
          <w:color w:val="000000"/>
          <w:spacing w:val="-4"/>
          <w:lang w:val="it-IT" w:eastAsia="ar-SA"/>
        </w:rPr>
      </w:pPr>
    </w:p>
    <w:p>
      <w:pPr>
        <w:widowControl w:val="0"/>
        <w:shd w:val="clear" w:color="auto" w:fill="FFFFFF"/>
        <w:tabs>
          <w:tab w:val="left" w:pos="567"/>
        </w:tabs>
        <w:suppressAutoHyphens/>
        <w:autoSpaceDE w:val="0"/>
        <w:spacing w:after="0" w:line="240" w:lineRule="auto"/>
        <w:rPr>
          <w:rFonts w:ascii="Times New Roman" w:eastAsia="Times New Roman" w:hAnsi="Times New Roman"/>
          <w:b/>
          <w:bCs/>
          <w:color w:val="000000"/>
          <w:spacing w:val="3"/>
          <w:lang w:val="it-IT" w:eastAsia="ar-SA"/>
        </w:rPr>
      </w:pPr>
      <w:r>
        <w:rPr>
          <w:rFonts w:ascii="Times New Roman" w:eastAsia="Times New Roman" w:hAnsi="Times New Roman"/>
          <w:b/>
          <w:bCs/>
          <w:color w:val="000000"/>
          <w:spacing w:val="-4"/>
          <w:lang w:val="it-IT" w:eastAsia="ar-SA"/>
        </w:rPr>
        <w:t>3.</w:t>
      </w:r>
      <w:r>
        <w:rPr>
          <w:rFonts w:ascii="Times New Roman" w:eastAsia="Times New Roman" w:hAnsi="Times New Roman"/>
          <w:b/>
          <w:bCs/>
          <w:color w:val="000000"/>
          <w:lang w:val="it-IT" w:eastAsia="ar-SA"/>
        </w:rPr>
        <w:tab/>
      </w:r>
      <w:r>
        <w:rPr>
          <w:rFonts w:ascii="Times New Roman" w:eastAsia="Times New Roman" w:hAnsi="Times New Roman"/>
          <w:b/>
          <w:bCs/>
          <w:color w:val="000000"/>
          <w:spacing w:val="3"/>
          <w:lang w:val="it-IT" w:eastAsia="ar-SA"/>
        </w:rPr>
        <w:t>Come prendere Clopidogrel Krka</w:t>
      </w:r>
    </w:p>
    <w:p>
      <w:pPr>
        <w:widowControl w:val="0"/>
        <w:shd w:val="clear" w:color="auto" w:fill="FFFFFF"/>
        <w:suppressAutoHyphens/>
        <w:autoSpaceDE w:val="0"/>
        <w:spacing w:after="0" w:line="240" w:lineRule="auto"/>
        <w:rPr>
          <w:rFonts w:ascii="Times New Roman" w:eastAsia="Times New Roman" w:hAnsi="Times New Roman"/>
          <w:color w:val="000000"/>
          <w:spacing w:val="-1"/>
          <w:lang w:val="it-IT" w:eastAsia="ar-SA"/>
        </w:rPr>
      </w:pPr>
    </w:p>
    <w:p>
      <w:pPr>
        <w:keepNext/>
        <w:keepLines/>
        <w:widowControl w:val="0"/>
        <w:suppressAutoHyphens/>
        <w:autoSpaceDE w:val="0"/>
        <w:spacing w:after="0" w:line="240" w:lineRule="auto"/>
        <w:rPr>
          <w:rFonts w:ascii="Times New Roman" w:eastAsia="Times New Roman" w:hAnsi="Times New Roman"/>
          <w:lang w:val="it-IT"/>
        </w:rPr>
      </w:pPr>
      <w:r>
        <w:rPr>
          <w:rFonts w:ascii="Times New Roman" w:eastAsia="Times New Roman" w:hAnsi="Times New Roman"/>
          <w:color w:val="000000"/>
          <w:spacing w:val="-1"/>
          <w:lang w:val="it-IT" w:eastAsia="ar-SA"/>
        </w:rPr>
        <w:t xml:space="preserve">Prenda </w:t>
      </w:r>
      <w:r>
        <w:rPr>
          <w:rFonts w:ascii="Times New Roman" w:eastAsia="Times New Roman" w:hAnsi="Times New Roman"/>
          <w:lang w:val="it-IT" w:eastAsia="ar-SA"/>
        </w:rPr>
        <w:t xml:space="preserve">questo medicinale </w:t>
      </w:r>
      <w:r>
        <w:rPr>
          <w:rFonts w:ascii="Times New Roman" w:eastAsia="Times New Roman" w:hAnsi="Times New Roman"/>
          <w:color w:val="000000"/>
          <w:spacing w:val="-1"/>
          <w:lang w:val="it-IT" w:eastAsia="ar-SA"/>
        </w:rPr>
        <w:t>seguendo sempre esattamente le istruzioni del medico</w:t>
      </w:r>
      <w:r>
        <w:rPr>
          <w:rFonts w:ascii="Times New Roman" w:eastAsia="Times New Roman" w:hAnsi="Times New Roman"/>
          <w:lang w:val="it-IT"/>
        </w:rPr>
        <w:t xml:space="preserve"> o del farmacista. Se ha dubbi consulti il medico o il farmacista.</w:t>
      </w:r>
    </w:p>
    <w:p>
      <w:pPr>
        <w:widowControl w:val="0"/>
        <w:shd w:val="clear" w:color="auto" w:fill="FFFFFF"/>
        <w:suppressAutoHyphens/>
        <w:autoSpaceDE w:val="0"/>
        <w:spacing w:after="0" w:line="240" w:lineRule="auto"/>
        <w:rPr>
          <w:rFonts w:ascii="Times New Roman" w:eastAsia="Times New Roman" w:hAnsi="Times New Roman"/>
          <w:color w:val="000000"/>
          <w:spacing w:val="-1"/>
          <w:lang w:val="it-IT" w:eastAsia="ar-SA"/>
        </w:rPr>
      </w:pPr>
    </w:p>
    <w:p>
      <w:pPr>
        <w:widowControl w:val="0"/>
        <w:shd w:val="clear" w:color="auto" w:fill="FFFFFF"/>
        <w:suppressAutoHyphens/>
        <w:autoSpaceDE w:val="0"/>
        <w:spacing w:after="0" w:line="240" w:lineRule="auto"/>
        <w:rPr>
          <w:rFonts w:ascii="Times New Roman" w:eastAsia="Times New Roman" w:hAnsi="Times New Roman"/>
          <w:color w:val="000000"/>
          <w:lang w:val="it-IT" w:eastAsia="ar-SA"/>
        </w:rPr>
      </w:pPr>
      <w:r>
        <w:rPr>
          <w:rFonts w:ascii="Times New Roman" w:eastAsia="Times New Roman" w:hAnsi="Times New Roman"/>
          <w:color w:val="000000"/>
          <w:spacing w:val="-1"/>
          <w:lang w:val="it-IT" w:eastAsia="ar-SA"/>
        </w:rPr>
        <w:t xml:space="preserve">La dose </w:t>
      </w:r>
      <w:r>
        <w:rPr>
          <w:rFonts w:ascii="Times New Roman" w:eastAsia="Times New Roman" w:hAnsi="Times New Roman"/>
          <w:lang w:val="it-IT" w:eastAsia="ar-SA"/>
        </w:rPr>
        <w:t xml:space="preserve">raccomandata, </w:t>
      </w:r>
      <w:r>
        <w:rPr>
          <w:rFonts w:ascii="Times New Roman" w:eastAsia="Times New Roman" w:hAnsi="Times New Roman"/>
          <w:lang w:val="it-IT"/>
        </w:rPr>
        <w:t>anche per i pazienti con diagnosi di “fibrillazione atriale” (un battito cardiaco irregolare),</w:t>
      </w:r>
      <w:r>
        <w:rPr>
          <w:rFonts w:ascii="Times New Roman" w:eastAsia="Times New Roman" w:hAnsi="Times New Roman"/>
          <w:color w:val="000000"/>
          <w:spacing w:val="-1"/>
          <w:lang w:val="it-IT" w:eastAsia="ar-SA"/>
        </w:rPr>
        <w:t xml:space="preserve"> è una compressa di 75 mg di </w:t>
      </w:r>
      <w:r>
        <w:rPr>
          <w:rFonts w:ascii="Times New Roman" w:eastAsia="Times New Roman" w:hAnsi="Times New Roman"/>
          <w:color w:val="000000"/>
          <w:lang w:val="it-IT" w:eastAsia="ar-SA"/>
        </w:rPr>
        <w:t xml:space="preserve">Clopidogrel Krka </w:t>
      </w:r>
      <w:r>
        <w:rPr>
          <w:rFonts w:ascii="Times New Roman" w:eastAsia="Times New Roman" w:hAnsi="Times New Roman"/>
          <w:color w:val="000000"/>
          <w:spacing w:val="-1"/>
          <w:lang w:val="it-IT" w:eastAsia="ar-SA"/>
        </w:rPr>
        <w:t xml:space="preserve">al giorno, da </w:t>
      </w:r>
      <w:r>
        <w:rPr>
          <w:rFonts w:ascii="Times New Roman" w:eastAsia="Times New Roman" w:hAnsi="Times New Roman"/>
          <w:color w:val="000000"/>
          <w:lang w:val="it-IT" w:eastAsia="ar-SA"/>
        </w:rPr>
        <w:t>prendere per via orale durante o lontano dai pasti, e alla stessa ora ogni giorno.</w:t>
      </w:r>
    </w:p>
    <w:p>
      <w:pPr>
        <w:widowControl w:val="0"/>
        <w:shd w:val="clear" w:color="auto" w:fill="FFFFFF"/>
        <w:suppressAutoHyphens/>
        <w:autoSpaceDE w:val="0"/>
        <w:spacing w:after="0" w:line="240" w:lineRule="auto"/>
        <w:rPr>
          <w:rFonts w:ascii="Times New Roman" w:eastAsia="Times New Roman" w:hAnsi="Times New Roman"/>
          <w:color w:val="000000"/>
          <w:lang w:val="it-IT" w:eastAsia="ar-SA"/>
        </w:rPr>
      </w:pPr>
    </w:p>
    <w:p>
      <w:pPr>
        <w:shd w:val="clear" w:color="auto" w:fill="FFFFFF"/>
        <w:tabs>
          <w:tab w:val="left" w:pos="567"/>
        </w:tabs>
        <w:spacing w:after="0" w:line="240" w:lineRule="auto"/>
        <w:rPr>
          <w:rFonts w:ascii="Times New Roman" w:eastAsia="Times New Roman" w:hAnsi="Times New Roman"/>
          <w:color w:val="000000"/>
          <w:lang w:val="it-IT"/>
        </w:rPr>
      </w:pPr>
      <w:r>
        <w:rPr>
          <w:rFonts w:ascii="Times New Roman" w:eastAsia="Times New Roman" w:hAnsi="Times New Roman"/>
          <w:color w:val="000000"/>
          <w:spacing w:val="-1"/>
          <w:lang w:val="it-IT"/>
        </w:rPr>
        <w:t xml:space="preserve">Se lei ha avuto un grave dolore al petto (angina instabile o attacco cardiaco), il medico può darle </w:t>
      </w:r>
      <w:r>
        <w:rPr>
          <w:rFonts w:ascii="Times New Roman" w:eastAsia="Times New Roman" w:hAnsi="Times New Roman"/>
          <w:color w:val="000000"/>
          <w:lang w:val="it-IT"/>
        </w:rPr>
        <w:t xml:space="preserve">300 mg o 600 mg di Clopidogrel Krka (4 o 8 compresse da 75 mg) una volta all'inizio del </w:t>
      </w:r>
      <w:r>
        <w:rPr>
          <w:rFonts w:ascii="Times New Roman" w:eastAsia="Times New Roman" w:hAnsi="Times New Roman"/>
          <w:color w:val="000000"/>
          <w:spacing w:val="-1"/>
          <w:lang w:val="it-IT"/>
        </w:rPr>
        <w:t xml:space="preserve">trattamento. Successivamente, la dose </w:t>
      </w:r>
      <w:r>
        <w:rPr>
          <w:rFonts w:ascii="Times New Roman" w:eastAsia="Times New Roman" w:hAnsi="Times New Roman"/>
          <w:lang w:val="it-IT"/>
        </w:rPr>
        <w:t>raccomandata</w:t>
      </w:r>
      <w:r>
        <w:rPr>
          <w:rFonts w:ascii="Times New Roman" w:eastAsia="Times New Roman" w:hAnsi="Times New Roman"/>
          <w:color w:val="000000"/>
          <w:spacing w:val="-1"/>
          <w:lang w:val="it-IT"/>
        </w:rPr>
        <w:t xml:space="preserve"> è una compressa di 75 mg di </w:t>
      </w:r>
      <w:r>
        <w:rPr>
          <w:rFonts w:ascii="Times New Roman" w:eastAsia="Times New Roman" w:hAnsi="Times New Roman"/>
          <w:color w:val="000000"/>
          <w:lang w:val="it-IT"/>
        </w:rPr>
        <w:t xml:space="preserve">Clopidogrel Krka </w:t>
      </w:r>
      <w:r>
        <w:rPr>
          <w:rFonts w:ascii="Times New Roman" w:eastAsia="Times New Roman" w:hAnsi="Times New Roman"/>
          <w:color w:val="000000"/>
          <w:spacing w:val="-1"/>
          <w:lang w:val="it-IT"/>
        </w:rPr>
        <w:t>al giorno, come descritto sopra.</w:t>
      </w:r>
    </w:p>
    <w:p>
      <w:pPr>
        <w:widowControl w:val="0"/>
        <w:shd w:val="clear" w:color="auto" w:fill="FFFFFF"/>
        <w:suppressAutoHyphens/>
        <w:autoSpaceDE w:val="0"/>
        <w:spacing w:after="0" w:line="240" w:lineRule="auto"/>
        <w:rPr>
          <w:rFonts w:ascii="Times New Roman" w:eastAsia="Times New Roman" w:hAnsi="Times New Roman"/>
          <w:color w:val="000000"/>
          <w:lang w:val="it-IT" w:eastAsia="ar-SA"/>
        </w:rPr>
      </w:pPr>
    </w:p>
    <w:p>
      <w:pPr>
        <w:widowControl w:val="0"/>
        <w:shd w:val="clear" w:color="auto" w:fill="FFFFFF"/>
        <w:suppressAutoHyphens/>
        <w:autoSpaceDE w:val="0"/>
        <w:spacing w:after="0" w:line="240" w:lineRule="auto"/>
        <w:rPr>
          <w:rFonts w:ascii="Times New Roman" w:eastAsia="Times New Roman" w:hAnsi="Times New Roman"/>
          <w:color w:val="000000"/>
          <w:spacing w:val="-1"/>
          <w:lang w:val="it-IT" w:eastAsia="ar-SA"/>
        </w:rPr>
      </w:pPr>
      <w:r>
        <w:rPr>
          <w:rFonts w:ascii="Times New Roman" w:eastAsia="Times New Roman" w:hAnsi="Times New Roman"/>
          <w:color w:val="000000"/>
          <w:spacing w:val="-1"/>
          <w:lang w:val="it-IT" w:eastAsia="ar-SA"/>
        </w:rPr>
        <w:t>Se ha manifestato sintomi di un ictus che scompaiono in un breve periodo di tempo (noto anche come attacco ischemico transitorio) o un ictus ischemico di gravità lieve, il medico può prescriverle 300 mg di Clopidogrel Krka (4 compresse di 75 mg) una volta all'inizio del trattamento. A seguire, la dose raccomandata è una compressa da 75 mg di Clopidogrel Krka al giorno, come descritto sopra, in combinazione con acido acetilsalicilico per 3 settimane. In seguito il medico prescriverà Clopidogrel Krka da solo o acido acetilsalicilico da solo.</w:t>
      </w:r>
    </w:p>
    <w:p>
      <w:pPr>
        <w:widowControl w:val="0"/>
        <w:shd w:val="clear" w:color="auto" w:fill="FFFFFF"/>
        <w:suppressAutoHyphens/>
        <w:autoSpaceDE w:val="0"/>
        <w:spacing w:after="0" w:line="240" w:lineRule="auto"/>
        <w:rPr>
          <w:rFonts w:ascii="Times New Roman" w:eastAsia="Times New Roman" w:hAnsi="Times New Roman"/>
          <w:color w:val="000000"/>
          <w:lang w:val="it-IT" w:eastAsia="ar-SA"/>
        </w:rPr>
      </w:pPr>
    </w:p>
    <w:p>
      <w:pPr>
        <w:widowControl w:val="0"/>
        <w:shd w:val="clear" w:color="auto" w:fill="FFFFFF"/>
        <w:suppressAutoHyphens/>
        <w:autoSpaceDE w:val="0"/>
        <w:spacing w:after="0" w:line="240" w:lineRule="auto"/>
        <w:rPr>
          <w:rFonts w:ascii="Times New Roman" w:eastAsia="Times New Roman" w:hAnsi="Times New Roman"/>
          <w:color w:val="000000"/>
          <w:lang w:val="it-IT" w:eastAsia="ar-SA"/>
        </w:rPr>
      </w:pPr>
      <w:r>
        <w:rPr>
          <w:rFonts w:ascii="Times New Roman" w:eastAsia="Times New Roman" w:hAnsi="Times New Roman"/>
          <w:color w:val="000000"/>
          <w:lang w:val="it-IT" w:eastAsia="ar-SA"/>
        </w:rPr>
        <w:t>Clopidogrel Krka deve essere preso per tutto il tempo che il medico lo ritiene necessario.</w:t>
      </w:r>
    </w:p>
    <w:p>
      <w:pPr>
        <w:widowControl w:val="0"/>
        <w:shd w:val="clear" w:color="auto" w:fill="FFFFFF"/>
        <w:suppressAutoHyphens/>
        <w:autoSpaceDE w:val="0"/>
        <w:spacing w:after="0" w:line="240" w:lineRule="auto"/>
        <w:rPr>
          <w:rFonts w:ascii="Times New Roman" w:eastAsia="Times New Roman" w:hAnsi="Times New Roman"/>
          <w:b/>
          <w:bCs/>
          <w:color w:val="000000"/>
          <w:spacing w:val="-1"/>
          <w:lang w:val="it-IT" w:eastAsia="ar-SA"/>
        </w:rPr>
      </w:pPr>
    </w:p>
    <w:p>
      <w:pPr>
        <w:widowControl w:val="0"/>
        <w:shd w:val="clear" w:color="auto" w:fill="FFFFFF"/>
        <w:suppressAutoHyphens/>
        <w:autoSpaceDE w:val="0"/>
        <w:spacing w:after="0" w:line="240" w:lineRule="auto"/>
        <w:rPr>
          <w:rFonts w:ascii="Times New Roman" w:eastAsia="Times New Roman" w:hAnsi="Times New Roman"/>
          <w:b/>
          <w:bCs/>
          <w:color w:val="000000"/>
          <w:spacing w:val="-1"/>
          <w:lang w:val="it-IT" w:eastAsia="ar-SA"/>
        </w:rPr>
      </w:pPr>
      <w:r>
        <w:rPr>
          <w:rFonts w:ascii="Times New Roman" w:eastAsia="Times New Roman" w:hAnsi="Times New Roman"/>
          <w:b/>
          <w:bCs/>
          <w:color w:val="000000"/>
          <w:spacing w:val="-1"/>
          <w:lang w:val="it-IT" w:eastAsia="ar-SA"/>
        </w:rPr>
        <w:t xml:space="preserve">Se prende più </w:t>
      </w:r>
      <w:r>
        <w:rPr>
          <w:rFonts w:ascii="Times New Roman" w:eastAsia="Times New Roman" w:hAnsi="Times New Roman"/>
          <w:b/>
          <w:color w:val="000000"/>
          <w:lang w:val="it-IT" w:eastAsia="ar-SA"/>
        </w:rPr>
        <w:t>Clopidogrel Krka</w:t>
      </w:r>
      <w:r>
        <w:rPr>
          <w:rFonts w:ascii="Times New Roman" w:eastAsia="Times New Roman" w:hAnsi="Times New Roman"/>
          <w:b/>
          <w:bCs/>
          <w:color w:val="000000"/>
          <w:spacing w:val="-1"/>
          <w:lang w:val="it-IT" w:eastAsia="ar-SA"/>
        </w:rPr>
        <w:t xml:space="preserve"> di quanto deve</w:t>
      </w:r>
    </w:p>
    <w:p>
      <w:pPr>
        <w:widowControl w:val="0"/>
        <w:shd w:val="clear" w:color="auto" w:fill="FFFFFF"/>
        <w:suppressAutoHyphens/>
        <w:autoSpaceDE w:val="0"/>
        <w:spacing w:after="0" w:line="240" w:lineRule="auto"/>
        <w:rPr>
          <w:rFonts w:ascii="Times New Roman" w:eastAsia="Times New Roman" w:hAnsi="Times New Roman"/>
          <w:color w:val="000000"/>
          <w:lang w:val="it-IT" w:eastAsia="ar-SA"/>
        </w:rPr>
      </w:pPr>
      <w:r>
        <w:rPr>
          <w:rFonts w:ascii="Times New Roman" w:eastAsia="Times New Roman" w:hAnsi="Times New Roman"/>
          <w:color w:val="000000"/>
          <w:lang w:val="it-IT" w:eastAsia="ar-SA"/>
        </w:rPr>
        <w:t xml:space="preserve">Contatti il medico o il Pronto Soccorso </w:t>
      </w:r>
      <w:r>
        <w:rPr>
          <w:rFonts w:ascii="Times New Roman" w:eastAsia="Times New Roman" w:hAnsi="Times New Roman"/>
          <w:lang w:val="it-IT" w:eastAsia="ar-SA"/>
        </w:rPr>
        <w:t>del</w:t>
      </w:r>
      <w:r>
        <w:rPr>
          <w:rFonts w:ascii="Times New Roman" w:eastAsia="Times New Roman" w:hAnsi="Times New Roman"/>
          <w:color w:val="000000"/>
          <w:lang w:val="it-IT" w:eastAsia="ar-SA"/>
        </w:rPr>
        <w:t xml:space="preserve"> più vicino </w:t>
      </w:r>
      <w:r>
        <w:rPr>
          <w:rFonts w:ascii="Times New Roman" w:eastAsia="Times New Roman" w:hAnsi="Times New Roman"/>
          <w:lang w:val="it-IT" w:eastAsia="ar-SA"/>
        </w:rPr>
        <w:t>ospedale</w:t>
      </w:r>
      <w:r>
        <w:rPr>
          <w:rFonts w:ascii="Times New Roman" w:eastAsia="Times New Roman" w:hAnsi="Times New Roman"/>
          <w:color w:val="000000"/>
          <w:lang w:val="it-IT" w:eastAsia="ar-SA"/>
        </w:rPr>
        <w:t xml:space="preserve"> per il rischio di un aumento del sanguinamento.</w:t>
      </w:r>
    </w:p>
    <w:p>
      <w:pPr>
        <w:widowControl w:val="0"/>
        <w:shd w:val="clear" w:color="auto" w:fill="FFFFFF"/>
        <w:suppressAutoHyphens/>
        <w:autoSpaceDE w:val="0"/>
        <w:spacing w:after="0" w:line="240" w:lineRule="auto"/>
        <w:rPr>
          <w:rFonts w:ascii="Times New Roman" w:eastAsia="Times New Roman" w:hAnsi="Times New Roman"/>
          <w:b/>
          <w:bCs/>
          <w:color w:val="000000"/>
          <w:spacing w:val="-1"/>
          <w:lang w:val="it-IT" w:eastAsia="ar-SA"/>
        </w:rPr>
      </w:pPr>
    </w:p>
    <w:p>
      <w:pPr>
        <w:widowControl w:val="0"/>
        <w:shd w:val="clear" w:color="auto" w:fill="FFFFFF"/>
        <w:suppressAutoHyphens/>
        <w:autoSpaceDE w:val="0"/>
        <w:spacing w:after="0" w:line="240" w:lineRule="auto"/>
        <w:rPr>
          <w:rFonts w:ascii="Times New Roman" w:eastAsia="Times New Roman" w:hAnsi="Times New Roman"/>
          <w:b/>
          <w:bCs/>
          <w:color w:val="000000"/>
          <w:spacing w:val="-1"/>
          <w:lang w:val="it-IT" w:eastAsia="ar-SA"/>
        </w:rPr>
      </w:pPr>
      <w:r>
        <w:rPr>
          <w:rFonts w:ascii="Times New Roman" w:eastAsia="Times New Roman" w:hAnsi="Times New Roman"/>
          <w:b/>
          <w:bCs/>
          <w:color w:val="000000"/>
          <w:spacing w:val="-1"/>
          <w:lang w:val="it-IT" w:eastAsia="ar-SA"/>
        </w:rPr>
        <w:t xml:space="preserve">Se dimentica di prendere </w:t>
      </w:r>
      <w:r>
        <w:rPr>
          <w:rFonts w:ascii="Times New Roman" w:eastAsia="Times New Roman" w:hAnsi="Times New Roman"/>
          <w:b/>
          <w:color w:val="000000"/>
          <w:lang w:val="it-IT" w:eastAsia="ar-SA"/>
        </w:rPr>
        <w:t>Clopidogrel Krka</w:t>
      </w:r>
    </w:p>
    <w:p>
      <w:pPr>
        <w:widowControl w:val="0"/>
        <w:shd w:val="clear" w:color="auto" w:fill="FFFFFF"/>
        <w:suppressAutoHyphens/>
        <w:autoSpaceDE w:val="0"/>
        <w:spacing w:after="0" w:line="240" w:lineRule="auto"/>
        <w:rPr>
          <w:rFonts w:ascii="Times New Roman" w:eastAsia="Times New Roman" w:hAnsi="Times New Roman"/>
          <w:color w:val="000000"/>
          <w:lang w:val="it-IT" w:eastAsia="ar-SA"/>
        </w:rPr>
      </w:pPr>
      <w:r>
        <w:rPr>
          <w:rFonts w:ascii="Times New Roman" w:eastAsia="Times New Roman" w:hAnsi="Times New Roman"/>
          <w:color w:val="000000"/>
          <w:spacing w:val="-1"/>
          <w:lang w:val="it-IT" w:eastAsia="ar-SA"/>
        </w:rPr>
        <w:t xml:space="preserve">Se dimentica di prendere una dose di </w:t>
      </w:r>
      <w:r>
        <w:rPr>
          <w:rFonts w:ascii="Times New Roman" w:eastAsia="Times New Roman" w:hAnsi="Times New Roman"/>
          <w:color w:val="000000"/>
          <w:lang w:val="it-IT" w:eastAsia="ar-SA"/>
        </w:rPr>
        <w:t>Clopidogrel Krka</w:t>
      </w:r>
      <w:r>
        <w:rPr>
          <w:rFonts w:ascii="Times New Roman" w:eastAsia="Times New Roman" w:hAnsi="Times New Roman"/>
          <w:color w:val="000000"/>
          <w:spacing w:val="-1"/>
          <w:lang w:val="it-IT" w:eastAsia="ar-SA"/>
        </w:rPr>
        <w:t xml:space="preserve">, ma si ricorda entro le 12 ore dall'orario usuale, assuma una </w:t>
      </w:r>
      <w:r>
        <w:rPr>
          <w:rFonts w:ascii="Times New Roman" w:eastAsia="Times New Roman" w:hAnsi="Times New Roman"/>
          <w:color w:val="000000"/>
          <w:lang w:val="it-IT" w:eastAsia="ar-SA"/>
        </w:rPr>
        <w:t>compressa subito e quindi prenda la successiva all'orario usuale.</w:t>
      </w:r>
    </w:p>
    <w:p>
      <w:pPr>
        <w:widowControl w:val="0"/>
        <w:shd w:val="clear" w:color="auto" w:fill="FFFFFF"/>
        <w:suppressAutoHyphens/>
        <w:autoSpaceDE w:val="0"/>
        <w:spacing w:after="0" w:line="240" w:lineRule="auto"/>
        <w:rPr>
          <w:rFonts w:ascii="Times New Roman" w:eastAsia="Times New Roman" w:hAnsi="Times New Roman"/>
          <w:color w:val="000000"/>
          <w:lang w:val="it-IT" w:eastAsia="ar-SA"/>
        </w:rPr>
      </w:pPr>
      <w:r>
        <w:rPr>
          <w:rFonts w:ascii="Times New Roman" w:eastAsia="Times New Roman" w:hAnsi="Times New Roman"/>
          <w:color w:val="000000"/>
          <w:spacing w:val="-1"/>
          <w:lang w:val="it-IT" w:eastAsia="ar-SA"/>
        </w:rPr>
        <w:t xml:space="preserve">Se invece sono trascorse più di 12 ore, prenda semplicemente la normale dose all'orario abituale. Non </w:t>
      </w:r>
      <w:r>
        <w:rPr>
          <w:rFonts w:ascii="Times New Roman" w:eastAsia="Times New Roman" w:hAnsi="Times New Roman"/>
          <w:color w:val="000000"/>
          <w:lang w:val="it-IT" w:eastAsia="ar-SA"/>
        </w:rPr>
        <w:t xml:space="preserve">prenda una dose doppia per compensare </w:t>
      </w:r>
      <w:r>
        <w:rPr>
          <w:rFonts w:ascii="Times New Roman" w:eastAsia="Times New Roman" w:hAnsi="Times New Roman"/>
          <w:lang w:val="it-IT" w:eastAsia="ar-SA"/>
        </w:rPr>
        <w:t>la dimenticanza della dose</w:t>
      </w:r>
      <w:r>
        <w:rPr>
          <w:rFonts w:ascii="Times New Roman" w:eastAsia="Times New Roman" w:hAnsi="Times New Roman"/>
          <w:color w:val="000000"/>
          <w:lang w:val="it-IT" w:eastAsia="ar-SA"/>
        </w:rPr>
        <w:t>.</w:t>
      </w:r>
    </w:p>
    <w:p>
      <w:pPr>
        <w:widowControl w:val="0"/>
        <w:shd w:val="clear" w:color="auto" w:fill="FFFFFF"/>
        <w:suppressAutoHyphens/>
        <w:autoSpaceDE w:val="0"/>
        <w:spacing w:after="0" w:line="240" w:lineRule="auto"/>
        <w:rPr>
          <w:rFonts w:ascii="Times New Roman" w:eastAsia="Times New Roman" w:hAnsi="Times New Roman"/>
          <w:b/>
          <w:bCs/>
          <w:color w:val="000000"/>
          <w:spacing w:val="-1"/>
          <w:lang w:val="it-IT" w:eastAsia="ar-SA"/>
        </w:rPr>
      </w:pPr>
    </w:p>
    <w:p>
      <w:pPr>
        <w:widowControl w:val="0"/>
        <w:shd w:val="clear" w:color="auto" w:fill="FFFFFF"/>
        <w:suppressAutoHyphens/>
        <w:autoSpaceDE w:val="0"/>
        <w:spacing w:after="0" w:line="240" w:lineRule="auto"/>
        <w:rPr>
          <w:rFonts w:ascii="Times New Roman" w:eastAsia="Times New Roman" w:hAnsi="Times New Roman"/>
          <w:b/>
          <w:bCs/>
          <w:color w:val="000000"/>
          <w:spacing w:val="-1"/>
          <w:lang w:val="it-IT" w:eastAsia="ar-SA"/>
        </w:rPr>
      </w:pPr>
      <w:r>
        <w:rPr>
          <w:rFonts w:ascii="Times New Roman" w:eastAsia="Times New Roman" w:hAnsi="Times New Roman"/>
          <w:b/>
          <w:bCs/>
          <w:color w:val="000000"/>
          <w:spacing w:val="-1"/>
          <w:lang w:val="it-IT" w:eastAsia="ar-SA"/>
        </w:rPr>
        <w:t xml:space="preserve">Se interrompe il trattamento con </w:t>
      </w:r>
      <w:r>
        <w:rPr>
          <w:rFonts w:ascii="Times New Roman" w:eastAsia="Times New Roman" w:hAnsi="Times New Roman"/>
          <w:b/>
          <w:color w:val="000000"/>
          <w:lang w:val="it-IT" w:eastAsia="ar-SA"/>
        </w:rPr>
        <w:t>Clopidogrel Krka</w:t>
      </w:r>
    </w:p>
    <w:p>
      <w:pPr>
        <w:widowControl w:val="0"/>
        <w:shd w:val="clear" w:color="auto" w:fill="FFFFFF"/>
        <w:suppressAutoHyphens/>
        <w:autoSpaceDE w:val="0"/>
        <w:spacing w:after="0" w:line="240" w:lineRule="auto"/>
        <w:rPr>
          <w:rFonts w:ascii="Times New Roman" w:eastAsia="Times New Roman" w:hAnsi="Times New Roman"/>
          <w:color w:val="000000"/>
          <w:lang w:val="it-IT" w:eastAsia="ar-SA"/>
        </w:rPr>
      </w:pPr>
      <w:r>
        <w:rPr>
          <w:rFonts w:ascii="Times New Roman" w:eastAsia="Times New Roman" w:hAnsi="Times New Roman"/>
          <w:color w:val="000000"/>
          <w:lang w:val="it-IT" w:eastAsia="ar-SA"/>
        </w:rPr>
        <w:t>Non interrompa il trattamento</w:t>
      </w:r>
      <w:r>
        <w:rPr>
          <w:rFonts w:ascii="Times New Roman" w:eastAsia="Times New Roman" w:hAnsi="Times New Roman"/>
          <w:b/>
          <w:lang w:val="it-IT" w:eastAsia="ar-SA"/>
        </w:rPr>
        <w:t xml:space="preserve"> a meno che non glielo abbia detto il medico</w:t>
      </w:r>
      <w:r>
        <w:rPr>
          <w:rFonts w:ascii="Times New Roman" w:eastAsia="Times New Roman" w:hAnsi="Times New Roman"/>
          <w:color w:val="000000"/>
          <w:lang w:val="it-IT" w:eastAsia="ar-SA"/>
        </w:rPr>
        <w:t>. Prima di interromperlo contatti il medico o il farmacista.</w:t>
      </w:r>
    </w:p>
    <w:p>
      <w:pPr>
        <w:widowControl w:val="0"/>
        <w:shd w:val="clear" w:color="auto" w:fill="FFFFFF"/>
        <w:suppressAutoHyphens/>
        <w:autoSpaceDE w:val="0"/>
        <w:spacing w:after="0" w:line="240" w:lineRule="auto"/>
        <w:rPr>
          <w:rFonts w:ascii="Times New Roman" w:eastAsia="Times New Roman" w:hAnsi="Times New Roman"/>
          <w:color w:val="000000"/>
          <w:lang w:val="it-IT" w:eastAsia="ar-SA"/>
        </w:rPr>
      </w:pPr>
    </w:p>
    <w:p>
      <w:pPr>
        <w:widowControl w:val="0"/>
        <w:shd w:val="clear" w:color="auto" w:fill="FFFFFF"/>
        <w:suppressAutoHyphens/>
        <w:autoSpaceDE w:val="0"/>
        <w:spacing w:after="0" w:line="240" w:lineRule="auto"/>
        <w:rPr>
          <w:rFonts w:ascii="Times New Roman" w:eastAsia="Times New Roman" w:hAnsi="Times New Roman"/>
          <w:color w:val="000000"/>
          <w:lang w:val="it-IT" w:eastAsia="ar-SA"/>
        </w:rPr>
      </w:pPr>
      <w:r>
        <w:rPr>
          <w:rFonts w:ascii="Times New Roman" w:eastAsia="Times New Roman" w:hAnsi="Times New Roman"/>
          <w:color w:val="000000"/>
          <w:lang w:val="it-IT" w:eastAsia="ar-SA"/>
        </w:rPr>
        <w:t>Se ha qualsiasi dubbio sull'uso di questo medicinale, si rivolga al suo medico o al farmacista.</w:t>
      </w:r>
    </w:p>
    <w:p>
      <w:pPr>
        <w:widowControl w:val="0"/>
        <w:shd w:val="clear" w:color="auto" w:fill="FFFFFF"/>
        <w:suppressAutoHyphens/>
        <w:autoSpaceDE w:val="0"/>
        <w:spacing w:after="0" w:line="240" w:lineRule="auto"/>
        <w:rPr>
          <w:rFonts w:ascii="Times New Roman" w:eastAsia="Times New Roman" w:hAnsi="Times New Roman"/>
          <w:lang w:val="it-IT" w:eastAsia="ar-SA"/>
        </w:rPr>
      </w:pPr>
    </w:p>
    <w:p>
      <w:pPr>
        <w:widowControl w:val="0"/>
        <w:shd w:val="clear" w:color="auto" w:fill="FFFFFF"/>
        <w:suppressAutoHyphens/>
        <w:autoSpaceDE w:val="0"/>
        <w:spacing w:after="0" w:line="240" w:lineRule="auto"/>
        <w:rPr>
          <w:rFonts w:ascii="Times New Roman" w:eastAsia="Times New Roman" w:hAnsi="Times New Roman"/>
          <w:lang w:val="it-IT" w:eastAsia="ar-SA"/>
        </w:rPr>
      </w:pPr>
    </w:p>
    <w:p>
      <w:pPr>
        <w:widowControl w:val="0"/>
        <w:numPr>
          <w:ilvl w:val="0"/>
          <w:numId w:val="4"/>
        </w:numPr>
        <w:shd w:val="clear" w:color="auto" w:fill="FFFFFF"/>
        <w:suppressAutoHyphens/>
        <w:autoSpaceDE w:val="0"/>
        <w:spacing w:after="0" w:line="240" w:lineRule="auto"/>
        <w:ind w:left="567" w:hanging="567"/>
        <w:rPr>
          <w:rFonts w:ascii="Times New Roman" w:eastAsia="Times New Roman" w:hAnsi="Times New Roman"/>
          <w:b/>
          <w:bCs/>
          <w:color w:val="000000"/>
          <w:lang w:val="it-IT" w:eastAsia="ar-SA"/>
        </w:rPr>
      </w:pPr>
      <w:r>
        <w:rPr>
          <w:rFonts w:ascii="Times New Roman" w:eastAsia="Times New Roman" w:hAnsi="Times New Roman"/>
          <w:b/>
          <w:bCs/>
          <w:color w:val="000000"/>
          <w:lang w:val="it-IT" w:eastAsia="ar-SA"/>
        </w:rPr>
        <w:t>Possibili effetti indesiderati</w:t>
      </w:r>
    </w:p>
    <w:p>
      <w:pPr>
        <w:widowControl w:val="0"/>
        <w:shd w:val="clear" w:color="auto" w:fill="FFFFFF"/>
        <w:suppressAutoHyphens/>
        <w:autoSpaceDE w:val="0"/>
        <w:spacing w:after="0" w:line="240" w:lineRule="auto"/>
        <w:rPr>
          <w:rFonts w:ascii="Times New Roman" w:eastAsia="Times New Roman" w:hAnsi="Times New Roman"/>
          <w:color w:val="000000"/>
          <w:spacing w:val="-1"/>
          <w:lang w:val="it-IT" w:eastAsia="ar-SA"/>
        </w:rPr>
      </w:pPr>
    </w:p>
    <w:p>
      <w:pPr>
        <w:widowControl w:val="0"/>
        <w:shd w:val="clear" w:color="auto" w:fill="FFFFFF"/>
        <w:suppressAutoHyphens/>
        <w:autoSpaceDE w:val="0"/>
        <w:spacing w:after="0" w:line="240" w:lineRule="auto"/>
        <w:rPr>
          <w:rFonts w:ascii="Times New Roman" w:eastAsia="Times New Roman" w:hAnsi="Times New Roman"/>
          <w:color w:val="000000"/>
          <w:spacing w:val="-1"/>
          <w:lang w:val="it-IT" w:eastAsia="ar-SA"/>
        </w:rPr>
      </w:pPr>
      <w:r>
        <w:rPr>
          <w:rFonts w:ascii="Times New Roman" w:eastAsia="Times New Roman" w:hAnsi="Times New Roman"/>
          <w:color w:val="000000"/>
          <w:spacing w:val="-1"/>
          <w:lang w:val="it-IT" w:eastAsia="ar-SA"/>
        </w:rPr>
        <w:t xml:space="preserve">Come tutti i medicinali </w:t>
      </w:r>
      <w:r>
        <w:rPr>
          <w:rFonts w:ascii="Times New Roman" w:eastAsia="Times New Roman" w:hAnsi="Times New Roman"/>
          <w:lang w:val="it-IT" w:eastAsia="ar-SA"/>
        </w:rPr>
        <w:t xml:space="preserve">questo medicinale </w:t>
      </w:r>
      <w:r>
        <w:rPr>
          <w:rFonts w:ascii="Times New Roman" w:eastAsia="Times New Roman" w:hAnsi="Times New Roman"/>
          <w:color w:val="000000"/>
          <w:spacing w:val="-1"/>
          <w:lang w:val="it-IT" w:eastAsia="ar-SA"/>
        </w:rPr>
        <w:t>può causare effetti indesiderati sebbene non tutte le persone li manifestino.</w:t>
      </w:r>
    </w:p>
    <w:p>
      <w:pPr>
        <w:widowControl w:val="0"/>
        <w:shd w:val="clear" w:color="auto" w:fill="FFFFFF"/>
        <w:suppressAutoHyphens/>
        <w:autoSpaceDE w:val="0"/>
        <w:spacing w:after="0" w:line="240" w:lineRule="auto"/>
        <w:ind w:left="14"/>
        <w:rPr>
          <w:rFonts w:ascii="Times New Roman" w:eastAsia="Times New Roman" w:hAnsi="Times New Roman"/>
          <w:b/>
          <w:bCs/>
          <w:color w:val="000000"/>
          <w:lang w:val="it-IT" w:eastAsia="ar-SA"/>
        </w:rPr>
      </w:pPr>
    </w:p>
    <w:p>
      <w:pPr>
        <w:widowControl w:val="0"/>
        <w:shd w:val="clear" w:color="auto" w:fill="FFFFFF"/>
        <w:suppressAutoHyphens/>
        <w:autoSpaceDE w:val="0"/>
        <w:spacing w:after="0" w:line="240" w:lineRule="auto"/>
        <w:ind w:left="14"/>
        <w:rPr>
          <w:rFonts w:ascii="Times New Roman" w:eastAsia="Times New Roman" w:hAnsi="Times New Roman"/>
          <w:b/>
          <w:bCs/>
          <w:color w:val="000000"/>
          <w:lang w:val="it-IT" w:eastAsia="ar-SA"/>
        </w:rPr>
      </w:pPr>
      <w:r>
        <w:rPr>
          <w:rFonts w:ascii="Times New Roman" w:eastAsia="Times New Roman" w:hAnsi="Times New Roman"/>
          <w:b/>
          <w:bCs/>
          <w:color w:val="000000"/>
          <w:lang w:val="it-IT" w:eastAsia="ar-SA"/>
        </w:rPr>
        <w:t>Contatti il medico immediatamente se si presentano:</w:t>
      </w:r>
    </w:p>
    <w:p>
      <w:pPr>
        <w:widowControl w:val="0"/>
        <w:numPr>
          <w:ilvl w:val="0"/>
          <w:numId w:val="3"/>
        </w:numPr>
        <w:shd w:val="clear" w:color="auto" w:fill="FFFFFF"/>
        <w:tabs>
          <w:tab w:val="left" w:pos="567"/>
        </w:tabs>
        <w:suppressAutoHyphens/>
        <w:autoSpaceDE w:val="0"/>
        <w:spacing w:after="0" w:line="240" w:lineRule="auto"/>
        <w:ind w:left="567" w:hanging="567"/>
        <w:rPr>
          <w:rFonts w:ascii="Times New Roman" w:eastAsia="Times New Roman" w:hAnsi="Times New Roman"/>
          <w:color w:val="000000"/>
          <w:lang w:val="it-IT" w:eastAsia="ar-SA"/>
        </w:rPr>
      </w:pPr>
      <w:r>
        <w:rPr>
          <w:rFonts w:ascii="Times New Roman" w:eastAsia="Times New Roman" w:hAnsi="Times New Roman"/>
          <w:color w:val="000000"/>
          <w:spacing w:val="-1"/>
          <w:lang w:val="it-IT" w:eastAsia="ar-SA"/>
        </w:rPr>
        <w:t xml:space="preserve">febbre, segni di infezione o grave senso di debolezza. Questi effetti possono essere dovuti a una </w:t>
      </w:r>
      <w:r>
        <w:rPr>
          <w:rFonts w:ascii="Times New Roman" w:eastAsia="Times New Roman" w:hAnsi="Times New Roman"/>
          <w:color w:val="000000"/>
          <w:lang w:val="it-IT" w:eastAsia="ar-SA"/>
        </w:rPr>
        <w:t>rara diminuzione di alcune cellule del sangue.</w:t>
      </w:r>
    </w:p>
    <w:p>
      <w:pPr>
        <w:widowControl w:val="0"/>
        <w:numPr>
          <w:ilvl w:val="0"/>
          <w:numId w:val="3"/>
        </w:numPr>
        <w:shd w:val="clear" w:color="auto" w:fill="FFFFFF"/>
        <w:tabs>
          <w:tab w:val="left" w:pos="567"/>
        </w:tabs>
        <w:suppressAutoHyphens/>
        <w:autoSpaceDE w:val="0"/>
        <w:spacing w:after="0" w:line="240" w:lineRule="auto"/>
        <w:ind w:left="567" w:hanging="567"/>
        <w:rPr>
          <w:rFonts w:ascii="Times New Roman" w:eastAsia="Times New Roman" w:hAnsi="Times New Roman"/>
          <w:color w:val="000000"/>
          <w:lang w:val="it-IT" w:eastAsia="ar-SA"/>
        </w:rPr>
      </w:pPr>
      <w:r>
        <w:rPr>
          <w:rFonts w:ascii="Times New Roman" w:hAnsi="Times New Roman"/>
          <w:lang w:val="it-IT"/>
        </w:rPr>
        <w:t xml:space="preserve">segni di disturbi al fegato come ingiallimento della pelle e/o degli occhi (ittero), con o senza sanguinamento che appare sotto la pelle come puntini rossi, e/o confusione (vedere </w:t>
      </w:r>
      <w:r>
        <w:rPr>
          <w:rFonts w:ascii="Times New Roman" w:eastAsia="Times New Roman" w:hAnsi="Times New Roman"/>
          <w:lang w:val="it-IT" w:eastAsia="ar-SA"/>
        </w:rPr>
        <w:t>paragrafo</w:t>
      </w:r>
      <w:r>
        <w:rPr>
          <w:rFonts w:ascii="Times New Roman" w:eastAsia="Times New Roman" w:hAnsi="Times New Roman"/>
          <w:color w:val="000000"/>
          <w:lang w:val="it-IT" w:eastAsia="ar-SA"/>
        </w:rPr>
        <w:t xml:space="preserve"> </w:t>
      </w:r>
      <w:r>
        <w:rPr>
          <w:rFonts w:ascii="Times New Roman" w:eastAsia="Times New Roman" w:hAnsi="Times New Roman"/>
          <w:lang w:val="it-IT" w:eastAsia="ar-SA"/>
        </w:rPr>
        <w:t xml:space="preserve">2 </w:t>
      </w:r>
      <w:r>
        <w:rPr>
          <w:rFonts w:ascii="Times New Roman" w:eastAsia="Times New Roman" w:hAnsi="Times New Roman"/>
          <w:color w:val="000000"/>
          <w:lang w:val="it-IT" w:eastAsia="ar-SA"/>
        </w:rPr>
        <w:t>"</w:t>
      </w:r>
      <w:r>
        <w:rPr>
          <w:rFonts w:ascii="Times New Roman" w:eastAsia="Times New Roman" w:hAnsi="Times New Roman"/>
          <w:bCs/>
          <w:lang w:val="it-IT" w:eastAsia="ar-SA"/>
        </w:rPr>
        <w:t>Avvertenze e precauzioni</w:t>
      </w:r>
      <w:r>
        <w:rPr>
          <w:rFonts w:ascii="Times New Roman" w:eastAsia="Times New Roman" w:hAnsi="Times New Roman"/>
          <w:color w:val="000000"/>
          <w:lang w:val="it-IT" w:eastAsia="ar-SA"/>
        </w:rPr>
        <w:t>")</w:t>
      </w:r>
    </w:p>
    <w:p>
      <w:pPr>
        <w:widowControl w:val="0"/>
        <w:numPr>
          <w:ilvl w:val="0"/>
          <w:numId w:val="3"/>
        </w:numPr>
        <w:shd w:val="clear" w:color="auto" w:fill="FFFFFF"/>
        <w:tabs>
          <w:tab w:val="left" w:pos="567"/>
        </w:tabs>
        <w:suppressAutoHyphens/>
        <w:autoSpaceDE w:val="0"/>
        <w:spacing w:after="0" w:line="240" w:lineRule="auto"/>
        <w:ind w:left="567" w:hanging="567"/>
        <w:rPr>
          <w:rFonts w:ascii="Times New Roman" w:eastAsia="Times New Roman" w:hAnsi="Times New Roman"/>
          <w:color w:val="000000"/>
          <w:lang w:val="it-IT" w:eastAsia="ar-SA"/>
        </w:rPr>
      </w:pPr>
      <w:r>
        <w:rPr>
          <w:rFonts w:ascii="Times New Roman" w:eastAsia="Times New Roman" w:hAnsi="Times New Roman"/>
          <w:color w:val="000000"/>
          <w:lang w:val="it-IT" w:eastAsia="ar-SA"/>
        </w:rPr>
        <w:t>gonfiore nella bocca o disturbi della pelle quali rash, prurito, bolle della pelle. Questi possono essere segni di una reazione allergica.</w:t>
      </w:r>
    </w:p>
    <w:p>
      <w:pPr>
        <w:widowControl w:val="0"/>
        <w:shd w:val="clear" w:color="auto" w:fill="FFFFFF"/>
        <w:autoSpaceDE w:val="0"/>
        <w:spacing w:after="0" w:line="240" w:lineRule="auto"/>
        <w:ind w:left="709" w:hanging="425"/>
        <w:rPr>
          <w:rFonts w:ascii="Times New Roman" w:eastAsia="Times New Roman" w:hAnsi="Times New Roman"/>
          <w:color w:val="000000"/>
          <w:lang w:val="it-IT" w:eastAsia="ar-SA"/>
        </w:rPr>
      </w:pPr>
    </w:p>
    <w:p>
      <w:pPr>
        <w:widowControl w:val="0"/>
        <w:shd w:val="clear" w:color="auto" w:fill="FFFFFF"/>
        <w:suppressAutoHyphens/>
        <w:autoSpaceDE w:val="0"/>
        <w:spacing w:after="0" w:line="240" w:lineRule="auto"/>
        <w:rPr>
          <w:rFonts w:ascii="Times New Roman" w:eastAsia="Times New Roman" w:hAnsi="Times New Roman"/>
          <w:b/>
          <w:bCs/>
          <w:color w:val="000000"/>
          <w:lang w:val="it-IT" w:eastAsia="ar-SA"/>
        </w:rPr>
      </w:pPr>
      <w:r>
        <w:rPr>
          <w:rFonts w:ascii="Times New Roman" w:eastAsia="Times New Roman" w:hAnsi="Times New Roman"/>
          <w:b/>
          <w:bCs/>
          <w:color w:val="000000"/>
          <w:lang w:val="it-IT" w:eastAsia="ar-SA"/>
        </w:rPr>
        <w:t>Il più comune effetto indesiderato segnalato con Clopidogrel Krka è il</w:t>
      </w:r>
      <w:r>
        <w:rPr>
          <w:rFonts w:ascii="Times New Roman" w:eastAsia="Times New Roman" w:hAnsi="Times New Roman"/>
          <w:lang w:val="it-IT" w:eastAsia="ar-SA"/>
        </w:rPr>
        <w:t xml:space="preserve"> </w:t>
      </w:r>
      <w:r>
        <w:rPr>
          <w:rFonts w:ascii="Times New Roman" w:eastAsia="Times New Roman" w:hAnsi="Times New Roman"/>
          <w:b/>
          <w:bCs/>
          <w:color w:val="000000"/>
          <w:lang w:val="it-IT" w:eastAsia="ar-SA"/>
        </w:rPr>
        <w:t>sanguinamento.</w:t>
      </w:r>
    </w:p>
    <w:p>
      <w:pPr>
        <w:widowControl w:val="0"/>
        <w:shd w:val="clear" w:color="auto" w:fill="FFFFFF"/>
        <w:suppressAutoHyphens/>
        <w:autoSpaceDE w:val="0"/>
        <w:spacing w:after="0" w:line="240" w:lineRule="auto"/>
        <w:rPr>
          <w:rFonts w:ascii="Times New Roman" w:eastAsia="Times New Roman" w:hAnsi="Times New Roman"/>
          <w:color w:val="000000"/>
          <w:lang w:val="it-IT" w:eastAsia="ar-SA"/>
        </w:rPr>
      </w:pPr>
      <w:r>
        <w:rPr>
          <w:rFonts w:ascii="Times New Roman" w:eastAsia="Times New Roman" w:hAnsi="Times New Roman"/>
          <w:color w:val="000000"/>
          <w:lang w:val="it-IT" w:eastAsia="ar-SA"/>
        </w:rPr>
        <w:t xml:space="preserve">Il sanguinamento può manifestarsi come sanguinamento nello stomaco o nell'intestino, </w:t>
      </w:r>
      <w:r>
        <w:rPr>
          <w:rFonts w:ascii="Times New Roman" w:eastAsia="Times New Roman" w:hAnsi="Times New Roman"/>
          <w:color w:val="000000"/>
          <w:spacing w:val="-1"/>
          <w:lang w:val="it-IT" w:eastAsia="ar-SA"/>
        </w:rPr>
        <w:t xml:space="preserve">il formarsi di lividi, ematomi (sanguinamento insolito o ecchimosi sottopelle), sangue dal naso, sangue </w:t>
      </w:r>
      <w:r>
        <w:rPr>
          <w:rFonts w:ascii="Times New Roman" w:eastAsia="Times New Roman" w:hAnsi="Times New Roman"/>
          <w:color w:val="000000"/>
          <w:lang w:val="it-IT" w:eastAsia="ar-SA"/>
        </w:rPr>
        <w:t>nelle urine. In pochi casi sono stati anche segnalati sanguinamento nell'occhio, intracranico, nei polmoni e nelle articolazioni.</w:t>
      </w:r>
    </w:p>
    <w:p>
      <w:pPr>
        <w:widowControl w:val="0"/>
        <w:shd w:val="clear" w:color="auto" w:fill="FFFFFF"/>
        <w:suppressAutoHyphens/>
        <w:autoSpaceDE w:val="0"/>
        <w:spacing w:after="0" w:line="240" w:lineRule="auto"/>
        <w:rPr>
          <w:rFonts w:ascii="Times New Roman" w:eastAsia="Times New Roman" w:hAnsi="Times New Roman"/>
          <w:color w:val="000000"/>
          <w:lang w:val="it-IT" w:eastAsia="ar-SA"/>
        </w:rPr>
      </w:pPr>
    </w:p>
    <w:p>
      <w:pPr>
        <w:widowControl w:val="0"/>
        <w:shd w:val="clear" w:color="auto" w:fill="FFFFFF"/>
        <w:suppressAutoHyphens/>
        <w:autoSpaceDE w:val="0"/>
        <w:spacing w:after="0" w:line="240" w:lineRule="auto"/>
        <w:rPr>
          <w:rFonts w:ascii="Times New Roman" w:eastAsia="Times New Roman" w:hAnsi="Times New Roman"/>
          <w:b/>
          <w:color w:val="000000"/>
          <w:lang w:val="it-IT" w:eastAsia="ar-SA"/>
        </w:rPr>
      </w:pPr>
      <w:r>
        <w:rPr>
          <w:rFonts w:ascii="Times New Roman" w:eastAsia="Times New Roman" w:hAnsi="Times New Roman"/>
          <w:b/>
          <w:bCs/>
          <w:color w:val="000000"/>
          <w:lang w:val="it-IT" w:eastAsia="ar-SA"/>
        </w:rPr>
        <w:t xml:space="preserve">Se si presenta un sanguinamento prolungato mentre prende </w:t>
      </w:r>
      <w:r>
        <w:rPr>
          <w:rFonts w:ascii="Times New Roman" w:eastAsia="Times New Roman" w:hAnsi="Times New Roman"/>
          <w:b/>
          <w:color w:val="000000"/>
          <w:lang w:val="it-IT" w:eastAsia="ar-SA"/>
        </w:rPr>
        <w:t>Clopidogrel Krka</w:t>
      </w:r>
    </w:p>
    <w:p>
      <w:pPr>
        <w:widowControl w:val="0"/>
        <w:shd w:val="clear" w:color="auto" w:fill="FFFFFF"/>
        <w:suppressAutoHyphens/>
        <w:autoSpaceDE w:val="0"/>
        <w:spacing w:after="0" w:line="240" w:lineRule="auto"/>
        <w:rPr>
          <w:rFonts w:ascii="Times New Roman" w:eastAsia="Times New Roman" w:hAnsi="Times New Roman"/>
          <w:color w:val="000000"/>
          <w:lang w:val="it-IT" w:eastAsia="ar-SA"/>
        </w:rPr>
      </w:pPr>
      <w:r>
        <w:rPr>
          <w:rFonts w:ascii="Times New Roman" w:eastAsia="Times New Roman" w:hAnsi="Times New Roman"/>
          <w:color w:val="000000"/>
          <w:lang w:val="it-IT" w:eastAsia="ar-SA"/>
        </w:rPr>
        <w:t xml:space="preserve">Nel caso in cui si tagliasse o si facesse male può essere necessario un tempo più lungo del solito perché il sanguinamento si fermi. Questo è dovuto al modo in cui agisce il medicinale poiché </w:t>
      </w:r>
      <w:r>
        <w:rPr>
          <w:rFonts w:ascii="Times New Roman" w:eastAsia="Times New Roman" w:hAnsi="Times New Roman"/>
          <w:color w:val="000000"/>
          <w:spacing w:val="-1"/>
          <w:lang w:val="it-IT" w:eastAsia="ar-SA"/>
        </w:rPr>
        <w:t xml:space="preserve">impedisce la formazione di coaguli sanguigni. Per tagli e ferite minori, come tagliarsi da soli o farsi la barba, questo solitamente non crea problemi. Tuttavia se è preoccupato per il sanguinamento, contatti </w:t>
      </w:r>
      <w:r>
        <w:rPr>
          <w:rFonts w:ascii="Times New Roman" w:eastAsia="Times New Roman" w:hAnsi="Times New Roman"/>
          <w:color w:val="000000"/>
          <w:lang w:val="it-IT" w:eastAsia="ar-SA"/>
        </w:rPr>
        <w:t xml:space="preserve">subito il medico (vedere </w:t>
      </w:r>
      <w:r>
        <w:rPr>
          <w:rFonts w:ascii="Times New Roman" w:eastAsia="Times New Roman" w:hAnsi="Times New Roman"/>
          <w:lang w:val="it-IT" w:eastAsia="ar-SA"/>
        </w:rPr>
        <w:t xml:space="preserve">paragrafo 2 </w:t>
      </w:r>
      <w:r>
        <w:rPr>
          <w:rFonts w:ascii="Times New Roman" w:eastAsia="Times New Roman" w:hAnsi="Times New Roman"/>
          <w:color w:val="000000"/>
          <w:lang w:val="it-IT" w:eastAsia="ar-SA"/>
        </w:rPr>
        <w:t>"</w:t>
      </w:r>
      <w:r>
        <w:rPr>
          <w:rFonts w:ascii="Times New Roman" w:eastAsia="Times New Roman" w:hAnsi="Times New Roman"/>
          <w:bCs/>
          <w:lang w:val="it-IT" w:eastAsia="ar-SA"/>
        </w:rPr>
        <w:t>Avvertenze e precauzioni</w:t>
      </w:r>
      <w:r>
        <w:rPr>
          <w:rFonts w:ascii="Times New Roman" w:eastAsia="Times New Roman" w:hAnsi="Times New Roman"/>
          <w:color w:val="000000"/>
          <w:lang w:val="it-IT" w:eastAsia="ar-SA"/>
        </w:rPr>
        <w:t>").</w:t>
      </w:r>
    </w:p>
    <w:p>
      <w:pPr>
        <w:widowControl w:val="0"/>
        <w:shd w:val="clear" w:color="auto" w:fill="FFFFFF"/>
        <w:suppressAutoHyphens/>
        <w:autoSpaceDE w:val="0"/>
        <w:spacing w:after="0" w:line="240" w:lineRule="auto"/>
        <w:rPr>
          <w:rFonts w:ascii="Times New Roman" w:eastAsia="Times New Roman" w:hAnsi="Times New Roman"/>
          <w:b/>
          <w:bCs/>
          <w:color w:val="000000"/>
          <w:lang w:val="it-IT" w:eastAsia="ar-SA"/>
        </w:rPr>
      </w:pPr>
    </w:p>
    <w:p>
      <w:pPr>
        <w:widowControl w:val="0"/>
        <w:shd w:val="clear" w:color="auto" w:fill="FFFFFF"/>
        <w:suppressAutoHyphens/>
        <w:autoSpaceDE w:val="0"/>
        <w:spacing w:after="0" w:line="240" w:lineRule="auto"/>
        <w:rPr>
          <w:rFonts w:ascii="Times New Roman" w:eastAsia="Times New Roman" w:hAnsi="Times New Roman"/>
          <w:b/>
          <w:bCs/>
          <w:color w:val="000000"/>
          <w:lang w:val="it-IT" w:eastAsia="ar-SA"/>
        </w:rPr>
      </w:pPr>
      <w:r>
        <w:rPr>
          <w:rFonts w:ascii="Times New Roman" w:eastAsia="Times New Roman" w:hAnsi="Times New Roman"/>
          <w:b/>
          <w:bCs/>
          <w:color w:val="000000"/>
          <w:lang w:val="it-IT" w:eastAsia="ar-SA"/>
        </w:rPr>
        <w:t xml:space="preserve">Altri effetti indesiderati </w:t>
      </w:r>
      <w:r>
        <w:rPr>
          <w:rFonts w:ascii="Times New Roman" w:eastAsia="Times New Roman" w:hAnsi="Times New Roman"/>
          <w:b/>
          <w:lang w:val="it-IT" w:eastAsia="ar-SA"/>
        </w:rPr>
        <w:t>comprendono</w:t>
      </w:r>
    </w:p>
    <w:p>
      <w:pPr>
        <w:widowControl w:val="0"/>
        <w:shd w:val="clear" w:color="auto" w:fill="FFFFFF"/>
        <w:suppressAutoHyphens/>
        <w:autoSpaceDE w:val="0"/>
        <w:spacing w:after="0" w:line="240" w:lineRule="auto"/>
        <w:rPr>
          <w:rFonts w:ascii="Times New Roman" w:eastAsia="Times New Roman" w:hAnsi="Times New Roman"/>
          <w:color w:val="000000"/>
          <w:spacing w:val="-1"/>
          <w:lang w:val="it-IT" w:eastAsia="ar-SA"/>
        </w:rPr>
      </w:pPr>
    </w:p>
    <w:p>
      <w:pPr>
        <w:spacing w:after="0" w:line="240" w:lineRule="auto"/>
        <w:rPr>
          <w:rFonts w:ascii="Times New Roman" w:eastAsia="Times New Roman" w:hAnsi="Times New Roman"/>
          <w:lang w:val="it-IT"/>
        </w:rPr>
      </w:pPr>
      <w:r>
        <w:rPr>
          <w:rFonts w:ascii="Times New Roman" w:eastAsia="Times New Roman" w:hAnsi="Times New Roman"/>
          <w:lang w:val="it-IT"/>
        </w:rPr>
        <w:t>Effetti indesiderati comuni (possono interessare fino a 1 paziente su 10):</w:t>
      </w:r>
    </w:p>
    <w:p>
      <w:pPr>
        <w:spacing w:after="0" w:line="240" w:lineRule="auto"/>
        <w:rPr>
          <w:rFonts w:ascii="Times New Roman" w:eastAsia="Times New Roman" w:hAnsi="Times New Roman"/>
          <w:lang w:val="it-IT"/>
        </w:rPr>
      </w:pPr>
      <w:r>
        <w:rPr>
          <w:rFonts w:ascii="Times New Roman" w:eastAsia="Times New Roman" w:hAnsi="Times New Roman"/>
          <w:lang w:val="it-IT"/>
        </w:rPr>
        <w:t>Diarrea, dolore addominale indigestione o bruciori allo stomaco.</w:t>
      </w:r>
    </w:p>
    <w:p>
      <w:pPr>
        <w:spacing w:after="0" w:line="240" w:lineRule="auto"/>
        <w:rPr>
          <w:rFonts w:ascii="Times New Roman" w:eastAsia="Times New Roman" w:hAnsi="Times New Roman"/>
          <w:lang w:val="it-IT"/>
        </w:rPr>
      </w:pPr>
    </w:p>
    <w:p>
      <w:pPr>
        <w:tabs>
          <w:tab w:val="left" w:pos="567"/>
        </w:tabs>
        <w:spacing w:after="0" w:line="240" w:lineRule="auto"/>
        <w:rPr>
          <w:rFonts w:ascii="Times New Roman" w:eastAsia="Times New Roman" w:hAnsi="Times New Roman"/>
          <w:lang w:val="it-IT"/>
        </w:rPr>
      </w:pPr>
      <w:r>
        <w:rPr>
          <w:rFonts w:ascii="Times New Roman" w:eastAsia="Times New Roman" w:hAnsi="Times New Roman"/>
          <w:lang w:val="it-IT"/>
        </w:rPr>
        <w:t>Effetti indesiderati non comuni (possono interessare fino a 1 paziente su 100):</w:t>
      </w:r>
    </w:p>
    <w:p>
      <w:pPr>
        <w:tabs>
          <w:tab w:val="left" w:pos="567"/>
        </w:tabs>
        <w:spacing w:after="0" w:line="240" w:lineRule="auto"/>
        <w:rPr>
          <w:rFonts w:ascii="Times New Roman" w:eastAsia="Times New Roman" w:hAnsi="Times New Roman"/>
          <w:lang w:val="it-IT"/>
        </w:rPr>
      </w:pPr>
      <w:r>
        <w:rPr>
          <w:rFonts w:ascii="Times New Roman" w:eastAsia="Times New Roman" w:hAnsi="Times New Roman"/>
          <w:lang w:val="it-IT"/>
        </w:rPr>
        <w:t>Mal di testa, ulcera gastrica, vomito, nausea, costipazione, gas in eccesso nello stomaco o nell’intestino, rash, prurito, capogiro, sensazioni di formicolio e intorpidimento.</w:t>
      </w:r>
    </w:p>
    <w:p>
      <w:pPr>
        <w:tabs>
          <w:tab w:val="left" w:pos="567"/>
        </w:tabs>
        <w:spacing w:after="0" w:line="240" w:lineRule="auto"/>
        <w:rPr>
          <w:rFonts w:ascii="Times New Roman" w:eastAsia="Times New Roman" w:hAnsi="Times New Roman"/>
          <w:lang w:val="it-IT"/>
        </w:rPr>
      </w:pPr>
    </w:p>
    <w:p>
      <w:pPr>
        <w:spacing w:after="0" w:line="240" w:lineRule="auto"/>
        <w:rPr>
          <w:rFonts w:ascii="Times New Roman" w:eastAsia="Times New Roman" w:hAnsi="Times New Roman"/>
          <w:lang w:val="it-IT"/>
        </w:rPr>
      </w:pPr>
      <w:r>
        <w:rPr>
          <w:rFonts w:ascii="Times New Roman" w:eastAsia="Times New Roman" w:hAnsi="Times New Roman"/>
          <w:lang w:val="it-IT"/>
        </w:rPr>
        <w:t>Effetti indesiderati rari (possono interessare fino a 1 paziente su 1000):</w:t>
      </w:r>
    </w:p>
    <w:p>
      <w:pPr>
        <w:spacing w:after="0" w:line="240" w:lineRule="auto"/>
        <w:rPr>
          <w:rFonts w:ascii="Times New Roman" w:eastAsia="Times New Roman" w:hAnsi="Times New Roman"/>
          <w:lang w:val="it-IT"/>
        </w:rPr>
      </w:pPr>
      <w:r>
        <w:rPr>
          <w:rFonts w:ascii="Times New Roman" w:eastAsia="Times New Roman" w:hAnsi="Times New Roman"/>
          <w:lang w:val="it-IT"/>
        </w:rPr>
        <w:t>Vertigine, aumento di volume delle mammelle nei maschi.</w:t>
      </w:r>
    </w:p>
    <w:p>
      <w:pPr>
        <w:tabs>
          <w:tab w:val="left" w:pos="567"/>
        </w:tabs>
        <w:spacing w:after="0" w:line="240" w:lineRule="auto"/>
        <w:ind w:left="567" w:hanging="567"/>
        <w:rPr>
          <w:rFonts w:ascii="Times New Roman" w:eastAsia="Times New Roman" w:hAnsi="Times New Roman"/>
          <w:lang w:val="it-IT"/>
        </w:rPr>
      </w:pPr>
    </w:p>
    <w:p>
      <w:pPr>
        <w:tabs>
          <w:tab w:val="left" w:pos="0"/>
        </w:tabs>
        <w:spacing w:after="0" w:line="240" w:lineRule="auto"/>
        <w:rPr>
          <w:rFonts w:ascii="Times New Roman" w:eastAsia="Times New Roman" w:hAnsi="Times New Roman"/>
          <w:lang w:val="it-IT"/>
        </w:rPr>
      </w:pPr>
      <w:r>
        <w:rPr>
          <w:rFonts w:ascii="Times New Roman" w:eastAsia="Times New Roman" w:hAnsi="Times New Roman"/>
          <w:lang w:val="it-IT"/>
        </w:rPr>
        <w:t>Effetti indesiderati molto rari (possono interessare fino a 1 paziente su 10.000):</w:t>
      </w:r>
    </w:p>
    <w:p>
      <w:pPr>
        <w:tabs>
          <w:tab w:val="left" w:pos="0"/>
        </w:tabs>
        <w:spacing w:after="0" w:line="240" w:lineRule="auto"/>
        <w:rPr>
          <w:rFonts w:ascii="Times New Roman" w:eastAsia="Times New Roman" w:hAnsi="Times New Roman"/>
          <w:lang w:val="it-IT"/>
        </w:rPr>
      </w:pPr>
      <w:r>
        <w:rPr>
          <w:rFonts w:ascii="Times New Roman" w:eastAsia="Times New Roman" w:hAnsi="Times New Roman"/>
          <w:lang w:val="it-IT"/>
        </w:rPr>
        <w:t>Ittero; dolore addominale grave con o senza dolore alla schiena; febbre, difficoltà di respiro a volte associata a tosse; reazioni allergiche generalizzate (per esempio, sensazione diffusa di calore con improvviso malessere generale fino a svenimento); gonfiore nella bocca; bolle della pelle; allergia della pelle; dolore alla bocca (stomatite); diminuzione della pressione sanguigna; confusione; allucinazioni; dolore alle articolazioni; dolore muscolare; alterazioni o perdita del gusto.</w:t>
      </w:r>
    </w:p>
    <w:p>
      <w:pPr>
        <w:tabs>
          <w:tab w:val="left" w:pos="540"/>
        </w:tabs>
        <w:spacing w:after="0" w:line="240" w:lineRule="auto"/>
        <w:rPr>
          <w:rFonts w:ascii="Times New Roman" w:hAnsi="Times New Roman"/>
          <w:lang w:val="it-IT"/>
        </w:rPr>
      </w:pPr>
    </w:p>
    <w:p>
      <w:pPr>
        <w:tabs>
          <w:tab w:val="left" w:pos="540"/>
        </w:tabs>
        <w:spacing w:after="0" w:line="240" w:lineRule="auto"/>
        <w:rPr>
          <w:rFonts w:ascii="Times New Roman" w:hAnsi="Times New Roman"/>
          <w:lang w:val="it-IT"/>
        </w:rPr>
      </w:pPr>
      <w:r>
        <w:rPr>
          <w:rFonts w:ascii="Times New Roman" w:hAnsi="Times New Roman"/>
          <w:lang w:val="it-IT"/>
        </w:rPr>
        <w:t>Effetti indesiderati con frequenza non nota (la frequenza non può essere definita sulla base dei dati disponibili): reazioni di ipersensibilità con dolore toracico o addominale, sintomi persistenti di ipoglicemia.</w:t>
      </w:r>
    </w:p>
    <w:p>
      <w:pPr>
        <w:tabs>
          <w:tab w:val="left" w:pos="540"/>
        </w:tabs>
        <w:spacing w:after="0" w:line="240" w:lineRule="auto"/>
        <w:rPr>
          <w:rFonts w:ascii="Times New Roman" w:eastAsia="Times New Roman" w:hAnsi="Times New Roman"/>
          <w:lang w:val="it-IT"/>
        </w:rPr>
      </w:pPr>
    </w:p>
    <w:p>
      <w:pPr>
        <w:tabs>
          <w:tab w:val="left" w:pos="540"/>
        </w:tabs>
        <w:spacing w:after="0" w:line="240" w:lineRule="auto"/>
        <w:rPr>
          <w:rFonts w:ascii="Times New Roman" w:eastAsia="Times New Roman" w:hAnsi="Times New Roman"/>
          <w:lang w:val="it-IT"/>
        </w:rPr>
      </w:pPr>
      <w:r>
        <w:rPr>
          <w:rFonts w:ascii="Times New Roman" w:eastAsia="Times New Roman" w:hAnsi="Times New Roman"/>
          <w:lang w:val="it-IT"/>
        </w:rPr>
        <w:t>Inoltre, il medico può aver identificato alterazioni degli esami del sangue e delle urine.</w:t>
      </w:r>
    </w:p>
    <w:p>
      <w:pPr>
        <w:widowControl w:val="0"/>
        <w:shd w:val="clear" w:color="auto" w:fill="FFFFFF"/>
        <w:suppressAutoHyphens/>
        <w:autoSpaceDE w:val="0"/>
        <w:spacing w:after="0" w:line="240" w:lineRule="auto"/>
        <w:rPr>
          <w:rFonts w:ascii="Times New Roman" w:eastAsia="Times New Roman" w:hAnsi="Times New Roman"/>
          <w:b/>
          <w:bCs/>
          <w:color w:val="000000"/>
          <w:spacing w:val="-1"/>
          <w:lang w:val="it-IT" w:eastAsia="ar-SA"/>
        </w:rPr>
      </w:pPr>
    </w:p>
    <w:p>
      <w:pPr>
        <w:widowControl w:val="0"/>
        <w:shd w:val="clear" w:color="auto" w:fill="FFFFFF"/>
        <w:autoSpaceDE w:val="0"/>
        <w:spacing w:after="0" w:line="240" w:lineRule="auto"/>
        <w:ind w:right="-85"/>
        <w:rPr>
          <w:rFonts w:ascii="Times New Roman" w:eastAsia="Times New Roman" w:hAnsi="Times New Roman"/>
          <w:b/>
          <w:spacing w:val="-1"/>
          <w:u w:val="single"/>
          <w:lang w:val="it-IT" w:eastAsia="ar-SA"/>
        </w:rPr>
      </w:pPr>
      <w:r>
        <w:rPr>
          <w:rFonts w:ascii="Times New Roman" w:eastAsia="Times New Roman" w:hAnsi="Times New Roman"/>
          <w:b/>
          <w:spacing w:val="-1"/>
          <w:u w:val="single"/>
          <w:lang w:val="it-IT" w:eastAsia="ar-SA"/>
        </w:rPr>
        <w:t>Segnalazioni di effetti indesiderati</w:t>
      </w:r>
    </w:p>
    <w:p>
      <w:pPr>
        <w:tabs>
          <w:tab w:val="left" w:pos="567"/>
        </w:tabs>
        <w:suppressAutoHyphens/>
        <w:spacing w:after="0" w:line="240" w:lineRule="auto"/>
        <w:rPr>
          <w:rFonts w:ascii="Times New Roman" w:eastAsia="Times New Roman" w:hAnsi="Times New Roman"/>
          <w:lang w:val="it-IT"/>
        </w:rPr>
      </w:pPr>
      <w:r>
        <w:rPr>
          <w:rFonts w:ascii="Times New Roman" w:eastAsia="Times New Roman" w:hAnsi="Times New Roman"/>
          <w:lang w:val="it-IT"/>
        </w:rPr>
        <w:t xml:space="preserve">Se manifesta un qualsiasi effetto indesiderato, compresi quelli non elencati in questo foglio, si rivolga al medico o al farmacista. Lei può inoltre segnalare gli effetti indesiderati direttamente tramite </w:t>
      </w:r>
      <w:r>
        <w:rPr>
          <w:rFonts w:ascii="Times New Roman" w:eastAsia="Times New Roman" w:hAnsi="Times New Roman"/>
          <w:highlight w:val="lightGray"/>
          <w:lang w:val="it-IT"/>
        </w:rPr>
        <w:t>il sistema nazionale di segnalazione riportato nell’</w:t>
      </w:r>
      <w:hyperlink r:id="rId10" w:history="1">
        <w:r>
          <w:rPr>
            <w:rFonts w:ascii="Times New Roman" w:eastAsia="Times New Roman" w:hAnsi="Times New Roman"/>
            <w:color w:val="0000FF"/>
            <w:highlight w:val="lightGray"/>
            <w:u w:val="single"/>
            <w:lang w:val="it-IT"/>
          </w:rPr>
          <w:t>Allegato V</w:t>
        </w:r>
      </w:hyperlink>
      <w:r>
        <w:rPr>
          <w:rFonts w:ascii="Times New Roman" w:eastAsia="Times New Roman" w:hAnsi="Times New Roman"/>
          <w:lang w:val="it-IT"/>
        </w:rPr>
        <w:t xml:space="preserve">. </w:t>
      </w:r>
    </w:p>
    <w:p>
      <w:pPr>
        <w:tabs>
          <w:tab w:val="left" w:pos="567"/>
        </w:tabs>
        <w:suppressAutoHyphens/>
        <w:spacing w:after="0" w:line="240" w:lineRule="auto"/>
        <w:rPr>
          <w:rFonts w:ascii="Times New Roman" w:eastAsia="Times New Roman" w:hAnsi="Times New Roman"/>
          <w:lang w:val="it-IT"/>
        </w:rPr>
      </w:pPr>
      <w:r>
        <w:rPr>
          <w:rFonts w:ascii="Times New Roman" w:eastAsia="Times New Roman" w:hAnsi="Times New Roman"/>
          <w:lang w:val="it-IT"/>
        </w:rPr>
        <w:t>Segnalando gli effetti indesiderati lei può contribuire a fornire maggiori informazioni sulla sicurezza di questo medicinale.</w:t>
      </w:r>
    </w:p>
    <w:p>
      <w:pPr>
        <w:widowControl w:val="0"/>
        <w:shd w:val="clear" w:color="auto" w:fill="FFFFFF"/>
        <w:suppressAutoHyphens/>
        <w:autoSpaceDE w:val="0"/>
        <w:spacing w:after="0" w:line="240" w:lineRule="auto"/>
        <w:rPr>
          <w:rFonts w:ascii="Times New Roman" w:eastAsia="Times New Roman" w:hAnsi="Times New Roman"/>
          <w:b/>
          <w:bCs/>
          <w:color w:val="000000"/>
          <w:spacing w:val="-1"/>
          <w:lang w:val="it-IT" w:eastAsia="ar-SA"/>
        </w:rPr>
      </w:pPr>
    </w:p>
    <w:p>
      <w:pPr>
        <w:widowControl w:val="0"/>
        <w:shd w:val="clear" w:color="auto" w:fill="FFFFFF"/>
        <w:suppressAutoHyphens/>
        <w:autoSpaceDE w:val="0"/>
        <w:spacing w:after="0" w:line="240" w:lineRule="auto"/>
        <w:rPr>
          <w:rFonts w:ascii="Times New Roman" w:eastAsia="Times New Roman" w:hAnsi="Times New Roman"/>
          <w:b/>
          <w:bCs/>
          <w:color w:val="000000"/>
          <w:spacing w:val="-1"/>
          <w:lang w:val="it-IT" w:eastAsia="ar-SA"/>
        </w:rPr>
      </w:pPr>
    </w:p>
    <w:p>
      <w:pPr>
        <w:widowControl w:val="0"/>
        <w:shd w:val="clear" w:color="auto" w:fill="FFFFFF"/>
        <w:suppressAutoHyphens/>
        <w:autoSpaceDE w:val="0"/>
        <w:spacing w:after="0" w:line="240" w:lineRule="auto"/>
        <w:rPr>
          <w:rFonts w:ascii="Times New Roman" w:eastAsia="Times New Roman" w:hAnsi="Times New Roman"/>
          <w:b/>
          <w:bCs/>
          <w:color w:val="000000"/>
          <w:spacing w:val="-1"/>
          <w:lang w:val="it-IT" w:eastAsia="ar-SA"/>
        </w:rPr>
      </w:pPr>
      <w:r>
        <w:rPr>
          <w:rFonts w:ascii="Times New Roman" w:eastAsia="Times New Roman" w:hAnsi="Times New Roman"/>
          <w:b/>
          <w:bCs/>
          <w:color w:val="000000"/>
          <w:spacing w:val="-1"/>
          <w:lang w:val="it-IT" w:eastAsia="ar-SA"/>
        </w:rPr>
        <w:t>5.</w:t>
      </w:r>
      <w:r>
        <w:rPr>
          <w:rFonts w:ascii="Times New Roman" w:eastAsia="Times New Roman" w:hAnsi="Times New Roman"/>
          <w:b/>
          <w:bCs/>
          <w:color w:val="000000"/>
          <w:spacing w:val="-1"/>
          <w:lang w:val="it-IT" w:eastAsia="ar-SA"/>
        </w:rPr>
        <w:tab/>
        <w:t>Come conservare Clopidogrel Krka</w:t>
      </w:r>
    </w:p>
    <w:p>
      <w:pPr>
        <w:widowControl w:val="0"/>
        <w:shd w:val="clear" w:color="auto" w:fill="FFFFFF"/>
        <w:suppressAutoHyphens/>
        <w:autoSpaceDE w:val="0"/>
        <w:spacing w:after="0" w:line="240" w:lineRule="auto"/>
        <w:rPr>
          <w:rFonts w:ascii="Times New Roman" w:eastAsia="Times New Roman" w:hAnsi="Times New Roman"/>
          <w:color w:val="000000"/>
          <w:lang w:val="it-IT" w:eastAsia="ar-SA"/>
        </w:rPr>
      </w:pPr>
    </w:p>
    <w:p>
      <w:pPr>
        <w:widowControl w:val="0"/>
        <w:shd w:val="clear" w:color="auto" w:fill="FFFFFF"/>
        <w:suppressAutoHyphens/>
        <w:autoSpaceDE w:val="0"/>
        <w:spacing w:after="0" w:line="240" w:lineRule="auto"/>
        <w:rPr>
          <w:rFonts w:ascii="Times New Roman" w:eastAsia="Times New Roman" w:hAnsi="Times New Roman"/>
          <w:color w:val="000000"/>
          <w:lang w:val="it-IT" w:eastAsia="ar-SA"/>
        </w:rPr>
      </w:pPr>
      <w:r>
        <w:rPr>
          <w:rFonts w:ascii="Times New Roman" w:eastAsia="Times New Roman" w:hAnsi="Times New Roman"/>
          <w:color w:val="000000"/>
          <w:lang w:val="it-IT" w:eastAsia="ar-SA"/>
        </w:rPr>
        <w:t>Conservi questo medicinale fuori dalla vista e dalla portata dei bambini.</w:t>
      </w:r>
    </w:p>
    <w:p>
      <w:pPr>
        <w:widowControl w:val="0"/>
        <w:shd w:val="clear" w:color="auto" w:fill="FFFFFF"/>
        <w:suppressAutoHyphens/>
        <w:autoSpaceDE w:val="0"/>
        <w:spacing w:after="0" w:line="240" w:lineRule="auto"/>
        <w:rPr>
          <w:rFonts w:ascii="Times New Roman" w:eastAsia="Times New Roman" w:hAnsi="Times New Roman"/>
          <w:color w:val="000000"/>
          <w:lang w:val="it-IT" w:eastAsia="ar-SA"/>
        </w:rPr>
      </w:pPr>
    </w:p>
    <w:p>
      <w:pPr>
        <w:widowControl w:val="0"/>
        <w:shd w:val="clear" w:color="auto" w:fill="FFFFFF"/>
        <w:suppressAutoHyphens/>
        <w:autoSpaceDE w:val="0"/>
        <w:spacing w:after="0" w:line="240" w:lineRule="auto"/>
        <w:rPr>
          <w:rFonts w:ascii="Times New Roman" w:eastAsia="Times New Roman" w:hAnsi="Times New Roman"/>
          <w:color w:val="000000"/>
          <w:spacing w:val="-1"/>
          <w:lang w:val="it-IT" w:eastAsia="ar-SA"/>
        </w:rPr>
      </w:pPr>
      <w:r>
        <w:rPr>
          <w:rFonts w:ascii="Times New Roman" w:eastAsia="Times New Roman" w:hAnsi="Times New Roman"/>
          <w:color w:val="000000"/>
          <w:spacing w:val="-1"/>
          <w:lang w:val="it-IT" w:eastAsia="ar-SA"/>
        </w:rPr>
        <w:t>Non usi questo medicinale dopo la data di scadenza che è riportata sulla scatola e sul blister dopo EXP. La data di scadenza si riferisce all’ultimo giorno di quel mese.</w:t>
      </w:r>
    </w:p>
    <w:p>
      <w:pPr>
        <w:widowControl w:val="0"/>
        <w:shd w:val="clear" w:color="auto" w:fill="FFFFFF"/>
        <w:suppressAutoHyphens/>
        <w:autoSpaceDE w:val="0"/>
        <w:spacing w:after="0" w:line="240" w:lineRule="auto"/>
        <w:rPr>
          <w:rFonts w:ascii="Times New Roman" w:eastAsia="Times New Roman" w:hAnsi="Times New Roman"/>
          <w:color w:val="000000"/>
          <w:lang w:val="it-IT" w:eastAsia="ar-SA"/>
        </w:rPr>
      </w:pPr>
      <w:r>
        <w:rPr>
          <w:rFonts w:ascii="Times New Roman" w:eastAsia="Times New Roman" w:hAnsi="Times New Roman"/>
          <w:color w:val="000000"/>
          <w:lang w:val="it-IT" w:eastAsia="ar-SA"/>
        </w:rPr>
        <w:t>Conservi il medicinale nella confezione originale per proteggerlo dall’umidità e dalla luce.</w:t>
      </w:r>
    </w:p>
    <w:p>
      <w:pPr>
        <w:widowControl w:val="0"/>
        <w:shd w:val="clear" w:color="auto" w:fill="FFFFFF"/>
        <w:suppressAutoHyphens/>
        <w:autoSpaceDE w:val="0"/>
        <w:spacing w:after="0" w:line="240" w:lineRule="auto"/>
        <w:rPr>
          <w:rFonts w:ascii="Times New Roman" w:eastAsia="Times New Roman" w:hAnsi="Times New Roman"/>
          <w:b/>
          <w:bCs/>
          <w:color w:val="000000"/>
          <w:spacing w:val="-16"/>
          <w:lang w:val="it-IT" w:eastAsia="ar-SA"/>
        </w:rPr>
      </w:pPr>
    </w:p>
    <w:p>
      <w:pPr>
        <w:widowControl w:val="0"/>
        <w:shd w:val="clear" w:color="auto" w:fill="FFFFFF"/>
        <w:suppressAutoHyphens/>
        <w:autoSpaceDE w:val="0"/>
        <w:spacing w:after="0" w:line="240" w:lineRule="auto"/>
        <w:rPr>
          <w:rFonts w:ascii="Times New Roman" w:eastAsia="Times New Roman" w:hAnsi="Times New Roman"/>
          <w:color w:val="000000"/>
          <w:spacing w:val="-1"/>
          <w:lang w:val="it-IT" w:eastAsia="ar-SA"/>
        </w:rPr>
      </w:pPr>
      <w:r>
        <w:rPr>
          <w:rFonts w:ascii="Times New Roman" w:eastAsia="Times New Roman" w:hAnsi="Times New Roman"/>
          <w:lang w:val="it-IT" w:eastAsia="ar-SA"/>
        </w:rPr>
        <w:t xml:space="preserve">Non getti alcun medicinale </w:t>
      </w:r>
      <w:r>
        <w:rPr>
          <w:rFonts w:ascii="Times New Roman" w:eastAsia="Times New Roman" w:hAnsi="Times New Roman"/>
          <w:color w:val="000000"/>
          <w:lang w:val="it-IT" w:eastAsia="ar-SA"/>
        </w:rPr>
        <w:t xml:space="preserve">nell'acqua di scarico e nei rifiuti domestici. Chieda al </w:t>
      </w:r>
      <w:r>
        <w:rPr>
          <w:rFonts w:ascii="Times New Roman" w:eastAsia="Times New Roman" w:hAnsi="Times New Roman"/>
          <w:color w:val="000000"/>
          <w:spacing w:val="-1"/>
          <w:lang w:val="it-IT" w:eastAsia="ar-SA"/>
        </w:rPr>
        <w:t>farmacista come eliminare i medicinali che non utilizza più. Questo aiuterà a proteggere l'ambiente.</w:t>
      </w:r>
    </w:p>
    <w:p>
      <w:pPr>
        <w:widowControl w:val="0"/>
        <w:shd w:val="clear" w:color="auto" w:fill="FFFFFF"/>
        <w:suppressAutoHyphens/>
        <w:autoSpaceDE w:val="0"/>
        <w:spacing w:after="0" w:line="240" w:lineRule="auto"/>
        <w:rPr>
          <w:rFonts w:ascii="Times New Roman" w:eastAsia="Times New Roman" w:hAnsi="Times New Roman"/>
          <w:b/>
          <w:bCs/>
          <w:color w:val="000000"/>
          <w:spacing w:val="-1"/>
          <w:lang w:val="it-IT" w:eastAsia="ar-SA"/>
        </w:rPr>
      </w:pPr>
    </w:p>
    <w:p>
      <w:pPr>
        <w:widowControl w:val="0"/>
        <w:shd w:val="clear" w:color="auto" w:fill="FFFFFF"/>
        <w:suppressAutoHyphens/>
        <w:autoSpaceDE w:val="0"/>
        <w:spacing w:after="0" w:line="240" w:lineRule="auto"/>
        <w:rPr>
          <w:rFonts w:ascii="Times New Roman" w:eastAsia="Times New Roman" w:hAnsi="Times New Roman"/>
          <w:b/>
          <w:bCs/>
          <w:color w:val="000000"/>
          <w:spacing w:val="-1"/>
          <w:lang w:val="it-IT" w:eastAsia="ar-SA"/>
        </w:rPr>
      </w:pPr>
    </w:p>
    <w:p>
      <w:pPr>
        <w:widowControl w:val="0"/>
        <w:shd w:val="clear" w:color="auto" w:fill="FFFFFF"/>
        <w:suppressAutoHyphens/>
        <w:autoSpaceDE w:val="0"/>
        <w:spacing w:after="0" w:line="240" w:lineRule="auto"/>
        <w:rPr>
          <w:rFonts w:ascii="Times New Roman" w:eastAsia="Times New Roman" w:hAnsi="Times New Roman"/>
          <w:b/>
          <w:bCs/>
          <w:color w:val="000000"/>
          <w:spacing w:val="-1"/>
          <w:lang w:val="it-IT" w:eastAsia="ar-SA"/>
        </w:rPr>
      </w:pPr>
      <w:r>
        <w:rPr>
          <w:rFonts w:ascii="Times New Roman" w:eastAsia="Times New Roman" w:hAnsi="Times New Roman"/>
          <w:b/>
          <w:bCs/>
          <w:color w:val="000000"/>
          <w:spacing w:val="-1"/>
          <w:lang w:val="it-IT" w:eastAsia="ar-SA"/>
        </w:rPr>
        <w:t xml:space="preserve">6. </w:t>
      </w:r>
      <w:r>
        <w:rPr>
          <w:rFonts w:ascii="Times New Roman" w:eastAsia="Times New Roman" w:hAnsi="Times New Roman"/>
          <w:b/>
          <w:bCs/>
          <w:color w:val="000000"/>
          <w:spacing w:val="-1"/>
          <w:lang w:val="it-IT" w:eastAsia="ar-SA"/>
        </w:rPr>
        <w:tab/>
        <w:t>Contenuto della confezione e altre informazioni</w:t>
      </w:r>
    </w:p>
    <w:p>
      <w:pPr>
        <w:widowControl w:val="0"/>
        <w:shd w:val="clear" w:color="auto" w:fill="FFFFFF"/>
        <w:suppressAutoHyphens/>
        <w:autoSpaceDE w:val="0"/>
        <w:spacing w:after="0" w:line="240" w:lineRule="auto"/>
        <w:rPr>
          <w:rFonts w:ascii="Times New Roman" w:eastAsia="Times New Roman" w:hAnsi="Times New Roman"/>
          <w:b/>
          <w:bCs/>
          <w:color w:val="000000"/>
          <w:lang w:val="it-IT" w:eastAsia="ar-SA"/>
        </w:rPr>
      </w:pPr>
    </w:p>
    <w:p>
      <w:pPr>
        <w:widowControl w:val="0"/>
        <w:shd w:val="clear" w:color="auto" w:fill="FFFFFF"/>
        <w:suppressAutoHyphens/>
        <w:autoSpaceDE w:val="0"/>
        <w:spacing w:after="0" w:line="240" w:lineRule="auto"/>
        <w:rPr>
          <w:rFonts w:ascii="Times New Roman" w:eastAsia="Times New Roman" w:hAnsi="Times New Roman"/>
          <w:b/>
          <w:color w:val="000000"/>
          <w:lang w:val="it-IT" w:eastAsia="ar-SA"/>
        </w:rPr>
      </w:pPr>
      <w:r>
        <w:rPr>
          <w:rFonts w:ascii="Times New Roman" w:eastAsia="Times New Roman" w:hAnsi="Times New Roman"/>
          <w:b/>
          <w:bCs/>
          <w:color w:val="000000"/>
          <w:lang w:val="it-IT" w:eastAsia="ar-SA"/>
        </w:rPr>
        <w:t xml:space="preserve">Cosa contiene </w:t>
      </w:r>
      <w:r>
        <w:rPr>
          <w:rFonts w:ascii="Times New Roman" w:eastAsia="Times New Roman" w:hAnsi="Times New Roman"/>
          <w:b/>
          <w:color w:val="000000"/>
          <w:lang w:val="it-IT" w:eastAsia="ar-SA"/>
        </w:rPr>
        <w:t>Clopidogrel Krka</w:t>
      </w:r>
    </w:p>
    <w:p>
      <w:pPr>
        <w:widowControl w:val="0"/>
        <w:numPr>
          <w:ilvl w:val="0"/>
          <w:numId w:val="3"/>
        </w:numPr>
        <w:shd w:val="clear" w:color="auto" w:fill="FFFFFF"/>
        <w:tabs>
          <w:tab w:val="left" w:pos="567"/>
        </w:tabs>
        <w:suppressAutoHyphens/>
        <w:autoSpaceDE w:val="0"/>
        <w:spacing w:after="0" w:line="240" w:lineRule="auto"/>
        <w:ind w:left="567" w:hanging="567"/>
        <w:rPr>
          <w:rFonts w:ascii="Times New Roman" w:eastAsia="Times New Roman" w:hAnsi="Times New Roman"/>
          <w:color w:val="000000"/>
          <w:spacing w:val="-1"/>
          <w:lang w:val="it-IT" w:eastAsia="ar-SA"/>
        </w:rPr>
      </w:pPr>
      <w:r>
        <w:rPr>
          <w:rFonts w:ascii="Times New Roman" w:eastAsia="Times New Roman" w:hAnsi="Times New Roman"/>
          <w:color w:val="000000"/>
          <w:spacing w:val="-1"/>
          <w:lang w:val="it-IT" w:eastAsia="ar-SA"/>
        </w:rPr>
        <w:t>Il principio attivo è clopidogrel. Ogni compressa rivestita con film contiene 75 mg di clopidogrel (come cloridrato).</w:t>
      </w:r>
    </w:p>
    <w:p>
      <w:pPr>
        <w:widowControl w:val="0"/>
        <w:numPr>
          <w:ilvl w:val="0"/>
          <w:numId w:val="3"/>
        </w:numPr>
        <w:shd w:val="clear" w:color="auto" w:fill="FFFFFF"/>
        <w:tabs>
          <w:tab w:val="left" w:pos="567"/>
        </w:tabs>
        <w:suppressAutoHyphens/>
        <w:autoSpaceDE w:val="0"/>
        <w:spacing w:after="0" w:line="240" w:lineRule="auto"/>
        <w:ind w:left="567" w:hanging="567"/>
        <w:rPr>
          <w:rFonts w:ascii="Times New Roman" w:eastAsia="Times New Roman" w:hAnsi="Times New Roman"/>
          <w:lang w:val="it-IT" w:eastAsia="ar-SA"/>
        </w:rPr>
      </w:pPr>
      <w:r>
        <w:rPr>
          <w:rFonts w:ascii="Times New Roman" w:eastAsia="Times New Roman" w:hAnsi="Times New Roman"/>
          <w:color w:val="000000"/>
          <w:spacing w:val="-1"/>
          <w:lang w:val="it-IT" w:eastAsia="ar-SA"/>
        </w:rPr>
        <w:t xml:space="preserve">Gli eccipienti nel nucleo della compressa sono: cellulosa microcristallina, silice colloidale anidra, crospovidone (tipo A), macrogol </w:t>
      </w:r>
      <w:r>
        <w:rPr>
          <w:rFonts w:ascii="Times New Roman" w:eastAsia="Times New Roman" w:hAnsi="Times New Roman"/>
          <w:color w:val="000000"/>
          <w:lang w:val="it-IT" w:eastAsia="ar-SA"/>
        </w:rPr>
        <w:t xml:space="preserve">6000, </w:t>
      </w:r>
      <w:r>
        <w:rPr>
          <w:rFonts w:ascii="Times New Roman" w:eastAsia="Times New Roman" w:hAnsi="Times New Roman"/>
          <w:color w:val="000000"/>
          <w:spacing w:val="-1"/>
          <w:lang w:val="it-IT" w:eastAsia="ar-SA"/>
        </w:rPr>
        <w:t>olio di ricino idrogenato</w:t>
      </w:r>
      <w:r>
        <w:rPr>
          <w:rFonts w:ascii="Times New Roman" w:eastAsia="Times New Roman" w:hAnsi="Times New Roman"/>
          <w:color w:val="000000"/>
          <w:lang w:val="it-IT" w:eastAsia="ar-SA"/>
        </w:rPr>
        <w:t xml:space="preserve"> e nel rivestimento della compressa: </w:t>
      </w:r>
      <w:r>
        <w:rPr>
          <w:rFonts w:ascii="Times New Roman" w:eastAsia="Times New Roman" w:hAnsi="Times New Roman"/>
          <w:lang w:val="it-IT" w:eastAsia="ar-SA"/>
        </w:rPr>
        <w:t>alcool polivinilico</w:t>
      </w:r>
      <w:r>
        <w:rPr>
          <w:rFonts w:ascii="Times New Roman" w:eastAsia="Times New Roman" w:hAnsi="Times New Roman"/>
          <w:color w:val="000000"/>
          <w:lang w:val="it-IT" w:eastAsia="ar-SA"/>
        </w:rPr>
        <w:t xml:space="preserve">, titanio diossido (E171), ossido di ferro rosso (E172), </w:t>
      </w:r>
      <w:r>
        <w:rPr>
          <w:rFonts w:ascii="Times New Roman" w:eastAsia="Times New Roman" w:hAnsi="Times New Roman"/>
          <w:spacing w:val="-2"/>
          <w:lang w:val="it-IT" w:eastAsia="ar-SA"/>
        </w:rPr>
        <w:t xml:space="preserve">ossido di ferro giallo (E 172), </w:t>
      </w:r>
      <w:r>
        <w:rPr>
          <w:rFonts w:ascii="Times New Roman" w:eastAsia="Times New Roman" w:hAnsi="Times New Roman"/>
          <w:color w:val="000000"/>
          <w:lang w:val="it-IT" w:eastAsia="ar-SA"/>
        </w:rPr>
        <w:t>talco e</w:t>
      </w:r>
      <w:r>
        <w:rPr>
          <w:rFonts w:ascii="Times New Roman" w:eastAsia="Times New Roman" w:hAnsi="Times New Roman"/>
          <w:color w:val="000000"/>
          <w:spacing w:val="-1"/>
          <w:lang w:val="it-IT" w:eastAsia="ar-SA"/>
        </w:rPr>
        <w:t xml:space="preserve"> macrogol </w:t>
      </w:r>
      <w:r>
        <w:rPr>
          <w:rFonts w:ascii="Times New Roman" w:eastAsia="Times New Roman" w:hAnsi="Times New Roman"/>
          <w:color w:val="000000"/>
          <w:lang w:val="it-IT" w:eastAsia="ar-SA"/>
        </w:rPr>
        <w:t>3000.</w:t>
      </w:r>
    </w:p>
    <w:p>
      <w:pPr>
        <w:widowControl w:val="0"/>
        <w:shd w:val="clear" w:color="auto" w:fill="FFFFFF"/>
        <w:suppressAutoHyphens/>
        <w:autoSpaceDE w:val="0"/>
        <w:spacing w:after="0" w:line="240" w:lineRule="auto"/>
        <w:rPr>
          <w:rFonts w:ascii="Times New Roman" w:eastAsia="Times New Roman" w:hAnsi="Times New Roman"/>
          <w:b/>
          <w:bCs/>
          <w:color w:val="000000"/>
          <w:lang w:val="it-IT" w:eastAsia="ar-SA"/>
        </w:rPr>
      </w:pPr>
    </w:p>
    <w:p>
      <w:pPr>
        <w:widowControl w:val="0"/>
        <w:shd w:val="clear" w:color="auto" w:fill="FFFFFF"/>
        <w:suppressAutoHyphens/>
        <w:autoSpaceDE w:val="0"/>
        <w:spacing w:after="0" w:line="240" w:lineRule="auto"/>
        <w:rPr>
          <w:rFonts w:ascii="Times New Roman" w:eastAsia="Times New Roman" w:hAnsi="Times New Roman"/>
          <w:b/>
          <w:bCs/>
          <w:color w:val="000000"/>
          <w:lang w:val="it-IT" w:eastAsia="ar-SA"/>
        </w:rPr>
      </w:pPr>
      <w:r>
        <w:rPr>
          <w:rFonts w:ascii="Times New Roman" w:eastAsia="Times New Roman" w:hAnsi="Times New Roman"/>
          <w:b/>
          <w:bCs/>
          <w:color w:val="000000"/>
          <w:lang w:val="it-IT" w:eastAsia="ar-SA"/>
        </w:rPr>
        <w:t xml:space="preserve">Descrizione dell'aspetto di </w:t>
      </w:r>
      <w:r>
        <w:rPr>
          <w:rFonts w:ascii="Times New Roman" w:eastAsia="Times New Roman" w:hAnsi="Times New Roman"/>
          <w:b/>
          <w:color w:val="000000"/>
          <w:lang w:val="it-IT" w:eastAsia="ar-SA"/>
        </w:rPr>
        <w:t>Clopidogrel Krka</w:t>
      </w:r>
      <w:r>
        <w:rPr>
          <w:rFonts w:ascii="Times New Roman" w:eastAsia="Times New Roman" w:hAnsi="Times New Roman"/>
          <w:b/>
          <w:bCs/>
          <w:color w:val="000000"/>
          <w:lang w:val="it-IT" w:eastAsia="ar-SA"/>
        </w:rPr>
        <w:t xml:space="preserve"> e contenuto della confezione</w:t>
      </w:r>
    </w:p>
    <w:p>
      <w:pPr>
        <w:widowControl w:val="0"/>
        <w:shd w:val="clear" w:color="auto" w:fill="FFFFFF"/>
        <w:suppressAutoHyphens/>
        <w:autoSpaceDE w:val="0"/>
        <w:spacing w:after="0" w:line="240" w:lineRule="auto"/>
        <w:rPr>
          <w:rFonts w:ascii="Times New Roman" w:eastAsia="Times New Roman" w:hAnsi="Times New Roman"/>
          <w:color w:val="000000"/>
          <w:spacing w:val="-1"/>
          <w:lang w:val="it-IT" w:eastAsia="ar-SA"/>
        </w:rPr>
      </w:pPr>
      <w:r>
        <w:rPr>
          <w:rFonts w:ascii="Times New Roman" w:eastAsia="Times New Roman" w:hAnsi="Times New Roman"/>
          <w:color w:val="000000"/>
          <w:spacing w:val="-1"/>
          <w:lang w:val="it-IT" w:eastAsia="ar-SA"/>
        </w:rPr>
        <w:t>Le compresse rivestite con film sono rosa, rotonde e leggermente convesse.</w:t>
      </w:r>
    </w:p>
    <w:p>
      <w:pPr>
        <w:widowControl w:val="0"/>
        <w:shd w:val="clear" w:color="auto" w:fill="FFFFFF"/>
        <w:suppressAutoHyphens/>
        <w:autoSpaceDE w:val="0"/>
        <w:spacing w:after="0" w:line="240" w:lineRule="auto"/>
        <w:rPr>
          <w:rFonts w:ascii="Times New Roman" w:eastAsia="Times New Roman" w:hAnsi="Times New Roman"/>
          <w:color w:val="000000"/>
          <w:spacing w:val="1"/>
          <w:lang w:val="it-IT" w:eastAsia="ar-SA"/>
        </w:rPr>
      </w:pPr>
      <w:r>
        <w:rPr>
          <w:rFonts w:ascii="Times New Roman" w:eastAsia="Times New Roman" w:hAnsi="Times New Roman"/>
          <w:color w:val="000000"/>
          <w:spacing w:val="1"/>
          <w:lang w:val="it-IT" w:eastAsia="ar-SA"/>
        </w:rPr>
        <w:t xml:space="preserve">Vengono fornite in confezioni contenenti blister con 7, 14, 28, 30, 50, 56, 60, 84, </w:t>
      </w:r>
      <w:r>
        <w:rPr>
          <w:rFonts w:ascii="Times New Roman" w:eastAsia="Times New Roman" w:hAnsi="Times New Roman"/>
          <w:color w:val="000000"/>
          <w:lang w:val="it-IT" w:eastAsia="ar-SA"/>
        </w:rPr>
        <w:t xml:space="preserve">90, 100, 112 e 120 </w:t>
      </w:r>
      <w:r>
        <w:rPr>
          <w:rFonts w:ascii="Times New Roman" w:eastAsia="Times New Roman" w:hAnsi="Times New Roman"/>
          <w:color w:val="000000"/>
          <w:spacing w:val="1"/>
          <w:lang w:val="it-IT" w:eastAsia="ar-SA"/>
        </w:rPr>
        <w:t>compresse rivestite con film.</w:t>
      </w:r>
    </w:p>
    <w:p>
      <w:pPr>
        <w:widowControl w:val="0"/>
        <w:shd w:val="clear" w:color="auto" w:fill="FFFFFF"/>
        <w:suppressAutoHyphens/>
        <w:autoSpaceDE w:val="0"/>
        <w:spacing w:after="0" w:line="240" w:lineRule="auto"/>
        <w:rPr>
          <w:rFonts w:ascii="Times New Roman" w:eastAsia="Times New Roman" w:hAnsi="Times New Roman"/>
          <w:color w:val="000000"/>
          <w:spacing w:val="1"/>
          <w:lang w:val="it-IT" w:eastAsia="ar-SA"/>
        </w:rPr>
      </w:pPr>
    </w:p>
    <w:p>
      <w:pPr>
        <w:widowControl w:val="0"/>
        <w:shd w:val="clear" w:color="auto" w:fill="FFFFFF"/>
        <w:suppressAutoHyphens/>
        <w:autoSpaceDE w:val="0"/>
        <w:spacing w:after="0" w:line="240" w:lineRule="auto"/>
        <w:rPr>
          <w:rFonts w:ascii="Times New Roman" w:eastAsia="Times New Roman" w:hAnsi="Times New Roman"/>
          <w:color w:val="000000"/>
          <w:lang w:val="it-IT" w:eastAsia="ar-SA"/>
        </w:rPr>
      </w:pPr>
      <w:r>
        <w:rPr>
          <w:rFonts w:ascii="Times New Roman" w:eastAsia="Times New Roman" w:hAnsi="Times New Roman"/>
          <w:color w:val="000000"/>
          <w:lang w:val="it-IT" w:eastAsia="ar-SA"/>
        </w:rPr>
        <w:t>È possibile che non tutte le confezioni siano commercializzate.</w:t>
      </w:r>
    </w:p>
    <w:p>
      <w:pPr>
        <w:widowControl w:val="0"/>
        <w:shd w:val="clear" w:color="auto" w:fill="FFFFFF"/>
        <w:suppressAutoHyphens/>
        <w:autoSpaceDE w:val="0"/>
        <w:spacing w:after="0" w:line="240" w:lineRule="auto"/>
        <w:rPr>
          <w:rFonts w:ascii="Times New Roman" w:eastAsia="Times New Roman" w:hAnsi="Times New Roman"/>
          <w:b/>
          <w:bCs/>
          <w:color w:val="000000"/>
          <w:lang w:val="it-IT" w:eastAsia="ar-SA"/>
        </w:rPr>
      </w:pPr>
    </w:p>
    <w:p>
      <w:pPr>
        <w:widowControl w:val="0"/>
        <w:shd w:val="clear" w:color="auto" w:fill="FFFFFF"/>
        <w:suppressAutoHyphens/>
        <w:autoSpaceDE w:val="0"/>
        <w:spacing w:after="0" w:line="240" w:lineRule="auto"/>
        <w:rPr>
          <w:rFonts w:ascii="Times New Roman" w:eastAsia="Times New Roman" w:hAnsi="Times New Roman"/>
          <w:b/>
          <w:bCs/>
          <w:color w:val="000000"/>
          <w:lang w:val="it-IT" w:eastAsia="ar-SA"/>
        </w:rPr>
      </w:pPr>
      <w:r>
        <w:rPr>
          <w:rFonts w:ascii="Times New Roman" w:eastAsia="Times New Roman" w:hAnsi="Times New Roman"/>
          <w:b/>
          <w:bCs/>
          <w:color w:val="000000"/>
          <w:lang w:val="it-IT" w:eastAsia="ar-SA"/>
        </w:rPr>
        <w:t>Titolare dell'autorizzazione all'immissione in commercio:</w:t>
      </w:r>
    </w:p>
    <w:p>
      <w:pPr>
        <w:widowControl w:val="0"/>
        <w:suppressAutoHyphens/>
        <w:autoSpaceDE w:val="0"/>
        <w:spacing w:after="0" w:line="240" w:lineRule="auto"/>
        <w:rPr>
          <w:rFonts w:ascii="Times New Roman" w:eastAsia="Times New Roman" w:hAnsi="Times New Roman"/>
          <w:lang w:val="it-IT" w:eastAsia="ar-SA"/>
        </w:rPr>
      </w:pPr>
      <w:r>
        <w:rPr>
          <w:rFonts w:ascii="Times New Roman" w:eastAsia="Times New Roman" w:hAnsi="Times New Roman"/>
          <w:lang w:val="it-IT" w:eastAsia="ar-SA"/>
        </w:rPr>
        <w:t>KRKA, d.d., Novo mesto, Šmarješka cesta 6, 8501 Novo mesto, Slovenia</w:t>
      </w:r>
    </w:p>
    <w:p>
      <w:pPr>
        <w:widowControl w:val="0"/>
        <w:suppressAutoHyphens/>
        <w:autoSpaceDE w:val="0"/>
        <w:spacing w:after="0" w:line="240" w:lineRule="auto"/>
        <w:rPr>
          <w:rFonts w:ascii="Times New Roman" w:eastAsia="Times New Roman" w:hAnsi="Times New Roman"/>
          <w:b/>
          <w:bCs/>
          <w:shd w:val="clear" w:color="auto" w:fill="FFFF00"/>
          <w:lang w:val="it-IT" w:eastAsia="ar-SA"/>
        </w:rPr>
      </w:pPr>
    </w:p>
    <w:p>
      <w:pPr>
        <w:widowControl w:val="0"/>
        <w:suppressAutoHyphens/>
        <w:autoSpaceDE w:val="0"/>
        <w:spacing w:after="0" w:line="240" w:lineRule="auto"/>
        <w:rPr>
          <w:rFonts w:ascii="Times New Roman" w:eastAsia="Times New Roman" w:hAnsi="Times New Roman"/>
          <w:b/>
          <w:bCs/>
          <w:shd w:val="clear" w:color="auto" w:fill="FFFF00"/>
          <w:lang w:val="it-IT" w:eastAsia="ar-SA"/>
        </w:rPr>
      </w:pPr>
      <w:r>
        <w:rPr>
          <w:rFonts w:ascii="Times New Roman" w:eastAsia="Times New Roman" w:hAnsi="Times New Roman"/>
          <w:b/>
          <w:bCs/>
          <w:lang w:val="it-IT" w:eastAsia="ar-SA"/>
        </w:rPr>
        <w:t>Produttore:</w:t>
      </w:r>
    </w:p>
    <w:p>
      <w:pPr>
        <w:widowControl w:val="0"/>
        <w:suppressAutoHyphens/>
        <w:autoSpaceDE w:val="0"/>
        <w:spacing w:after="0" w:line="240" w:lineRule="auto"/>
        <w:rPr>
          <w:rFonts w:ascii="Times New Roman" w:eastAsia="Times New Roman" w:hAnsi="Times New Roman"/>
          <w:lang w:val="it-IT" w:eastAsia="ar-SA"/>
        </w:rPr>
      </w:pPr>
      <w:r>
        <w:rPr>
          <w:rFonts w:ascii="Times New Roman" w:eastAsia="Times New Roman" w:hAnsi="Times New Roman"/>
          <w:lang w:val="it-IT" w:eastAsia="ar-SA"/>
        </w:rPr>
        <w:t>KRKA, d.d., Novo mesto, Šmarješka cesta 6, 8501 Novo mesto, Slovenia</w:t>
      </w:r>
    </w:p>
    <w:p>
      <w:pPr>
        <w:widowControl w:val="0"/>
        <w:suppressAutoHyphens/>
        <w:autoSpaceDE w:val="0"/>
        <w:spacing w:after="0" w:line="240" w:lineRule="auto"/>
        <w:rPr>
          <w:rFonts w:ascii="Times New Roman" w:eastAsia="Times New Roman" w:hAnsi="Times New Roman"/>
          <w:shd w:val="clear" w:color="auto" w:fill="C0C0C0"/>
          <w:lang w:val="it-IT" w:eastAsia="ar-SA"/>
        </w:rPr>
      </w:pPr>
      <w:r>
        <w:rPr>
          <w:rFonts w:ascii="Times New Roman" w:eastAsia="Times New Roman" w:hAnsi="Times New Roman"/>
          <w:shd w:val="clear" w:color="auto" w:fill="C0C0C0"/>
          <w:lang w:val="it-IT" w:eastAsia="ar-SA"/>
        </w:rPr>
        <w:t xml:space="preserve">TAD Pharma GmbH, Heinz-Lohmann-Straße 5, 27472 Cuxhaven, </w:t>
      </w:r>
      <w:r>
        <w:rPr>
          <w:rFonts w:ascii="Times New Roman" w:eastAsia="Times New Roman" w:hAnsi="Times New Roman"/>
          <w:highlight w:val="lightGray"/>
          <w:lang w:val="it-IT" w:eastAsia="ar-SA"/>
        </w:rPr>
        <w:t>Germania</w:t>
      </w:r>
    </w:p>
    <w:p>
      <w:pPr>
        <w:widowControl w:val="0"/>
        <w:shd w:val="clear" w:color="auto" w:fill="FFFFFF"/>
        <w:suppressAutoHyphens/>
        <w:autoSpaceDE w:val="0"/>
        <w:spacing w:after="0" w:line="240" w:lineRule="auto"/>
        <w:rPr>
          <w:rFonts w:ascii="Times New Roman" w:eastAsia="Times New Roman" w:hAnsi="Times New Roman"/>
          <w:color w:val="000000"/>
          <w:spacing w:val="-1"/>
          <w:lang w:val="it-IT" w:eastAsia="ar-SA"/>
        </w:rPr>
      </w:pPr>
    </w:p>
    <w:p>
      <w:pPr>
        <w:widowControl w:val="0"/>
        <w:shd w:val="clear" w:color="auto" w:fill="FFFFFF"/>
        <w:suppressAutoHyphens/>
        <w:autoSpaceDE w:val="0"/>
        <w:spacing w:after="0" w:line="240" w:lineRule="auto"/>
        <w:rPr>
          <w:rFonts w:ascii="Times New Roman" w:eastAsia="Times New Roman" w:hAnsi="Times New Roman"/>
          <w:color w:val="000000"/>
          <w:spacing w:val="-1"/>
          <w:lang w:val="it-IT" w:eastAsia="ar-SA"/>
        </w:rPr>
      </w:pPr>
      <w:r>
        <w:rPr>
          <w:rFonts w:ascii="Times New Roman" w:eastAsia="Times New Roman" w:hAnsi="Times New Roman"/>
          <w:color w:val="000000"/>
          <w:spacing w:val="-1"/>
          <w:lang w:val="it-IT" w:eastAsia="ar-SA"/>
        </w:rPr>
        <w:t xml:space="preserve">Per ulteriori informazioni su </w:t>
      </w:r>
      <w:r>
        <w:rPr>
          <w:rFonts w:ascii="Times New Roman" w:eastAsia="Times New Roman" w:hAnsi="Times New Roman"/>
          <w:i/>
          <w:iCs/>
          <w:color w:val="000000"/>
          <w:spacing w:val="-1"/>
          <w:lang w:val="it-IT" w:eastAsia="ar-SA"/>
        </w:rPr>
        <w:t>questo medicinale</w:t>
      </w:r>
      <w:r>
        <w:rPr>
          <w:rFonts w:ascii="Times New Roman" w:eastAsia="Times New Roman" w:hAnsi="Times New Roman"/>
          <w:color w:val="000000"/>
          <w:spacing w:val="-1"/>
          <w:lang w:val="it-IT" w:eastAsia="ar-SA"/>
        </w:rPr>
        <w:t>, contatti il rappresentante locale del titolare dell'autorizzazione all'immissione in commercio:</w:t>
      </w:r>
    </w:p>
    <w:p>
      <w:pPr>
        <w:tabs>
          <w:tab w:val="left" w:pos="567"/>
        </w:tabs>
        <w:spacing w:after="0" w:line="240" w:lineRule="auto"/>
        <w:rPr>
          <w:rFonts w:ascii="Times New Roman" w:eastAsia="Times New Roman" w:hAnsi="Times New Roman"/>
          <w:lang w:val="it-IT"/>
        </w:rPr>
      </w:pPr>
    </w:p>
    <w:tbl>
      <w:tblPr>
        <w:tblW w:w="9360" w:type="dxa"/>
        <w:tblLayout w:type="fixed"/>
        <w:tblLook w:val="04A0" w:firstRow="1" w:lastRow="0" w:firstColumn="1" w:lastColumn="0" w:noHBand="0" w:noVBand="1"/>
      </w:tblPr>
      <w:tblGrid>
        <w:gridCol w:w="4680"/>
        <w:gridCol w:w="4680"/>
      </w:tblGrid>
      <w:tr>
        <w:tc>
          <w:tcPr>
            <w:tcW w:w="4680" w:type="dxa"/>
          </w:tcPr>
          <w:p>
            <w:pPr>
              <w:tabs>
                <w:tab w:val="left" w:pos="567"/>
              </w:tabs>
              <w:spacing w:after="0" w:line="240" w:lineRule="auto"/>
              <w:rPr>
                <w:rFonts w:ascii="Times New Roman" w:eastAsia="Times New Roman" w:hAnsi="Times New Roman"/>
                <w:b/>
                <w:noProof/>
                <w:lang w:val="it-IT" w:eastAsia="sl-SI"/>
              </w:rPr>
            </w:pPr>
            <w:r>
              <w:rPr>
                <w:rFonts w:ascii="Times New Roman" w:eastAsia="Times New Roman" w:hAnsi="Times New Roman"/>
                <w:b/>
                <w:noProof/>
                <w:lang w:val="it-IT" w:eastAsia="sl-SI"/>
              </w:rPr>
              <w:t>België/Belgique/Belgien</w:t>
            </w:r>
          </w:p>
          <w:p>
            <w:pPr>
              <w:tabs>
                <w:tab w:val="left" w:pos="567"/>
              </w:tabs>
              <w:spacing w:after="0" w:line="240" w:lineRule="auto"/>
              <w:rPr>
                <w:rFonts w:ascii="Times New Roman" w:eastAsia="Times New Roman" w:hAnsi="Times New Roman"/>
                <w:b/>
                <w:noProof/>
                <w:lang w:val="it-IT" w:eastAsia="sl-SI"/>
              </w:rPr>
            </w:pPr>
            <w:r>
              <w:rPr>
                <w:rFonts w:ascii="Times New Roman" w:eastAsia="Times New Roman" w:hAnsi="Times New Roman"/>
                <w:lang w:val="it-IT" w:eastAsia="sl-SI"/>
              </w:rPr>
              <w:t>KRKA Belgium, SA.</w:t>
            </w:r>
          </w:p>
          <w:p>
            <w:pPr>
              <w:tabs>
                <w:tab w:val="left" w:pos="567"/>
              </w:tabs>
              <w:spacing w:after="0" w:line="240" w:lineRule="auto"/>
              <w:rPr>
                <w:rFonts w:ascii="Times New Roman" w:eastAsia="Times New Roman" w:hAnsi="Times New Roman"/>
                <w:b/>
                <w:noProof/>
                <w:lang w:val="it-IT" w:eastAsia="sl-SI"/>
              </w:rPr>
            </w:pPr>
            <w:r>
              <w:rPr>
                <w:rFonts w:ascii="Times New Roman" w:eastAsia="Times New Roman" w:hAnsi="Times New Roman"/>
                <w:noProof/>
                <w:lang w:val="it-IT" w:eastAsia="sl-SI"/>
              </w:rPr>
              <w:t>Tél/Tel:</w:t>
            </w:r>
            <w:r>
              <w:rPr>
                <w:rFonts w:ascii="Times New Roman" w:eastAsia="Times New Roman" w:hAnsi="Times New Roman"/>
                <w:b/>
                <w:noProof/>
                <w:lang w:val="it-IT" w:eastAsia="sl-SI"/>
              </w:rPr>
              <w:t xml:space="preserve"> + </w:t>
            </w:r>
            <w:r>
              <w:rPr>
                <w:rFonts w:ascii="Times New Roman" w:eastAsia="Times New Roman" w:hAnsi="Times New Roman"/>
                <w:noProof/>
                <w:lang w:val="it-IT" w:eastAsia="sl-SI"/>
              </w:rPr>
              <w:t xml:space="preserve">32 (0) </w:t>
            </w:r>
            <w:r>
              <w:rPr>
                <w:rFonts w:ascii="Times New Roman" w:eastAsia="Times New Roman" w:hAnsi="Times New Roman"/>
                <w:noProof/>
                <w:szCs w:val="20"/>
                <w:lang w:val="it-IT" w:eastAsia="sl-SI"/>
              </w:rPr>
              <w:t>487 50 73 62</w:t>
            </w:r>
          </w:p>
          <w:p>
            <w:pPr>
              <w:tabs>
                <w:tab w:val="left" w:pos="567"/>
              </w:tabs>
              <w:spacing w:after="0" w:line="240" w:lineRule="auto"/>
              <w:rPr>
                <w:rFonts w:ascii="Times New Roman" w:eastAsia="Times New Roman" w:hAnsi="Times New Roman"/>
                <w:b/>
                <w:noProof/>
                <w:lang w:val="it-IT" w:eastAsia="sl-SI"/>
              </w:rPr>
            </w:pPr>
          </w:p>
        </w:tc>
        <w:tc>
          <w:tcPr>
            <w:tcW w:w="4680" w:type="dxa"/>
          </w:tcPr>
          <w:p>
            <w:pPr>
              <w:tabs>
                <w:tab w:val="left" w:pos="567"/>
              </w:tabs>
              <w:spacing w:after="0" w:line="240" w:lineRule="auto"/>
              <w:rPr>
                <w:rFonts w:ascii="Times New Roman" w:eastAsia="Times New Roman" w:hAnsi="Times New Roman"/>
                <w:b/>
                <w:noProof/>
                <w:lang w:val="it-IT" w:eastAsia="sl-SI"/>
              </w:rPr>
            </w:pPr>
            <w:r>
              <w:rPr>
                <w:rFonts w:ascii="Times New Roman" w:eastAsia="Times New Roman" w:hAnsi="Times New Roman"/>
                <w:b/>
                <w:noProof/>
                <w:lang w:val="it-IT" w:eastAsia="sl-SI"/>
              </w:rPr>
              <w:t>Lietuva</w:t>
            </w:r>
          </w:p>
          <w:p>
            <w:pPr>
              <w:tabs>
                <w:tab w:val="left" w:pos="567"/>
              </w:tabs>
              <w:spacing w:after="0" w:line="240" w:lineRule="auto"/>
              <w:rPr>
                <w:rFonts w:ascii="Times New Roman" w:eastAsia="Times New Roman" w:hAnsi="Times New Roman"/>
                <w:lang w:val="it-IT" w:eastAsia="sl-SI"/>
              </w:rPr>
            </w:pPr>
            <w:r>
              <w:rPr>
                <w:rFonts w:ascii="Times New Roman" w:eastAsia="Times New Roman" w:hAnsi="Times New Roman"/>
                <w:lang w:val="it-IT" w:eastAsia="sl-SI"/>
              </w:rPr>
              <w:t>UAB KRKA Lietuva</w:t>
            </w:r>
          </w:p>
          <w:p>
            <w:pPr>
              <w:tabs>
                <w:tab w:val="left" w:pos="567"/>
              </w:tabs>
              <w:spacing w:after="0" w:line="240" w:lineRule="auto"/>
              <w:rPr>
                <w:rFonts w:ascii="Times New Roman" w:eastAsia="Times New Roman" w:hAnsi="Times New Roman"/>
                <w:b/>
                <w:noProof/>
                <w:lang w:val="it-IT" w:eastAsia="sl-SI"/>
              </w:rPr>
            </w:pPr>
            <w:r>
              <w:rPr>
                <w:rFonts w:ascii="Times New Roman" w:eastAsia="Times New Roman" w:hAnsi="Times New Roman"/>
                <w:noProof/>
                <w:lang w:val="it-IT" w:eastAsia="sl-SI"/>
              </w:rPr>
              <w:t>Tel:</w:t>
            </w:r>
            <w:r>
              <w:rPr>
                <w:rFonts w:ascii="Times New Roman" w:eastAsia="Times New Roman" w:hAnsi="Times New Roman"/>
                <w:b/>
                <w:noProof/>
                <w:lang w:val="it-IT" w:eastAsia="sl-SI"/>
              </w:rPr>
              <w:t xml:space="preserve"> + </w:t>
            </w:r>
            <w:r>
              <w:rPr>
                <w:rFonts w:ascii="Times New Roman" w:eastAsia="Times New Roman" w:hAnsi="Times New Roman"/>
                <w:noProof/>
                <w:lang w:val="it-IT" w:eastAsia="sl-SI"/>
              </w:rPr>
              <w:t>370 5 236 27 40</w:t>
            </w:r>
          </w:p>
          <w:p>
            <w:pPr>
              <w:numPr>
                <w:ilvl w:val="12"/>
                <w:numId w:val="0"/>
              </w:numPr>
              <w:tabs>
                <w:tab w:val="left" w:pos="567"/>
              </w:tabs>
              <w:spacing w:after="0" w:line="240" w:lineRule="auto"/>
              <w:ind w:right="-2"/>
              <w:rPr>
                <w:rFonts w:ascii="Times New Roman" w:eastAsia="Times New Roman" w:hAnsi="Times New Roman"/>
                <w:b/>
                <w:noProof/>
                <w:lang w:val="it-IT" w:eastAsia="sl-SI"/>
              </w:rPr>
            </w:pPr>
          </w:p>
        </w:tc>
      </w:tr>
      <w:tr>
        <w:tc>
          <w:tcPr>
            <w:tcW w:w="4680" w:type="dxa"/>
          </w:tcPr>
          <w:p>
            <w:pPr>
              <w:tabs>
                <w:tab w:val="left" w:pos="567"/>
              </w:tabs>
              <w:spacing w:after="0" w:line="240" w:lineRule="auto"/>
              <w:rPr>
                <w:rFonts w:ascii="Times New Roman" w:eastAsia="Times New Roman" w:hAnsi="Times New Roman"/>
                <w:b/>
                <w:noProof/>
                <w:lang w:eastAsia="sl-SI"/>
              </w:rPr>
            </w:pPr>
            <w:r>
              <w:rPr>
                <w:rFonts w:ascii="Times New Roman" w:eastAsia="Times New Roman" w:hAnsi="Times New Roman"/>
                <w:b/>
                <w:noProof/>
                <w:lang w:eastAsia="sl-SI"/>
              </w:rPr>
              <w:t>България</w:t>
            </w:r>
          </w:p>
          <w:p>
            <w:pPr>
              <w:tabs>
                <w:tab w:val="left" w:pos="567"/>
              </w:tabs>
              <w:spacing w:after="0" w:line="240" w:lineRule="auto"/>
              <w:rPr>
                <w:rFonts w:ascii="Times New Roman" w:eastAsia="Times New Roman" w:hAnsi="Times New Roman"/>
                <w:b/>
                <w:noProof/>
                <w:lang w:eastAsia="sl-SI"/>
              </w:rPr>
            </w:pPr>
            <w:r>
              <w:rPr>
                <w:rFonts w:ascii="Times New Roman" w:hAnsi="Times New Roman"/>
                <w:color w:val="000000"/>
                <w:lang w:eastAsia="sl-SI"/>
              </w:rPr>
              <w:t>КРКА България ЕООД</w:t>
            </w:r>
          </w:p>
          <w:p>
            <w:pPr>
              <w:tabs>
                <w:tab w:val="left" w:pos="567"/>
              </w:tabs>
              <w:spacing w:after="0" w:line="240" w:lineRule="auto"/>
              <w:rPr>
                <w:rFonts w:ascii="Times New Roman" w:eastAsia="Times New Roman" w:hAnsi="Times New Roman"/>
                <w:b/>
                <w:noProof/>
                <w:lang w:eastAsia="sl-SI"/>
              </w:rPr>
            </w:pPr>
            <w:r>
              <w:rPr>
                <w:rFonts w:ascii="Times New Roman" w:eastAsia="Times New Roman" w:hAnsi="Times New Roman"/>
                <w:noProof/>
                <w:lang w:eastAsia="sl-SI"/>
              </w:rPr>
              <w:t>Teл.:</w:t>
            </w:r>
            <w:r>
              <w:rPr>
                <w:rFonts w:ascii="Times New Roman" w:eastAsia="Times New Roman" w:hAnsi="Times New Roman"/>
                <w:b/>
                <w:noProof/>
                <w:lang w:eastAsia="sl-SI"/>
              </w:rPr>
              <w:t xml:space="preserve"> + </w:t>
            </w:r>
            <w:r>
              <w:rPr>
                <w:rFonts w:ascii="Times New Roman" w:eastAsia="Times New Roman" w:hAnsi="Times New Roman"/>
                <w:lang w:eastAsia="sl-SI"/>
              </w:rPr>
              <w:t>359 (02)</w:t>
            </w:r>
            <w:r>
              <w:rPr>
                <w:rFonts w:ascii="Times New Roman" w:eastAsia="Times New Roman" w:hAnsi="Times New Roman"/>
                <w:b/>
                <w:lang w:eastAsia="sl-SI"/>
              </w:rPr>
              <w:t xml:space="preserve"> </w:t>
            </w:r>
            <w:r>
              <w:rPr>
                <w:rFonts w:ascii="Times New Roman" w:eastAsia="Times New Roman" w:hAnsi="Times New Roman"/>
                <w:lang w:eastAsia="sl-SI"/>
              </w:rPr>
              <w:t>962 34 50</w:t>
            </w:r>
          </w:p>
          <w:p>
            <w:pPr>
              <w:tabs>
                <w:tab w:val="left" w:pos="567"/>
              </w:tabs>
              <w:spacing w:after="0" w:line="240" w:lineRule="auto"/>
              <w:rPr>
                <w:rFonts w:ascii="Times New Roman" w:eastAsia="Times New Roman" w:hAnsi="Times New Roman"/>
                <w:b/>
                <w:noProof/>
                <w:lang w:eastAsia="sl-SI"/>
              </w:rPr>
            </w:pPr>
          </w:p>
        </w:tc>
        <w:tc>
          <w:tcPr>
            <w:tcW w:w="4680" w:type="dxa"/>
          </w:tcPr>
          <w:p>
            <w:pPr>
              <w:numPr>
                <w:ilvl w:val="12"/>
                <w:numId w:val="0"/>
              </w:numPr>
              <w:tabs>
                <w:tab w:val="left" w:pos="567"/>
              </w:tabs>
              <w:spacing w:after="0" w:line="240" w:lineRule="auto"/>
              <w:ind w:right="-2"/>
              <w:rPr>
                <w:rFonts w:ascii="Times New Roman" w:eastAsia="Times New Roman" w:hAnsi="Times New Roman"/>
                <w:b/>
                <w:noProof/>
                <w:lang w:val="it-IT" w:eastAsia="sl-SI"/>
              </w:rPr>
            </w:pPr>
            <w:r>
              <w:rPr>
                <w:rFonts w:ascii="Times New Roman" w:eastAsia="Times New Roman" w:hAnsi="Times New Roman"/>
                <w:b/>
                <w:noProof/>
                <w:lang w:val="it-IT" w:eastAsia="sl-SI"/>
              </w:rPr>
              <w:t>Luxembourg/Luxemburg</w:t>
            </w:r>
          </w:p>
          <w:p>
            <w:pPr>
              <w:numPr>
                <w:ilvl w:val="12"/>
                <w:numId w:val="0"/>
              </w:numPr>
              <w:tabs>
                <w:tab w:val="left" w:pos="567"/>
              </w:tabs>
              <w:spacing w:after="0" w:line="240" w:lineRule="auto"/>
              <w:ind w:right="-2"/>
              <w:rPr>
                <w:rFonts w:ascii="Times New Roman" w:eastAsia="Times New Roman" w:hAnsi="Times New Roman"/>
                <w:b/>
                <w:noProof/>
                <w:lang w:val="it-IT" w:eastAsia="sl-SI"/>
              </w:rPr>
            </w:pPr>
            <w:r>
              <w:rPr>
                <w:rFonts w:ascii="Times New Roman" w:eastAsia="Times New Roman" w:hAnsi="Times New Roman"/>
                <w:lang w:val="it-IT" w:eastAsia="sl-SI"/>
              </w:rPr>
              <w:t>KRKA Belgium, SA.</w:t>
            </w:r>
          </w:p>
          <w:p>
            <w:pPr>
              <w:numPr>
                <w:ilvl w:val="12"/>
                <w:numId w:val="0"/>
              </w:numPr>
              <w:tabs>
                <w:tab w:val="left" w:pos="567"/>
              </w:tabs>
              <w:spacing w:after="0" w:line="240" w:lineRule="auto"/>
              <w:ind w:right="-2"/>
              <w:rPr>
                <w:rFonts w:ascii="Times New Roman" w:eastAsia="Times New Roman" w:hAnsi="Times New Roman"/>
                <w:b/>
                <w:noProof/>
                <w:lang w:val="it-IT" w:eastAsia="sl-SI"/>
              </w:rPr>
            </w:pPr>
            <w:r>
              <w:rPr>
                <w:rFonts w:ascii="Times New Roman" w:eastAsia="Times New Roman" w:hAnsi="Times New Roman"/>
                <w:noProof/>
                <w:lang w:val="it-IT" w:eastAsia="sl-SI"/>
              </w:rPr>
              <w:t>Tél/Tel:</w:t>
            </w:r>
            <w:r>
              <w:rPr>
                <w:rFonts w:ascii="Times New Roman" w:eastAsia="Times New Roman" w:hAnsi="Times New Roman"/>
                <w:b/>
                <w:noProof/>
                <w:lang w:val="it-IT" w:eastAsia="sl-SI"/>
              </w:rPr>
              <w:t xml:space="preserve"> + </w:t>
            </w:r>
            <w:r>
              <w:rPr>
                <w:rFonts w:ascii="Times New Roman" w:eastAsia="Times New Roman" w:hAnsi="Times New Roman"/>
                <w:noProof/>
                <w:lang w:val="it-IT" w:eastAsia="sl-SI"/>
              </w:rPr>
              <w:t xml:space="preserve">32 (0) </w:t>
            </w:r>
            <w:r>
              <w:rPr>
                <w:rFonts w:ascii="Times New Roman" w:eastAsia="Times New Roman" w:hAnsi="Times New Roman"/>
                <w:noProof/>
                <w:szCs w:val="20"/>
                <w:lang w:val="it-IT" w:eastAsia="sl-SI"/>
              </w:rPr>
              <w:t>487 50 73 62</w:t>
            </w:r>
            <w:r>
              <w:rPr>
                <w:rFonts w:ascii="Times New Roman" w:eastAsia="Times New Roman" w:hAnsi="Times New Roman"/>
                <w:noProof/>
                <w:lang w:val="it-IT" w:eastAsia="sl-SI"/>
              </w:rPr>
              <w:t xml:space="preserve"> (BE)</w:t>
            </w:r>
          </w:p>
          <w:p>
            <w:pPr>
              <w:numPr>
                <w:ilvl w:val="12"/>
                <w:numId w:val="0"/>
              </w:numPr>
              <w:tabs>
                <w:tab w:val="left" w:pos="567"/>
              </w:tabs>
              <w:spacing w:after="0" w:line="240" w:lineRule="auto"/>
              <w:ind w:right="-2"/>
              <w:rPr>
                <w:rFonts w:ascii="Times New Roman" w:eastAsia="Times New Roman" w:hAnsi="Times New Roman"/>
                <w:b/>
                <w:noProof/>
                <w:lang w:val="it-IT" w:eastAsia="sl-SI"/>
              </w:rPr>
            </w:pPr>
          </w:p>
        </w:tc>
      </w:tr>
      <w:tr>
        <w:trPr>
          <w:trHeight w:val="986"/>
        </w:trPr>
        <w:tc>
          <w:tcPr>
            <w:tcW w:w="4680" w:type="dxa"/>
          </w:tcPr>
          <w:p>
            <w:pPr>
              <w:tabs>
                <w:tab w:val="left" w:pos="567"/>
              </w:tabs>
              <w:spacing w:after="0" w:line="240" w:lineRule="auto"/>
              <w:rPr>
                <w:rFonts w:ascii="Times New Roman" w:eastAsia="Times New Roman" w:hAnsi="Times New Roman"/>
                <w:b/>
                <w:noProof/>
                <w:lang w:val="en-US" w:eastAsia="sl-SI"/>
              </w:rPr>
            </w:pPr>
            <w:r>
              <w:rPr>
                <w:rFonts w:ascii="Times New Roman" w:eastAsia="Times New Roman" w:hAnsi="Times New Roman"/>
                <w:b/>
                <w:noProof/>
                <w:lang w:val="en-US" w:eastAsia="sl-SI"/>
              </w:rPr>
              <w:t>Česká republika</w:t>
            </w:r>
          </w:p>
          <w:p>
            <w:pPr>
              <w:tabs>
                <w:tab w:val="left" w:pos="567"/>
              </w:tabs>
              <w:spacing w:after="0" w:line="240" w:lineRule="auto"/>
              <w:rPr>
                <w:rFonts w:ascii="Times New Roman" w:eastAsia="Times New Roman" w:hAnsi="Times New Roman"/>
                <w:b/>
                <w:noProof/>
                <w:lang w:val="en-US" w:eastAsia="sl-SI"/>
              </w:rPr>
            </w:pPr>
            <w:r>
              <w:rPr>
                <w:rFonts w:ascii="Times New Roman" w:eastAsia="Times New Roman" w:hAnsi="Times New Roman"/>
                <w:color w:val="000000"/>
                <w:lang w:val="en-US"/>
              </w:rPr>
              <w:t>KRKA ČR, s.r.o.</w:t>
            </w:r>
          </w:p>
          <w:p>
            <w:pPr>
              <w:tabs>
                <w:tab w:val="left" w:pos="567"/>
              </w:tabs>
              <w:spacing w:after="0" w:line="240" w:lineRule="auto"/>
              <w:rPr>
                <w:rFonts w:ascii="Times New Roman" w:eastAsia="Times New Roman" w:hAnsi="Times New Roman"/>
                <w:b/>
                <w:noProof/>
                <w:lang w:val="it-IT" w:eastAsia="sl-SI"/>
              </w:rPr>
            </w:pPr>
            <w:r>
              <w:rPr>
                <w:rFonts w:ascii="Times New Roman" w:eastAsia="Times New Roman" w:hAnsi="Times New Roman"/>
                <w:noProof/>
                <w:lang w:val="it-IT" w:eastAsia="sl-SI"/>
              </w:rPr>
              <w:t>Tel:</w:t>
            </w:r>
            <w:r>
              <w:rPr>
                <w:rFonts w:ascii="Times New Roman" w:eastAsia="Times New Roman" w:hAnsi="Times New Roman"/>
                <w:b/>
                <w:noProof/>
                <w:lang w:val="it-IT" w:eastAsia="sl-SI"/>
              </w:rPr>
              <w:t xml:space="preserve"> + </w:t>
            </w:r>
            <w:r>
              <w:rPr>
                <w:rFonts w:ascii="Times New Roman" w:eastAsia="Times New Roman" w:hAnsi="Times New Roman"/>
                <w:noProof/>
                <w:lang w:val="it-IT" w:eastAsia="sl-SI"/>
              </w:rPr>
              <w:t>420 (0) 221 115 150</w:t>
            </w:r>
          </w:p>
          <w:p>
            <w:pPr>
              <w:tabs>
                <w:tab w:val="left" w:pos="567"/>
              </w:tabs>
              <w:spacing w:after="0" w:line="240" w:lineRule="auto"/>
              <w:rPr>
                <w:rFonts w:ascii="Times New Roman" w:eastAsia="Times New Roman" w:hAnsi="Times New Roman"/>
                <w:b/>
                <w:noProof/>
                <w:lang w:val="it-IT" w:eastAsia="sl-SI"/>
              </w:rPr>
            </w:pPr>
          </w:p>
        </w:tc>
        <w:tc>
          <w:tcPr>
            <w:tcW w:w="4680" w:type="dxa"/>
            <w:hideMark/>
          </w:tcPr>
          <w:p>
            <w:pPr>
              <w:numPr>
                <w:ilvl w:val="12"/>
                <w:numId w:val="0"/>
              </w:numPr>
              <w:tabs>
                <w:tab w:val="left" w:pos="567"/>
              </w:tabs>
              <w:spacing w:after="0" w:line="240" w:lineRule="auto"/>
              <w:ind w:right="-2"/>
              <w:rPr>
                <w:rFonts w:ascii="Times New Roman" w:eastAsia="Times New Roman" w:hAnsi="Times New Roman"/>
                <w:b/>
                <w:noProof/>
                <w:lang w:val="it-IT" w:eastAsia="sl-SI"/>
              </w:rPr>
            </w:pPr>
            <w:r>
              <w:rPr>
                <w:rFonts w:ascii="Times New Roman" w:eastAsia="Times New Roman" w:hAnsi="Times New Roman"/>
                <w:b/>
                <w:noProof/>
                <w:lang w:val="it-IT" w:eastAsia="sl-SI"/>
              </w:rPr>
              <w:t>Magyarország</w:t>
            </w:r>
          </w:p>
          <w:p>
            <w:pPr>
              <w:numPr>
                <w:ilvl w:val="12"/>
                <w:numId w:val="0"/>
              </w:numPr>
              <w:tabs>
                <w:tab w:val="left" w:pos="567"/>
              </w:tabs>
              <w:spacing w:after="0" w:line="240" w:lineRule="auto"/>
              <w:ind w:right="-2"/>
              <w:rPr>
                <w:rFonts w:ascii="Times New Roman" w:eastAsia="Times New Roman" w:hAnsi="Times New Roman"/>
                <w:b/>
                <w:noProof/>
                <w:lang w:val="it-IT" w:eastAsia="sl-SI"/>
              </w:rPr>
            </w:pPr>
            <w:r>
              <w:rPr>
                <w:rFonts w:ascii="Times New Roman" w:eastAsia="Times New Roman" w:hAnsi="Times New Roman"/>
                <w:lang w:val="it-IT" w:eastAsia="sl-SI"/>
              </w:rPr>
              <w:t xml:space="preserve">KRKA </w:t>
            </w:r>
            <w:r>
              <w:rPr>
                <w:rFonts w:ascii="Times New Roman" w:eastAsia="Times New Roman" w:hAnsi="Times New Roman"/>
                <w:noProof/>
                <w:color w:val="000000"/>
                <w:lang w:val="it-IT"/>
              </w:rPr>
              <w:t>Magyarország Kereskedelmi Kft.</w:t>
            </w:r>
          </w:p>
          <w:p>
            <w:pPr>
              <w:numPr>
                <w:ilvl w:val="12"/>
                <w:numId w:val="0"/>
              </w:numPr>
              <w:tabs>
                <w:tab w:val="left" w:pos="567"/>
              </w:tabs>
              <w:spacing w:after="0" w:line="240" w:lineRule="auto"/>
              <w:ind w:right="-2"/>
              <w:rPr>
                <w:rFonts w:ascii="Times New Roman" w:eastAsia="Times New Roman" w:hAnsi="Times New Roman"/>
                <w:b/>
                <w:noProof/>
                <w:lang w:val="it-IT" w:eastAsia="sl-SI"/>
              </w:rPr>
            </w:pPr>
            <w:r>
              <w:rPr>
                <w:rFonts w:ascii="Times New Roman" w:eastAsia="Times New Roman" w:hAnsi="Times New Roman"/>
                <w:noProof/>
                <w:lang w:val="it-IT" w:eastAsia="sl-SI"/>
              </w:rPr>
              <w:t>Tel.:</w:t>
            </w:r>
            <w:r>
              <w:rPr>
                <w:rFonts w:ascii="Times New Roman" w:eastAsia="Times New Roman" w:hAnsi="Times New Roman"/>
                <w:b/>
                <w:noProof/>
                <w:lang w:val="it-IT" w:eastAsia="sl-SI"/>
              </w:rPr>
              <w:t xml:space="preserve"> </w:t>
            </w:r>
            <w:r>
              <w:rPr>
                <w:rFonts w:ascii="Times New Roman" w:hAnsi="Times New Roman"/>
                <w:b/>
                <w:noProof/>
                <w:lang w:val="it-IT" w:eastAsia="sl-SI"/>
              </w:rPr>
              <w:t xml:space="preserve">+ </w:t>
            </w:r>
            <w:r>
              <w:rPr>
                <w:rFonts w:ascii="Times New Roman" w:hAnsi="Times New Roman"/>
                <w:iCs/>
                <w:lang w:val="it-IT" w:eastAsia="sl-SI"/>
              </w:rPr>
              <w:t>36 (1) 355 8490</w:t>
            </w:r>
          </w:p>
        </w:tc>
      </w:tr>
      <w:tr>
        <w:tc>
          <w:tcPr>
            <w:tcW w:w="4680" w:type="dxa"/>
          </w:tcPr>
          <w:p>
            <w:pPr>
              <w:tabs>
                <w:tab w:val="left" w:pos="567"/>
              </w:tabs>
              <w:spacing w:after="0" w:line="240" w:lineRule="auto"/>
              <w:rPr>
                <w:rFonts w:ascii="Times New Roman" w:eastAsia="Times New Roman" w:hAnsi="Times New Roman"/>
                <w:b/>
                <w:noProof/>
                <w:lang w:val="it-IT" w:eastAsia="sl-SI"/>
              </w:rPr>
            </w:pPr>
            <w:r>
              <w:rPr>
                <w:rFonts w:ascii="Times New Roman" w:eastAsia="Times New Roman" w:hAnsi="Times New Roman"/>
                <w:b/>
                <w:noProof/>
                <w:lang w:val="it-IT" w:eastAsia="sl-SI"/>
              </w:rPr>
              <w:t>Danmark</w:t>
            </w:r>
          </w:p>
          <w:p>
            <w:pPr>
              <w:tabs>
                <w:tab w:val="left" w:pos="567"/>
              </w:tabs>
              <w:spacing w:after="0" w:line="240" w:lineRule="auto"/>
              <w:rPr>
                <w:rFonts w:ascii="Times New Roman" w:eastAsia="Times New Roman" w:hAnsi="Times New Roman"/>
                <w:b/>
                <w:noProof/>
                <w:lang w:val="it-IT" w:eastAsia="sl-SI"/>
              </w:rPr>
            </w:pPr>
            <w:r>
              <w:rPr>
                <w:rFonts w:ascii="Times New Roman" w:eastAsia="Times New Roman" w:hAnsi="Times New Roman"/>
                <w:noProof/>
                <w:lang w:val="it-IT" w:eastAsia="sl-SI"/>
              </w:rPr>
              <w:t>KRKA Sverige AB</w:t>
            </w:r>
          </w:p>
          <w:p>
            <w:pPr>
              <w:tabs>
                <w:tab w:val="left" w:pos="567"/>
              </w:tabs>
              <w:spacing w:after="0" w:line="240" w:lineRule="auto"/>
              <w:rPr>
                <w:rFonts w:ascii="Times New Roman" w:eastAsia="Times New Roman" w:hAnsi="Times New Roman"/>
                <w:b/>
                <w:noProof/>
                <w:lang w:val="it-IT" w:eastAsia="sl-SI"/>
              </w:rPr>
            </w:pPr>
            <w:r>
              <w:rPr>
                <w:rFonts w:ascii="Times New Roman" w:eastAsia="Times New Roman" w:hAnsi="Times New Roman"/>
                <w:noProof/>
                <w:lang w:val="it-IT" w:eastAsia="sl-SI"/>
              </w:rPr>
              <w:t>Tlf:</w:t>
            </w:r>
            <w:r>
              <w:rPr>
                <w:rFonts w:ascii="Times New Roman" w:eastAsia="Times New Roman" w:hAnsi="Times New Roman"/>
                <w:b/>
                <w:noProof/>
                <w:lang w:val="it-IT" w:eastAsia="sl-SI"/>
              </w:rPr>
              <w:t xml:space="preserve"> + </w:t>
            </w:r>
            <w:r>
              <w:rPr>
                <w:rFonts w:ascii="Times New Roman" w:eastAsia="Times New Roman" w:hAnsi="Times New Roman"/>
                <w:noProof/>
                <w:lang w:val="it-IT" w:eastAsia="sl-SI"/>
              </w:rPr>
              <w:t>46 (0)</w:t>
            </w:r>
            <w:r>
              <w:rPr>
                <w:rFonts w:ascii="Times New Roman" w:eastAsia="Times New Roman" w:hAnsi="Times New Roman"/>
                <w:lang w:val="it-IT" w:eastAsia="sl-SI"/>
              </w:rPr>
              <w:t>8 643 67 66 (SE)</w:t>
            </w:r>
          </w:p>
          <w:p>
            <w:pPr>
              <w:tabs>
                <w:tab w:val="left" w:pos="567"/>
              </w:tabs>
              <w:spacing w:after="0" w:line="240" w:lineRule="auto"/>
              <w:rPr>
                <w:rFonts w:ascii="Times New Roman" w:eastAsia="Times New Roman" w:hAnsi="Times New Roman"/>
                <w:b/>
                <w:noProof/>
                <w:lang w:val="it-IT" w:eastAsia="sl-SI"/>
              </w:rPr>
            </w:pPr>
          </w:p>
        </w:tc>
        <w:tc>
          <w:tcPr>
            <w:tcW w:w="4680" w:type="dxa"/>
            <w:hideMark/>
          </w:tcPr>
          <w:p>
            <w:pPr>
              <w:numPr>
                <w:ilvl w:val="12"/>
                <w:numId w:val="0"/>
              </w:numPr>
              <w:tabs>
                <w:tab w:val="left" w:pos="567"/>
              </w:tabs>
              <w:spacing w:after="0" w:line="240" w:lineRule="auto"/>
              <w:ind w:right="-2"/>
              <w:rPr>
                <w:rFonts w:ascii="Times New Roman" w:eastAsia="Times New Roman" w:hAnsi="Times New Roman"/>
                <w:b/>
                <w:noProof/>
                <w:lang w:val="it-IT" w:eastAsia="sl-SI"/>
              </w:rPr>
            </w:pPr>
            <w:r>
              <w:rPr>
                <w:rFonts w:ascii="Times New Roman" w:eastAsia="Times New Roman" w:hAnsi="Times New Roman"/>
                <w:b/>
                <w:noProof/>
                <w:lang w:val="it-IT" w:eastAsia="sl-SI"/>
              </w:rPr>
              <w:t>Malta</w:t>
            </w:r>
          </w:p>
          <w:p>
            <w:pPr>
              <w:numPr>
                <w:ilvl w:val="12"/>
                <w:numId w:val="0"/>
              </w:numPr>
              <w:tabs>
                <w:tab w:val="left" w:pos="567"/>
              </w:tabs>
              <w:spacing w:after="0" w:line="240" w:lineRule="auto"/>
              <w:ind w:right="-2"/>
              <w:rPr>
                <w:rFonts w:ascii="Times New Roman" w:eastAsia="Times New Roman" w:hAnsi="Times New Roman"/>
                <w:noProof/>
                <w:lang w:val="it-IT" w:eastAsia="sl-SI"/>
              </w:rPr>
            </w:pPr>
            <w:r>
              <w:rPr>
                <w:rFonts w:ascii="Times New Roman" w:eastAsia="Times New Roman" w:hAnsi="Times New Roman"/>
                <w:lang w:val="it-IT"/>
              </w:rPr>
              <w:t>E. J. Busuttil Ltd.</w:t>
            </w:r>
          </w:p>
          <w:p>
            <w:pPr>
              <w:numPr>
                <w:ilvl w:val="12"/>
                <w:numId w:val="0"/>
              </w:numPr>
              <w:tabs>
                <w:tab w:val="left" w:pos="567"/>
              </w:tabs>
              <w:spacing w:after="0" w:line="240" w:lineRule="auto"/>
              <w:ind w:right="-2"/>
              <w:rPr>
                <w:rFonts w:ascii="Times New Roman" w:eastAsia="Times New Roman" w:hAnsi="Times New Roman"/>
                <w:b/>
                <w:noProof/>
                <w:lang w:val="it-IT" w:eastAsia="sl-SI"/>
              </w:rPr>
            </w:pPr>
            <w:r>
              <w:rPr>
                <w:rFonts w:ascii="Times New Roman" w:eastAsia="Times New Roman" w:hAnsi="Times New Roman"/>
                <w:noProof/>
                <w:lang w:val="it-IT" w:eastAsia="sl-SI"/>
              </w:rPr>
              <w:t>Tel:</w:t>
            </w:r>
            <w:r>
              <w:rPr>
                <w:rFonts w:ascii="Times New Roman" w:eastAsia="Times New Roman" w:hAnsi="Times New Roman"/>
                <w:b/>
                <w:noProof/>
                <w:lang w:val="it-IT" w:eastAsia="sl-SI"/>
              </w:rPr>
              <w:t xml:space="preserve"> + </w:t>
            </w:r>
            <w:r>
              <w:rPr>
                <w:rFonts w:ascii="Times New Roman" w:eastAsia="Times New Roman" w:hAnsi="Times New Roman"/>
                <w:lang w:val="it-IT"/>
              </w:rPr>
              <w:t>356 21 445 885</w:t>
            </w:r>
          </w:p>
        </w:tc>
      </w:tr>
      <w:tr>
        <w:tc>
          <w:tcPr>
            <w:tcW w:w="4680" w:type="dxa"/>
          </w:tcPr>
          <w:p>
            <w:pPr>
              <w:tabs>
                <w:tab w:val="left" w:pos="567"/>
              </w:tabs>
              <w:spacing w:after="0" w:line="240" w:lineRule="auto"/>
              <w:rPr>
                <w:rFonts w:ascii="Times New Roman" w:eastAsia="Times New Roman" w:hAnsi="Times New Roman"/>
                <w:b/>
                <w:noProof/>
                <w:lang w:val="en-US" w:eastAsia="sl-SI"/>
              </w:rPr>
            </w:pPr>
            <w:r>
              <w:rPr>
                <w:rFonts w:ascii="Times New Roman" w:eastAsia="Times New Roman" w:hAnsi="Times New Roman"/>
                <w:b/>
                <w:noProof/>
                <w:lang w:val="en-US" w:eastAsia="sl-SI"/>
              </w:rPr>
              <w:t>Deutschland</w:t>
            </w:r>
          </w:p>
          <w:p>
            <w:pPr>
              <w:tabs>
                <w:tab w:val="left" w:pos="567"/>
              </w:tabs>
              <w:spacing w:after="0" w:line="240" w:lineRule="auto"/>
              <w:rPr>
                <w:rFonts w:ascii="Times New Roman" w:eastAsia="Times New Roman" w:hAnsi="Times New Roman"/>
                <w:b/>
                <w:noProof/>
                <w:lang w:val="en-US" w:eastAsia="sl-SI"/>
              </w:rPr>
            </w:pPr>
            <w:r>
              <w:rPr>
                <w:rFonts w:ascii="Times New Roman" w:eastAsia="Times New Roman" w:hAnsi="Times New Roman"/>
                <w:lang w:val="en-US"/>
              </w:rPr>
              <w:t>TAD Pharma GmbH</w:t>
            </w:r>
          </w:p>
          <w:p>
            <w:pPr>
              <w:tabs>
                <w:tab w:val="left" w:pos="567"/>
              </w:tabs>
              <w:spacing w:after="0" w:line="240" w:lineRule="auto"/>
              <w:rPr>
                <w:rFonts w:ascii="Times New Roman" w:eastAsia="Times New Roman" w:hAnsi="Times New Roman"/>
                <w:b/>
                <w:noProof/>
                <w:lang w:val="en-US" w:eastAsia="sl-SI"/>
              </w:rPr>
            </w:pPr>
            <w:r>
              <w:rPr>
                <w:rFonts w:ascii="Times New Roman" w:eastAsia="Times New Roman" w:hAnsi="Times New Roman"/>
                <w:noProof/>
                <w:lang w:val="en-US" w:eastAsia="sl-SI"/>
              </w:rPr>
              <w:t>Tel:</w:t>
            </w:r>
            <w:r>
              <w:rPr>
                <w:rFonts w:ascii="Times New Roman" w:eastAsia="Times New Roman" w:hAnsi="Times New Roman"/>
                <w:b/>
                <w:noProof/>
                <w:lang w:val="en-US" w:eastAsia="sl-SI"/>
              </w:rPr>
              <w:t xml:space="preserve"> + </w:t>
            </w:r>
            <w:r>
              <w:rPr>
                <w:rFonts w:ascii="Times New Roman" w:eastAsia="Times New Roman" w:hAnsi="Times New Roman"/>
                <w:iCs/>
                <w:lang w:val="en-US" w:eastAsia="sl-SI"/>
              </w:rPr>
              <w:t>49 (0) 4721 606-0</w:t>
            </w:r>
          </w:p>
          <w:p>
            <w:pPr>
              <w:tabs>
                <w:tab w:val="left" w:pos="567"/>
              </w:tabs>
              <w:spacing w:after="0" w:line="240" w:lineRule="auto"/>
              <w:rPr>
                <w:rFonts w:ascii="Times New Roman" w:eastAsia="Times New Roman" w:hAnsi="Times New Roman"/>
                <w:b/>
                <w:noProof/>
                <w:lang w:val="en-US" w:eastAsia="sl-SI"/>
              </w:rPr>
            </w:pPr>
          </w:p>
        </w:tc>
        <w:tc>
          <w:tcPr>
            <w:tcW w:w="4680" w:type="dxa"/>
            <w:hideMark/>
          </w:tcPr>
          <w:p>
            <w:pPr>
              <w:numPr>
                <w:ilvl w:val="12"/>
                <w:numId w:val="0"/>
              </w:numPr>
              <w:tabs>
                <w:tab w:val="left" w:pos="567"/>
              </w:tabs>
              <w:spacing w:after="0" w:line="240" w:lineRule="auto"/>
              <w:ind w:right="-2"/>
              <w:rPr>
                <w:rFonts w:ascii="Times New Roman" w:eastAsia="Times New Roman" w:hAnsi="Times New Roman"/>
                <w:b/>
                <w:noProof/>
                <w:lang w:val="it-IT" w:eastAsia="sl-SI"/>
              </w:rPr>
            </w:pPr>
            <w:r>
              <w:rPr>
                <w:rFonts w:ascii="Times New Roman" w:eastAsia="Times New Roman" w:hAnsi="Times New Roman"/>
                <w:b/>
                <w:noProof/>
                <w:lang w:val="it-IT" w:eastAsia="sl-SI"/>
              </w:rPr>
              <w:t>Nederland</w:t>
            </w:r>
          </w:p>
          <w:p>
            <w:pPr>
              <w:numPr>
                <w:ilvl w:val="12"/>
                <w:numId w:val="0"/>
              </w:numPr>
              <w:tabs>
                <w:tab w:val="left" w:pos="567"/>
              </w:tabs>
              <w:spacing w:after="0" w:line="240" w:lineRule="auto"/>
              <w:ind w:right="-2"/>
              <w:rPr>
                <w:rFonts w:ascii="Times New Roman" w:eastAsia="Times New Roman" w:hAnsi="Times New Roman"/>
                <w:b/>
                <w:noProof/>
                <w:lang w:val="it-IT" w:eastAsia="sl-SI"/>
              </w:rPr>
            </w:pPr>
            <w:r>
              <w:rPr>
                <w:rFonts w:ascii="Times New Roman" w:eastAsia="Times New Roman" w:hAnsi="Times New Roman"/>
                <w:lang w:val="it-IT" w:eastAsia="sl-SI"/>
              </w:rPr>
              <w:t>KRKA Belgium, SA.</w:t>
            </w:r>
          </w:p>
          <w:p>
            <w:pPr>
              <w:numPr>
                <w:ilvl w:val="12"/>
                <w:numId w:val="0"/>
              </w:numPr>
              <w:tabs>
                <w:tab w:val="left" w:pos="567"/>
              </w:tabs>
              <w:spacing w:after="0" w:line="240" w:lineRule="auto"/>
              <w:ind w:right="-2"/>
              <w:rPr>
                <w:rFonts w:ascii="Times New Roman" w:eastAsia="Times New Roman" w:hAnsi="Times New Roman"/>
                <w:b/>
                <w:noProof/>
                <w:lang w:val="it-IT" w:eastAsia="sl-SI"/>
              </w:rPr>
            </w:pPr>
            <w:r>
              <w:rPr>
                <w:rFonts w:ascii="Times New Roman" w:eastAsia="Times New Roman" w:hAnsi="Times New Roman"/>
                <w:noProof/>
                <w:lang w:val="it-IT" w:eastAsia="sl-SI"/>
              </w:rPr>
              <w:t>Tel:</w:t>
            </w:r>
            <w:r>
              <w:rPr>
                <w:rFonts w:ascii="Times New Roman" w:eastAsia="Times New Roman" w:hAnsi="Times New Roman"/>
                <w:b/>
                <w:noProof/>
                <w:lang w:val="it-IT" w:eastAsia="sl-SI"/>
              </w:rPr>
              <w:t xml:space="preserve"> + </w:t>
            </w:r>
            <w:r>
              <w:rPr>
                <w:rFonts w:ascii="Times New Roman" w:eastAsia="Times New Roman" w:hAnsi="Times New Roman"/>
                <w:noProof/>
                <w:lang w:val="it-IT" w:eastAsia="sl-SI"/>
              </w:rPr>
              <w:t xml:space="preserve">32 (0) </w:t>
            </w:r>
            <w:r>
              <w:rPr>
                <w:rFonts w:ascii="Times New Roman" w:eastAsia="Times New Roman" w:hAnsi="Times New Roman"/>
                <w:noProof/>
                <w:szCs w:val="20"/>
                <w:lang w:val="it-IT" w:eastAsia="sl-SI"/>
              </w:rPr>
              <w:t>487 50 73 62</w:t>
            </w:r>
            <w:r>
              <w:rPr>
                <w:rFonts w:ascii="Times New Roman" w:eastAsia="Times New Roman" w:hAnsi="Times New Roman"/>
                <w:noProof/>
                <w:lang w:val="it-IT" w:eastAsia="sl-SI"/>
              </w:rPr>
              <w:t xml:space="preserve"> (BE)</w:t>
            </w:r>
          </w:p>
        </w:tc>
      </w:tr>
      <w:tr>
        <w:tc>
          <w:tcPr>
            <w:tcW w:w="4680" w:type="dxa"/>
          </w:tcPr>
          <w:p>
            <w:pPr>
              <w:tabs>
                <w:tab w:val="left" w:pos="567"/>
              </w:tabs>
              <w:spacing w:after="0" w:line="240" w:lineRule="auto"/>
              <w:rPr>
                <w:rFonts w:ascii="Times New Roman" w:eastAsia="Times New Roman" w:hAnsi="Times New Roman"/>
                <w:b/>
                <w:noProof/>
                <w:lang w:val="it-IT" w:eastAsia="sl-SI"/>
              </w:rPr>
            </w:pPr>
            <w:r>
              <w:rPr>
                <w:rFonts w:ascii="Times New Roman" w:eastAsia="Times New Roman" w:hAnsi="Times New Roman"/>
                <w:b/>
                <w:noProof/>
                <w:lang w:val="it-IT" w:eastAsia="sl-SI"/>
              </w:rPr>
              <w:t>Eesti</w:t>
            </w:r>
          </w:p>
          <w:p>
            <w:pPr>
              <w:tabs>
                <w:tab w:val="left" w:pos="567"/>
              </w:tabs>
              <w:spacing w:after="0" w:line="240" w:lineRule="auto"/>
              <w:rPr>
                <w:rFonts w:ascii="Times New Roman" w:eastAsia="Times New Roman" w:hAnsi="Times New Roman"/>
                <w:b/>
                <w:noProof/>
                <w:lang w:val="it-IT" w:eastAsia="sl-SI"/>
              </w:rPr>
            </w:pPr>
            <w:r>
              <w:rPr>
                <w:rFonts w:ascii="Times New Roman" w:eastAsia="Times New Roman" w:hAnsi="Times New Roman"/>
                <w:lang w:val="it-IT" w:eastAsia="sl-SI"/>
              </w:rPr>
              <w:t xml:space="preserve">KRKA, d.d., Novo mesto </w:t>
            </w:r>
            <w:r>
              <w:rPr>
                <w:rFonts w:ascii="Times New Roman" w:eastAsia="Times New Roman" w:hAnsi="Times New Roman"/>
                <w:color w:val="000000"/>
                <w:lang w:val="it-IT"/>
              </w:rPr>
              <w:t>Eesti filiaal</w:t>
            </w:r>
          </w:p>
          <w:p>
            <w:pPr>
              <w:tabs>
                <w:tab w:val="left" w:pos="567"/>
              </w:tabs>
              <w:spacing w:after="0" w:line="240" w:lineRule="auto"/>
              <w:rPr>
                <w:rFonts w:ascii="Times New Roman" w:eastAsia="Times New Roman" w:hAnsi="Times New Roman"/>
                <w:noProof/>
                <w:lang w:val="it-IT" w:eastAsia="sl-SI"/>
              </w:rPr>
            </w:pPr>
            <w:r>
              <w:rPr>
                <w:rFonts w:ascii="Times New Roman" w:eastAsia="Times New Roman" w:hAnsi="Times New Roman"/>
                <w:noProof/>
                <w:lang w:val="it-IT" w:eastAsia="sl-SI"/>
              </w:rPr>
              <w:t>Tel:</w:t>
            </w:r>
            <w:r>
              <w:rPr>
                <w:rFonts w:ascii="Times New Roman" w:eastAsia="Times New Roman" w:hAnsi="Times New Roman"/>
                <w:b/>
                <w:noProof/>
                <w:lang w:val="it-IT" w:eastAsia="sl-SI"/>
              </w:rPr>
              <w:t xml:space="preserve"> + </w:t>
            </w:r>
            <w:r>
              <w:rPr>
                <w:rFonts w:ascii="Times New Roman" w:eastAsia="Times New Roman" w:hAnsi="Times New Roman"/>
                <w:noProof/>
                <w:lang w:val="it-IT" w:eastAsia="sl-SI"/>
              </w:rPr>
              <w:t>372 (0)6 671 658</w:t>
            </w:r>
          </w:p>
          <w:p>
            <w:pPr>
              <w:tabs>
                <w:tab w:val="left" w:pos="567"/>
              </w:tabs>
              <w:spacing w:after="0" w:line="240" w:lineRule="auto"/>
              <w:rPr>
                <w:rFonts w:ascii="Times New Roman" w:eastAsia="Times New Roman" w:hAnsi="Times New Roman"/>
                <w:b/>
                <w:noProof/>
                <w:lang w:val="it-IT" w:eastAsia="sl-SI"/>
              </w:rPr>
            </w:pPr>
          </w:p>
        </w:tc>
        <w:tc>
          <w:tcPr>
            <w:tcW w:w="4680" w:type="dxa"/>
            <w:hideMark/>
          </w:tcPr>
          <w:p>
            <w:pPr>
              <w:numPr>
                <w:ilvl w:val="12"/>
                <w:numId w:val="0"/>
              </w:numPr>
              <w:tabs>
                <w:tab w:val="left" w:pos="567"/>
              </w:tabs>
              <w:spacing w:after="0" w:line="240" w:lineRule="auto"/>
              <w:ind w:right="-2"/>
              <w:rPr>
                <w:rFonts w:ascii="Times New Roman" w:eastAsia="Times New Roman" w:hAnsi="Times New Roman"/>
                <w:b/>
                <w:noProof/>
                <w:lang w:val="it-IT" w:eastAsia="sl-SI"/>
              </w:rPr>
            </w:pPr>
            <w:r>
              <w:rPr>
                <w:rFonts w:ascii="Times New Roman" w:eastAsia="Times New Roman" w:hAnsi="Times New Roman"/>
                <w:b/>
                <w:noProof/>
                <w:lang w:val="it-IT" w:eastAsia="sl-SI"/>
              </w:rPr>
              <w:t>Norge</w:t>
            </w:r>
          </w:p>
          <w:p>
            <w:pPr>
              <w:numPr>
                <w:ilvl w:val="12"/>
                <w:numId w:val="0"/>
              </w:numPr>
              <w:tabs>
                <w:tab w:val="left" w:pos="567"/>
              </w:tabs>
              <w:spacing w:after="0" w:line="240" w:lineRule="auto"/>
              <w:ind w:right="-2"/>
              <w:rPr>
                <w:rFonts w:ascii="Times New Roman" w:eastAsia="Times New Roman" w:hAnsi="Times New Roman"/>
                <w:b/>
                <w:noProof/>
                <w:lang w:val="it-IT" w:eastAsia="sl-SI"/>
              </w:rPr>
            </w:pPr>
            <w:r>
              <w:rPr>
                <w:rFonts w:ascii="Times New Roman" w:eastAsia="Times New Roman" w:hAnsi="Times New Roman"/>
                <w:noProof/>
                <w:lang w:val="it-IT" w:eastAsia="sl-SI"/>
              </w:rPr>
              <w:t>KRKA Sverige AB</w:t>
            </w:r>
          </w:p>
          <w:p>
            <w:pPr>
              <w:numPr>
                <w:ilvl w:val="12"/>
                <w:numId w:val="0"/>
              </w:numPr>
              <w:tabs>
                <w:tab w:val="left" w:pos="567"/>
              </w:tabs>
              <w:spacing w:after="0" w:line="240" w:lineRule="auto"/>
              <w:ind w:right="-2"/>
              <w:rPr>
                <w:rFonts w:ascii="Times New Roman" w:eastAsia="Times New Roman" w:hAnsi="Times New Roman"/>
                <w:b/>
                <w:noProof/>
                <w:lang w:val="it-IT" w:eastAsia="sl-SI"/>
              </w:rPr>
            </w:pPr>
            <w:r>
              <w:rPr>
                <w:rFonts w:ascii="Times New Roman" w:eastAsia="Times New Roman" w:hAnsi="Times New Roman"/>
                <w:noProof/>
                <w:lang w:val="it-IT" w:eastAsia="sl-SI"/>
              </w:rPr>
              <w:t>Tlf:</w:t>
            </w:r>
            <w:r>
              <w:rPr>
                <w:rFonts w:ascii="Times New Roman" w:eastAsia="Times New Roman" w:hAnsi="Times New Roman"/>
                <w:b/>
                <w:noProof/>
                <w:lang w:val="it-IT" w:eastAsia="sl-SI"/>
              </w:rPr>
              <w:t xml:space="preserve"> + </w:t>
            </w:r>
            <w:r>
              <w:rPr>
                <w:rFonts w:ascii="Times New Roman" w:eastAsia="Times New Roman" w:hAnsi="Times New Roman"/>
                <w:noProof/>
                <w:lang w:val="it-IT" w:eastAsia="sl-SI"/>
              </w:rPr>
              <w:t>46 (0)</w:t>
            </w:r>
            <w:r>
              <w:rPr>
                <w:rFonts w:ascii="Times New Roman" w:eastAsia="Times New Roman" w:hAnsi="Times New Roman"/>
                <w:lang w:val="it-IT" w:eastAsia="sl-SI"/>
              </w:rPr>
              <w:t>8 643 67 66 (SE)</w:t>
            </w:r>
          </w:p>
        </w:tc>
      </w:tr>
      <w:tr>
        <w:tc>
          <w:tcPr>
            <w:tcW w:w="4680" w:type="dxa"/>
          </w:tcPr>
          <w:p>
            <w:pPr>
              <w:tabs>
                <w:tab w:val="left" w:pos="567"/>
              </w:tabs>
              <w:spacing w:after="0" w:line="240" w:lineRule="auto"/>
              <w:rPr>
                <w:rFonts w:ascii="Times New Roman" w:eastAsia="Times New Roman" w:hAnsi="Times New Roman"/>
                <w:b/>
                <w:noProof/>
                <w:lang w:eastAsia="sl-SI"/>
              </w:rPr>
            </w:pPr>
            <w:r>
              <w:rPr>
                <w:rFonts w:ascii="Times New Roman" w:eastAsia="Times New Roman" w:hAnsi="Times New Roman"/>
                <w:b/>
                <w:noProof/>
                <w:lang w:val="it-IT" w:eastAsia="sl-SI"/>
              </w:rPr>
              <w:t>Ελλάδα</w:t>
            </w:r>
          </w:p>
          <w:p>
            <w:pPr>
              <w:tabs>
                <w:tab w:val="left" w:pos="567"/>
              </w:tabs>
              <w:spacing w:after="0" w:line="240" w:lineRule="auto"/>
              <w:rPr>
                <w:rFonts w:ascii="Times New Roman" w:eastAsia="Times New Roman" w:hAnsi="Times New Roman"/>
                <w:noProof/>
                <w:lang w:eastAsia="sl-SI"/>
              </w:rPr>
            </w:pPr>
            <w:r>
              <w:rPr>
                <w:rFonts w:ascii="Times New Roman" w:eastAsia="Times New Roman" w:hAnsi="Times New Roman"/>
                <w:noProof/>
                <w:lang w:eastAsia="sl-SI"/>
              </w:rPr>
              <w:t xml:space="preserve">KRKA </w:t>
            </w:r>
            <w:r>
              <w:rPr>
                <w:rFonts w:ascii="Times New Roman" w:eastAsia="Times New Roman" w:hAnsi="Times New Roman"/>
                <w:noProof/>
                <w:lang w:val="it-IT" w:eastAsia="sl-SI"/>
              </w:rPr>
              <w:t>ΕΛΛΑΣ</w:t>
            </w:r>
            <w:r>
              <w:rPr>
                <w:rFonts w:ascii="Times New Roman" w:eastAsia="Times New Roman" w:hAnsi="Times New Roman"/>
                <w:noProof/>
                <w:lang w:eastAsia="sl-SI"/>
              </w:rPr>
              <w:t xml:space="preserve"> </w:t>
            </w:r>
            <w:r>
              <w:rPr>
                <w:rFonts w:ascii="Times New Roman" w:eastAsia="Times New Roman" w:hAnsi="Times New Roman"/>
                <w:noProof/>
                <w:lang w:val="it-IT" w:eastAsia="sl-SI"/>
              </w:rPr>
              <w:t>ΕΠΕ</w:t>
            </w:r>
          </w:p>
          <w:p>
            <w:pPr>
              <w:tabs>
                <w:tab w:val="left" w:pos="567"/>
              </w:tabs>
              <w:spacing w:after="0" w:line="240" w:lineRule="auto"/>
              <w:rPr>
                <w:rFonts w:ascii="Times New Roman" w:eastAsia="Times New Roman" w:hAnsi="Times New Roman"/>
                <w:noProof/>
                <w:lang w:eastAsia="sl-SI"/>
              </w:rPr>
            </w:pPr>
            <w:r>
              <w:rPr>
                <w:rFonts w:ascii="Times New Roman" w:eastAsia="Times New Roman" w:hAnsi="Times New Roman"/>
                <w:noProof/>
                <w:lang w:val="it-IT" w:eastAsia="sl-SI"/>
              </w:rPr>
              <w:t>Τηλ</w:t>
            </w:r>
            <w:r>
              <w:rPr>
                <w:rFonts w:ascii="Times New Roman" w:eastAsia="Times New Roman" w:hAnsi="Times New Roman"/>
                <w:noProof/>
                <w:lang w:eastAsia="sl-SI"/>
              </w:rPr>
              <w:t>: + 30 2100101613</w:t>
            </w:r>
          </w:p>
          <w:p>
            <w:pPr>
              <w:tabs>
                <w:tab w:val="left" w:pos="567"/>
              </w:tabs>
              <w:spacing w:after="0" w:line="240" w:lineRule="auto"/>
              <w:rPr>
                <w:rFonts w:ascii="Times New Roman" w:eastAsia="Times New Roman" w:hAnsi="Times New Roman"/>
                <w:b/>
                <w:noProof/>
                <w:lang w:eastAsia="sl-SI"/>
              </w:rPr>
            </w:pPr>
          </w:p>
        </w:tc>
        <w:tc>
          <w:tcPr>
            <w:tcW w:w="4680" w:type="dxa"/>
            <w:hideMark/>
          </w:tcPr>
          <w:p>
            <w:pPr>
              <w:numPr>
                <w:ilvl w:val="12"/>
                <w:numId w:val="0"/>
              </w:numPr>
              <w:tabs>
                <w:tab w:val="left" w:pos="567"/>
              </w:tabs>
              <w:spacing w:after="0" w:line="240" w:lineRule="auto"/>
              <w:ind w:right="-2"/>
              <w:rPr>
                <w:rFonts w:ascii="Times New Roman" w:eastAsia="Times New Roman" w:hAnsi="Times New Roman"/>
                <w:b/>
                <w:noProof/>
                <w:lang w:val="en-US" w:eastAsia="sl-SI"/>
              </w:rPr>
            </w:pPr>
            <w:r>
              <w:rPr>
                <w:rFonts w:ascii="Times New Roman" w:eastAsia="Times New Roman" w:hAnsi="Times New Roman"/>
                <w:b/>
                <w:noProof/>
                <w:lang w:val="en-US" w:eastAsia="sl-SI"/>
              </w:rPr>
              <w:t>Österreich</w:t>
            </w:r>
          </w:p>
          <w:p>
            <w:pPr>
              <w:numPr>
                <w:ilvl w:val="12"/>
                <w:numId w:val="0"/>
              </w:numPr>
              <w:tabs>
                <w:tab w:val="left" w:pos="567"/>
              </w:tabs>
              <w:spacing w:after="0" w:line="240" w:lineRule="auto"/>
              <w:ind w:right="-2"/>
              <w:rPr>
                <w:rFonts w:ascii="Times New Roman" w:eastAsia="Times New Roman" w:hAnsi="Times New Roman"/>
                <w:lang w:val="en-US"/>
              </w:rPr>
            </w:pPr>
            <w:r>
              <w:rPr>
                <w:rFonts w:ascii="Times New Roman" w:eastAsia="Times New Roman" w:hAnsi="Times New Roman"/>
                <w:lang w:val="en-US"/>
              </w:rPr>
              <w:t>KRKA Pharma GmbH, Wien</w:t>
            </w:r>
          </w:p>
          <w:p>
            <w:pPr>
              <w:numPr>
                <w:ilvl w:val="12"/>
                <w:numId w:val="0"/>
              </w:numPr>
              <w:tabs>
                <w:tab w:val="left" w:pos="567"/>
              </w:tabs>
              <w:spacing w:after="0" w:line="240" w:lineRule="auto"/>
              <w:ind w:right="-2"/>
              <w:rPr>
                <w:rFonts w:ascii="Times New Roman" w:eastAsia="Times New Roman" w:hAnsi="Times New Roman"/>
                <w:b/>
                <w:noProof/>
                <w:lang w:val="en-US" w:eastAsia="sl-SI"/>
              </w:rPr>
            </w:pPr>
            <w:r>
              <w:rPr>
                <w:rFonts w:ascii="Times New Roman" w:eastAsia="Times New Roman" w:hAnsi="Times New Roman"/>
                <w:lang w:val="en-US"/>
              </w:rPr>
              <w:t>Tel:</w:t>
            </w:r>
            <w:r>
              <w:rPr>
                <w:rFonts w:ascii="Times New Roman" w:eastAsia="Times New Roman" w:hAnsi="Times New Roman"/>
                <w:b/>
                <w:bCs/>
                <w:lang w:val="en-US"/>
              </w:rPr>
              <w:t xml:space="preserve"> + </w:t>
            </w:r>
            <w:r>
              <w:rPr>
                <w:rFonts w:ascii="Times New Roman" w:eastAsia="Times New Roman" w:hAnsi="Times New Roman"/>
                <w:lang w:val="en-US"/>
              </w:rPr>
              <w:t>43 (0)1 66 24 300</w:t>
            </w:r>
          </w:p>
        </w:tc>
      </w:tr>
      <w:tr>
        <w:tc>
          <w:tcPr>
            <w:tcW w:w="4680" w:type="dxa"/>
          </w:tcPr>
          <w:p>
            <w:pPr>
              <w:tabs>
                <w:tab w:val="left" w:pos="567"/>
              </w:tabs>
              <w:spacing w:after="0" w:line="240" w:lineRule="auto"/>
              <w:rPr>
                <w:rFonts w:ascii="Times New Roman" w:eastAsia="Times New Roman" w:hAnsi="Times New Roman"/>
                <w:b/>
                <w:noProof/>
                <w:lang w:val="it-IT" w:eastAsia="sl-SI"/>
              </w:rPr>
            </w:pPr>
            <w:r>
              <w:rPr>
                <w:rFonts w:ascii="Times New Roman" w:eastAsia="Times New Roman" w:hAnsi="Times New Roman"/>
                <w:b/>
                <w:noProof/>
                <w:lang w:val="it-IT" w:eastAsia="sl-SI"/>
              </w:rPr>
              <w:t>España</w:t>
            </w:r>
          </w:p>
          <w:p>
            <w:pPr>
              <w:tabs>
                <w:tab w:val="left" w:pos="567"/>
              </w:tabs>
              <w:spacing w:after="0" w:line="240" w:lineRule="auto"/>
              <w:rPr>
                <w:rFonts w:ascii="Times New Roman" w:eastAsia="Times New Roman" w:hAnsi="Times New Roman"/>
                <w:b/>
                <w:noProof/>
                <w:lang w:val="it-IT" w:eastAsia="sl-SI"/>
              </w:rPr>
            </w:pPr>
            <w:r>
              <w:rPr>
                <w:rFonts w:ascii="Times New Roman" w:eastAsia="Times New Roman" w:hAnsi="Times New Roman"/>
                <w:lang w:val="it-IT" w:eastAsia="sl-SI"/>
              </w:rPr>
              <w:t>KRKA Farmacéutica S.L.</w:t>
            </w:r>
          </w:p>
          <w:p>
            <w:pPr>
              <w:tabs>
                <w:tab w:val="left" w:pos="567"/>
              </w:tabs>
              <w:spacing w:after="0" w:line="240" w:lineRule="auto"/>
              <w:rPr>
                <w:rFonts w:ascii="Times New Roman" w:eastAsia="Times New Roman" w:hAnsi="Times New Roman"/>
                <w:b/>
                <w:noProof/>
                <w:lang w:val="it-IT" w:eastAsia="sl-SI"/>
              </w:rPr>
            </w:pPr>
            <w:r>
              <w:rPr>
                <w:rFonts w:ascii="Times New Roman" w:eastAsia="Times New Roman" w:hAnsi="Times New Roman"/>
                <w:noProof/>
                <w:lang w:val="it-IT" w:eastAsia="sl-SI"/>
              </w:rPr>
              <w:t>Tel:</w:t>
            </w:r>
            <w:r>
              <w:rPr>
                <w:rFonts w:ascii="Times New Roman" w:eastAsia="Times New Roman" w:hAnsi="Times New Roman"/>
                <w:b/>
                <w:noProof/>
                <w:lang w:val="it-IT" w:eastAsia="sl-SI"/>
              </w:rPr>
              <w:t xml:space="preserve"> + </w:t>
            </w:r>
            <w:r>
              <w:rPr>
                <w:rFonts w:ascii="Times New Roman" w:eastAsia="Times New Roman" w:hAnsi="Times New Roman"/>
                <w:noProof/>
                <w:lang w:val="it-IT" w:eastAsia="sl-SI"/>
              </w:rPr>
              <w:t>34 911 61 03 80</w:t>
            </w:r>
          </w:p>
          <w:p>
            <w:pPr>
              <w:tabs>
                <w:tab w:val="left" w:pos="567"/>
              </w:tabs>
              <w:spacing w:after="0" w:line="240" w:lineRule="auto"/>
              <w:rPr>
                <w:rFonts w:ascii="Times New Roman" w:eastAsia="Times New Roman" w:hAnsi="Times New Roman"/>
                <w:b/>
                <w:noProof/>
                <w:lang w:val="it-IT" w:eastAsia="sl-SI"/>
              </w:rPr>
            </w:pPr>
          </w:p>
        </w:tc>
        <w:tc>
          <w:tcPr>
            <w:tcW w:w="4680" w:type="dxa"/>
            <w:hideMark/>
          </w:tcPr>
          <w:p>
            <w:pPr>
              <w:numPr>
                <w:ilvl w:val="12"/>
                <w:numId w:val="0"/>
              </w:numPr>
              <w:tabs>
                <w:tab w:val="left" w:pos="567"/>
              </w:tabs>
              <w:spacing w:after="0" w:line="240" w:lineRule="auto"/>
              <w:ind w:right="-2"/>
              <w:rPr>
                <w:rFonts w:ascii="Times New Roman" w:eastAsia="Times New Roman" w:hAnsi="Times New Roman"/>
                <w:b/>
                <w:noProof/>
                <w:lang w:val="en-US" w:eastAsia="sl-SI"/>
              </w:rPr>
            </w:pPr>
            <w:r>
              <w:rPr>
                <w:rFonts w:ascii="Times New Roman" w:eastAsia="Times New Roman" w:hAnsi="Times New Roman"/>
                <w:b/>
                <w:noProof/>
                <w:lang w:val="en-US" w:eastAsia="sl-SI"/>
              </w:rPr>
              <w:t>Polska</w:t>
            </w:r>
          </w:p>
          <w:p>
            <w:pPr>
              <w:numPr>
                <w:ilvl w:val="12"/>
                <w:numId w:val="0"/>
              </w:numPr>
              <w:tabs>
                <w:tab w:val="left" w:pos="567"/>
              </w:tabs>
              <w:spacing w:after="0" w:line="240" w:lineRule="auto"/>
              <w:ind w:right="-2"/>
              <w:rPr>
                <w:rFonts w:ascii="Times New Roman" w:eastAsia="Times New Roman" w:hAnsi="Times New Roman"/>
                <w:b/>
                <w:noProof/>
                <w:lang w:val="en-US" w:eastAsia="sl-SI"/>
              </w:rPr>
            </w:pPr>
            <w:r>
              <w:rPr>
                <w:rFonts w:ascii="Times New Roman" w:eastAsia="Times New Roman" w:hAnsi="Times New Roman"/>
                <w:noProof/>
                <w:lang w:val="en-US" w:eastAsia="sl-SI"/>
              </w:rPr>
              <w:t>KRKA-POLSKA Sp. z o.o.</w:t>
            </w:r>
          </w:p>
          <w:p>
            <w:pPr>
              <w:numPr>
                <w:ilvl w:val="12"/>
                <w:numId w:val="0"/>
              </w:numPr>
              <w:tabs>
                <w:tab w:val="left" w:pos="567"/>
              </w:tabs>
              <w:spacing w:after="0" w:line="240" w:lineRule="auto"/>
              <w:ind w:right="-2"/>
              <w:rPr>
                <w:rFonts w:ascii="Times New Roman" w:eastAsia="Times New Roman" w:hAnsi="Times New Roman"/>
                <w:b/>
                <w:noProof/>
                <w:lang w:val="it-IT" w:eastAsia="sl-SI"/>
              </w:rPr>
            </w:pPr>
            <w:r>
              <w:rPr>
                <w:rFonts w:ascii="Times New Roman" w:eastAsia="Times New Roman" w:hAnsi="Times New Roman"/>
                <w:noProof/>
                <w:lang w:val="it-IT" w:eastAsia="sl-SI"/>
              </w:rPr>
              <w:t>Tel.:</w:t>
            </w:r>
            <w:r>
              <w:rPr>
                <w:rFonts w:ascii="Times New Roman" w:eastAsia="Times New Roman" w:hAnsi="Times New Roman"/>
                <w:b/>
                <w:noProof/>
                <w:lang w:val="it-IT" w:eastAsia="sl-SI"/>
              </w:rPr>
              <w:t xml:space="preserve"> + </w:t>
            </w:r>
            <w:r>
              <w:rPr>
                <w:rFonts w:ascii="Times New Roman" w:eastAsia="Times New Roman" w:hAnsi="Times New Roman"/>
                <w:noProof/>
                <w:lang w:val="it-IT" w:eastAsia="sl-SI"/>
              </w:rPr>
              <w:t>48 (0)22 573 7500</w:t>
            </w:r>
          </w:p>
        </w:tc>
      </w:tr>
      <w:tr>
        <w:tc>
          <w:tcPr>
            <w:tcW w:w="4680" w:type="dxa"/>
            <w:hideMark/>
          </w:tcPr>
          <w:p>
            <w:pPr>
              <w:tabs>
                <w:tab w:val="left" w:pos="567"/>
              </w:tabs>
              <w:spacing w:after="0" w:line="240" w:lineRule="auto"/>
              <w:rPr>
                <w:rFonts w:ascii="Times New Roman" w:eastAsia="Times New Roman" w:hAnsi="Times New Roman"/>
                <w:b/>
                <w:noProof/>
                <w:lang w:val="it-IT" w:eastAsia="sl-SI"/>
              </w:rPr>
            </w:pPr>
            <w:r>
              <w:rPr>
                <w:rFonts w:ascii="Times New Roman" w:eastAsia="Times New Roman" w:hAnsi="Times New Roman"/>
                <w:b/>
                <w:noProof/>
                <w:lang w:val="it-IT" w:eastAsia="sl-SI"/>
              </w:rPr>
              <w:t>France</w:t>
            </w:r>
          </w:p>
          <w:p>
            <w:pPr>
              <w:tabs>
                <w:tab w:val="left" w:pos="567"/>
              </w:tabs>
              <w:spacing w:after="0" w:line="240" w:lineRule="auto"/>
              <w:rPr>
                <w:rFonts w:ascii="Times New Roman" w:eastAsia="Times New Roman" w:hAnsi="Times New Roman"/>
                <w:b/>
                <w:noProof/>
                <w:lang w:val="it-IT" w:eastAsia="sl-SI"/>
              </w:rPr>
            </w:pPr>
            <w:r>
              <w:rPr>
                <w:rFonts w:ascii="Times New Roman" w:eastAsia="Times New Roman" w:hAnsi="Times New Roman"/>
                <w:lang w:val="it-IT" w:eastAsia="sl-SI"/>
              </w:rPr>
              <w:t>KRKA France Eurl</w:t>
            </w:r>
          </w:p>
          <w:p>
            <w:pPr>
              <w:tabs>
                <w:tab w:val="left" w:pos="567"/>
              </w:tabs>
              <w:spacing w:after="0" w:line="240" w:lineRule="auto"/>
              <w:rPr>
                <w:rFonts w:ascii="Times New Roman" w:eastAsia="Times New Roman" w:hAnsi="Times New Roman"/>
                <w:b/>
                <w:noProof/>
                <w:lang w:val="it-IT" w:eastAsia="sl-SI"/>
              </w:rPr>
            </w:pPr>
            <w:r>
              <w:rPr>
                <w:rFonts w:ascii="Times New Roman" w:eastAsia="Times New Roman" w:hAnsi="Times New Roman"/>
                <w:noProof/>
                <w:lang w:val="it-IT" w:eastAsia="sl-SI"/>
              </w:rPr>
              <w:t>Tél:</w:t>
            </w:r>
            <w:r>
              <w:rPr>
                <w:rFonts w:ascii="Times New Roman" w:eastAsia="Times New Roman" w:hAnsi="Times New Roman"/>
                <w:b/>
                <w:noProof/>
                <w:lang w:val="it-IT" w:eastAsia="sl-SI"/>
              </w:rPr>
              <w:t xml:space="preserve"> + </w:t>
            </w:r>
            <w:r>
              <w:rPr>
                <w:rFonts w:ascii="Times New Roman" w:eastAsia="Times New Roman" w:hAnsi="Times New Roman"/>
                <w:noProof/>
                <w:lang w:val="it-IT" w:eastAsia="sl-SI"/>
              </w:rPr>
              <w:t>33 (0)1 57 40 82 25</w:t>
            </w:r>
          </w:p>
        </w:tc>
        <w:tc>
          <w:tcPr>
            <w:tcW w:w="4680" w:type="dxa"/>
          </w:tcPr>
          <w:p>
            <w:pPr>
              <w:numPr>
                <w:ilvl w:val="12"/>
                <w:numId w:val="0"/>
              </w:numPr>
              <w:tabs>
                <w:tab w:val="left" w:pos="567"/>
              </w:tabs>
              <w:spacing w:after="0" w:line="240" w:lineRule="auto"/>
              <w:ind w:right="-2"/>
              <w:rPr>
                <w:rFonts w:ascii="Times New Roman" w:eastAsia="Times New Roman" w:hAnsi="Times New Roman"/>
                <w:b/>
                <w:noProof/>
                <w:lang w:val="it-IT" w:eastAsia="sl-SI"/>
              </w:rPr>
            </w:pPr>
            <w:r>
              <w:rPr>
                <w:rFonts w:ascii="Times New Roman" w:eastAsia="Times New Roman" w:hAnsi="Times New Roman"/>
                <w:b/>
                <w:noProof/>
                <w:lang w:val="it-IT" w:eastAsia="sl-SI"/>
              </w:rPr>
              <w:t>Portugal</w:t>
            </w:r>
          </w:p>
          <w:p>
            <w:pPr>
              <w:numPr>
                <w:ilvl w:val="12"/>
                <w:numId w:val="0"/>
              </w:numPr>
              <w:tabs>
                <w:tab w:val="left" w:pos="567"/>
              </w:tabs>
              <w:spacing w:after="0" w:line="240" w:lineRule="auto"/>
              <w:ind w:right="-2"/>
              <w:rPr>
                <w:rFonts w:ascii="Times New Roman" w:eastAsia="Times New Roman" w:hAnsi="Times New Roman"/>
                <w:b/>
                <w:noProof/>
                <w:lang w:val="it-IT" w:eastAsia="sl-SI"/>
              </w:rPr>
            </w:pPr>
            <w:r>
              <w:rPr>
                <w:rFonts w:ascii="Times New Roman" w:eastAsia="Times New Roman" w:hAnsi="Times New Roman"/>
                <w:bCs/>
                <w:lang w:val="it-IT" w:eastAsia="sl-SI"/>
              </w:rPr>
              <w:t>KRKA Farmacêutica, Sociedade Unipessoal Lda.</w:t>
            </w:r>
          </w:p>
          <w:p>
            <w:pPr>
              <w:numPr>
                <w:ilvl w:val="12"/>
                <w:numId w:val="0"/>
              </w:numPr>
              <w:tabs>
                <w:tab w:val="left" w:pos="567"/>
              </w:tabs>
              <w:spacing w:after="0" w:line="240" w:lineRule="auto"/>
              <w:ind w:right="-2"/>
              <w:rPr>
                <w:rFonts w:ascii="Times New Roman" w:eastAsia="Times New Roman" w:hAnsi="Times New Roman"/>
                <w:lang w:val="it-IT" w:eastAsia="sl-SI"/>
              </w:rPr>
            </w:pPr>
            <w:r>
              <w:rPr>
                <w:rFonts w:ascii="Times New Roman" w:eastAsia="Times New Roman" w:hAnsi="Times New Roman"/>
                <w:noProof/>
                <w:lang w:val="it-IT" w:eastAsia="sl-SI"/>
              </w:rPr>
              <w:t>Tel:</w:t>
            </w:r>
            <w:r>
              <w:rPr>
                <w:rFonts w:ascii="Times New Roman" w:eastAsia="Times New Roman" w:hAnsi="Times New Roman"/>
                <w:b/>
                <w:noProof/>
                <w:lang w:val="it-IT" w:eastAsia="sl-SI"/>
              </w:rPr>
              <w:t xml:space="preserve"> + </w:t>
            </w:r>
            <w:r>
              <w:rPr>
                <w:rFonts w:ascii="Times New Roman" w:eastAsia="Times New Roman" w:hAnsi="Times New Roman"/>
                <w:lang w:val="it-IT" w:eastAsia="sl-SI"/>
              </w:rPr>
              <w:t>351 (0)21 46 43 650</w:t>
            </w:r>
          </w:p>
          <w:p>
            <w:pPr>
              <w:numPr>
                <w:ilvl w:val="12"/>
                <w:numId w:val="0"/>
              </w:numPr>
              <w:tabs>
                <w:tab w:val="left" w:pos="567"/>
              </w:tabs>
              <w:spacing w:after="0" w:line="240" w:lineRule="auto"/>
              <w:ind w:right="-2"/>
              <w:rPr>
                <w:rFonts w:ascii="Times New Roman" w:eastAsia="Times New Roman" w:hAnsi="Times New Roman"/>
                <w:b/>
                <w:noProof/>
                <w:lang w:val="it-IT" w:eastAsia="sl-SI"/>
              </w:rPr>
            </w:pPr>
          </w:p>
        </w:tc>
      </w:tr>
      <w:tr>
        <w:tc>
          <w:tcPr>
            <w:tcW w:w="4680" w:type="dxa"/>
          </w:tcPr>
          <w:p>
            <w:pPr>
              <w:widowControl w:val="0"/>
              <w:tabs>
                <w:tab w:val="left" w:pos="567"/>
              </w:tabs>
              <w:spacing w:after="0" w:line="240" w:lineRule="auto"/>
              <w:rPr>
                <w:rFonts w:ascii="Times New Roman" w:eastAsia="Times New Roman" w:hAnsi="Times New Roman"/>
                <w:b/>
                <w:noProof/>
                <w:lang w:val="it-IT" w:eastAsia="sl-SI"/>
              </w:rPr>
            </w:pPr>
            <w:r>
              <w:rPr>
                <w:rFonts w:ascii="Times New Roman" w:eastAsia="Times New Roman" w:hAnsi="Times New Roman"/>
                <w:b/>
                <w:noProof/>
                <w:lang w:val="it-IT" w:eastAsia="sl-SI"/>
              </w:rPr>
              <w:t>Hrvatska</w:t>
            </w:r>
          </w:p>
          <w:p>
            <w:pPr>
              <w:widowControl w:val="0"/>
              <w:tabs>
                <w:tab w:val="left" w:pos="567"/>
              </w:tabs>
              <w:spacing w:after="0" w:line="240" w:lineRule="auto"/>
              <w:rPr>
                <w:rFonts w:ascii="Times New Roman" w:eastAsia="Times New Roman" w:hAnsi="Times New Roman"/>
                <w:noProof/>
                <w:lang w:val="it-IT" w:eastAsia="sl-SI"/>
              </w:rPr>
            </w:pPr>
            <w:r>
              <w:rPr>
                <w:rFonts w:ascii="Times New Roman" w:eastAsia="Times New Roman" w:hAnsi="Times New Roman"/>
                <w:noProof/>
                <w:lang w:val="it-IT" w:eastAsia="sl-SI"/>
              </w:rPr>
              <w:t>KRKA – FARMA d.o.o.</w:t>
            </w:r>
          </w:p>
          <w:p>
            <w:pPr>
              <w:tabs>
                <w:tab w:val="left" w:pos="567"/>
              </w:tabs>
              <w:spacing w:after="0" w:line="240" w:lineRule="auto"/>
              <w:rPr>
                <w:rFonts w:ascii="Times New Roman" w:eastAsia="Times New Roman" w:hAnsi="Times New Roman"/>
                <w:b/>
                <w:noProof/>
                <w:lang w:val="it-IT" w:eastAsia="sl-SI"/>
              </w:rPr>
            </w:pPr>
            <w:r>
              <w:rPr>
                <w:rFonts w:ascii="Times New Roman" w:eastAsia="Times New Roman" w:hAnsi="Times New Roman"/>
                <w:noProof/>
                <w:lang w:val="it-IT" w:eastAsia="sl-SI"/>
              </w:rPr>
              <w:t>Tel: + 385 1 6312 10</w:t>
            </w:r>
            <w:del w:id="7" w:author="MT" w:date="2025-04-02T09:51:00Z">
              <w:r>
                <w:rPr>
                  <w:rFonts w:ascii="Times New Roman" w:eastAsia="Times New Roman" w:hAnsi="Times New Roman"/>
                  <w:noProof/>
                  <w:lang w:val="it-IT" w:eastAsia="sl-SI"/>
                </w:rPr>
                <w:delText>0</w:delText>
              </w:r>
            </w:del>
            <w:ins w:id="8" w:author="MT" w:date="2025-04-02T09:51:00Z">
              <w:r>
                <w:rPr>
                  <w:rFonts w:ascii="Times New Roman" w:eastAsia="Times New Roman" w:hAnsi="Times New Roman"/>
                  <w:noProof/>
                  <w:lang w:val="it-IT" w:eastAsia="sl-SI"/>
                </w:rPr>
                <w:t>1</w:t>
              </w:r>
            </w:ins>
          </w:p>
          <w:p>
            <w:pPr>
              <w:tabs>
                <w:tab w:val="left" w:pos="567"/>
              </w:tabs>
              <w:spacing w:after="0" w:line="240" w:lineRule="auto"/>
              <w:rPr>
                <w:rFonts w:ascii="Times New Roman" w:eastAsia="Times New Roman" w:hAnsi="Times New Roman"/>
                <w:b/>
                <w:noProof/>
                <w:lang w:val="it-IT" w:eastAsia="sl-SI"/>
              </w:rPr>
            </w:pPr>
          </w:p>
        </w:tc>
        <w:tc>
          <w:tcPr>
            <w:tcW w:w="4680" w:type="dxa"/>
            <w:hideMark/>
          </w:tcPr>
          <w:p>
            <w:pPr>
              <w:numPr>
                <w:ilvl w:val="12"/>
                <w:numId w:val="0"/>
              </w:numPr>
              <w:tabs>
                <w:tab w:val="left" w:pos="567"/>
              </w:tabs>
              <w:spacing w:after="0" w:line="240" w:lineRule="auto"/>
              <w:ind w:right="-2"/>
              <w:rPr>
                <w:rFonts w:ascii="Times New Roman" w:eastAsia="Times New Roman" w:hAnsi="Times New Roman"/>
                <w:b/>
                <w:noProof/>
                <w:lang w:val="en-US" w:eastAsia="sl-SI"/>
              </w:rPr>
            </w:pPr>
            <w:r>
              <w:rPr>
                <w:rFonts w:ascii="Times New Roman" w:eastAsia="Times New Roman" w:hAnsi="Times New Roman"/>
                <w:b/>
                <w:noProof/>
                <w:lang w:val="en-US" w:eastAsia="sl-SI"/>
              </w:rPr>
              <w:t>România</w:t>
            </w:r>
          </w:p>
          <w:p>
            <w:pPr>
              <w:tabs>
                <w:tab w:val="left" w:pos="567"/>
              </w:tabs>
              <w:spacing w:after="0" w:line="240" w:lineRule="auto"/>
              <w:rPr>
                <w:rFonts w:ascii="Times New Roman" w:eastAsia="Times New Roman" w:hAnsi="Times New Roman"/>
                <w:bCs/>
                <w:lang w:val="en-US"/>
              </w:rPr>
            </w:pPr>
            <w:r>
              <w:rPr>
                <w:rFonts w:ascii="Times New Roman" w:eastAsia="Times New Roman" w:hAnsi="Times New Roman"/>
                <w:bCs/>
                <w:lang w:val="en-US"/>
              </w:rPr>
              <w:t>KRKA Romania S.R.L., Bucharest</w:t>
            </w:r>
          </w:p>
          <w:p>
            <w:pPr>
              <w:numPr>
                <w:ilvl w:val="12"/>
                <w:numId w:val="0"/>
              </w:numPr>
              <w:tabs>
                <w:tab w:val="left" w:pos="567"/>
              </w:tabs>
              <w:spacing w:after="0" w:line="240" w:lineRule="auto"/>
              <w:ind w:right="-2"/>
              <w:rPr>
                <w:rFonts w:ascii="Times New Roman" w:eastAsia="Times New Roman" w:hAnsi="Times New Roman"/>
                <w:b/>
                <w:noProof/>
                <w:lang w:val="en-US" w:eastAsia="sl-SI"/>
              </w:rPr>
            </w:pPr>
            <w:r>
              <w:rPr>
                <w:rFonts w:ascii="Times New Roman" w:eastAsia="Times New Roman" w:hAnsi="Times New Roman"/>
                <w:noProof/>
                <w:lang w:val="en-US" w:eastAsia="sl-SI"/>
              </w:rPr>
              <w:t>Tel:</w:t>
            </w:r>
            <w:r>
              <w:rPr>
                <w:rFonts w:ascii="Times New Roman" w:eastAsia="Times New Roman" w:hAnsi="Times New Roman"/>
                <w:b/>
                <w:noProof/>
                <w:lang w:val="en-US" w:eastAsia="sl-SI"/>
              </w:rPr>
              <w:t xml:space="preserve"> + </w:t>
            </w:r>
            <w:r>
              <w:rPr>
                <w:rFonts w:ascii="Times New Roman" w:eastAsia="Times New Roman" w:hAnsi="Times New Roman"/>
                <w:lang w:val="en-US" w:eastAsia="sl-SI"/>
              </w:rPr>
              <w:t>4 021 310 66 05</w:t>
            </w:r>
          </w:p>
        </w:tc>
      </w:tr>
      <w:tr>
        <w:tc>
          <w:tcPr>
            <w:tcW w:w="4680" w:type="dxa"/>
          </w:tcPr>
          <w:p>
            <w:pPr>
              <w:tabs>
                <w:tab w:val="left" w:pos="567"/>
              </w:tabs>
              <w:spacing w:after="0" w:line="240" w:lineRule="auto"/>
              <w:rPr>
                <w:rFonts w:ascii="Times New Roman" w:eastAsia="Times New Roman" w:hAnsi="Times New Roman"/>
                <w:b/>
                <w:noProof/>
                <w:lang w:val="en-US" w:eastAsia="sl-SI"/>
              </w:rPr>
            </w:pPr>
            <w:r>
              <w:rPr>
                <w:rFonts w:ascii="Times New Roman" w:eastAsia="Times New Roman" w:hAnsi="Times New Roman"/>
                <w:b/>
                <w:noProof/>
                <w:lang w:val="en-US" w:eastAsia="sl-SI"/>
              </w:rPr>
              <w:br w:type="page"/>
              <w:t>Ireland</w:t>
            </w:r>
          </w:p>
          <w:p>
            <w:pPr>
              <w:tabs>
                <w:tab w:val="left" w:pos="567"/>
              </w:tabs>
              <w:spacing w:after="0" w:line="240" w:lineRule="auto"/>
              <w:rPr>
                <w:rFonts w:ascii="Times New Roman" w:eastAsia="Times New Roman" w:hAnsi="Times New Roman"/>
                <w:noProof/>
                <w:lang w:val="en-US" w:eastAsia="sl-SI"/>
              </w:rPr>
            </w:pPr>
            <w:r>
              <w:rPr>
                <w:rFonts w:ascii="Times New Roman" w:eastAsia="Times New Roman" w:hAnsi="Times New Roman"/>
                <w:noProof/>
                <w:lang w:val="en-US" w:eastAsia="sl-SI"/>
              </w:rPr>
              <w:t>KRKA Pharma Dublin, Ltd.</w:t>
            </w:r>
          </w:p>
          <w:p>
            <w:pPr>
              <w:tabs>
                <w:tab w:val="left" w:pos="567"/>
              </w:tabs>
              <w:spacing w:after="0" w:line="240" w:lineRule="auto"/>
              <w:rPr>
                <w:rFonts w:ascii="Times New Roman" w:eastAsia="Times New Roman" w:hAnsi="Times New Roman"/>
                <w:b/>
                <w:noProof/>
                <w:lang w:val="it-IT" w:eastAsia="sl-SI"/>
              </w:rPr>
            </w:pPr>
            <w:r>
              <w:rPr>
                <w:rFonts w:ascii="Times New Roman" w:eastAsia="Times New Roman" w:hAnsi="Times New Roman"/>
                <w:noProof/>
                <w:lang w:val="it-IT" w:eastAsia="sl-SI"/>
              </w:rPr>
              <w:t>Tel:</w:t>
            </w:r>
            <w:r>
              <w:rPr>
                <w:rFonts w:ascii="Times New Roman" w:eastAsia="Times New Roman" w:hAnsi="Times New Roman"/>
                <w:b/>
                <w:noProof/>
                <w:lang w:val="it-IT" w:eastAsia="sl-SI"/>
              </w:rPr>
              <w:t xml:space="preserve"> + </w:t>
            </w:r>
            <w:r>
              <w:rPr>
                <w:rFonts w:ascii="Times New Roman" w:eastAsia="Times New Roman" w:hAnsi="Times New Roman"/>
                <w:noProof/>
                <w:lang w:val="it-IT" w:eastAsia="sl-SI"/>
              </w:rPr>
              <w:t>353 1 413 3710</w:t>
            </w:r>
          </w:p>
          <w:p>
            <w:pPr>
              <w:tabs>
                <w:tab w:val="left" w:pos="567"/>
              </w:tabs>
              <w:spacing w:after="0" w:line="240" w:lineRule="auto"/>
              <w:rPr>
                <w:rFonts w:ascii="Times New Roman" w:eastAsia="Times New Roman" w:hAnsi="Times New Roman"/>
                <w:b/>
                <w:noProof/>
                <w:lang w:val="it-IT" w:eastAsia="sl-SI"/>
              </w:rPr>
            </w:pPr>
          </w:p>
        </w:tc>
        <w:tc>
          <w:tcPr>
            <w:tcW w:w="4680" w:type="dxa"/>
            <w:hideMark/>
          </w:tcPr>
          <w:p>
            <w:pPr>
              <w:numPr>
                <w:ilvl w:val="12"/>
                <w:numId w:val="0"/>
              </w:numPr>
              <w:tabs>
                <w:tab w:val="left" w:pos="567"/>
              </w:tabs>
              <w:spacing w:after="0" w:line="240" w:lineRule="auto"/>
              <w:ind w:right="-2"/>
              <w:rPr>
                <w:rFonts w:ascii="Times New Roman" w:eastAsia="Times New Roman" w:hAnsi="Times New Roman"/>
                <w:b/>
                <w:noProof/>
                <w:lang w:val="it-IT" w:eastAsia="sl-SI"/>
              </w:rPr>
            </w:pPr>
            <w:r>
              <w:rPr>
                <w:rFonts w:ascii="Times New Roman" w:eastAsia="Times New Roman" w:hAnsi="Times New Roman"/>
                <w:b/>
                <w:noProof/>
                <w:lang w:val="it-IT" w:eastAsia="sl-SI"/>
              </w:rPr>
              <w:t>Slovenija</w:t>
            </w:r>
          </w:p>
          <w:p>
            <w:pPr>
              <w:numPr>
                <w:ilvl w:val="12"/>
                <w:numId w:val="0"/>
              </w:numPr>
              <w:tabs>
                <w:tab w:val="left" w:pos="567"/>
              </w:tabs>
              <w:spacing w:after="0" w:line="240" w:lineRule="auto"/>
              <w:ind w:right="-2"/>
              <w:rPr>
                <w:rFonts w:ascii="Times New Roman" w:eastAsia="Times New Roman" w:hAnsi="Times New Roman"/>
                <w:b/>
                <w:noProof/>
                <w:lang w:val="it-IT" w:eastAsia="sl-SI"/>
              </w:rPr>
            </w:pPr>
            <w:r>
              <w:rPr>
                <w:rFonts w:ascii="Times New Roman" w:eastAsia="Times New Roman" w:hAnsi="Times New Roman"/>
                <w:lang w:val="it-IT" w:eastAsia="sl-SI"/>
              </w:rPr>
              <w:t>KRKA, d.d., Novo mesto</w:t>
            </w:r>
          </w:p>
          <w:p>
            <w:pPr>
              <w:numPr>
                <w:ilvl w:val="12"/>
                <w:numId w:val="0"/>
              </w:numPr>
              <w:tabs>
                <w:tab w:val="left" w:pos="567"/>
              </w:tabs>
              <w:spacing w:after="0" w:line="240" w:lineRule="auto"/>
              <w:ind w:right="-2"/>
              <w:rPr>
                <w:rFonts w:ascii="Times New Roman" w:eastAsia="Times New Roman" w:hAnsi="Times New Roman"/>
                <w:b/>
                <w:noProof/>
                <w:lang w:val="it-IT" w:eastAsia="sl-SI"/>
              </w:rPr>
            </w:pPr>
            <w:r>
              <w:rPr>
                <w:rFonts w:ascii="Times New Roman" w:eastAsia="Times New Roman" w:hAnsi="Times New Roman"/>
                <w:noProof/>
                <w:lang w:val="it-IT" w:eastAsia="sl-SI"/>
              </w:rPr>
              <w:t>Tel:</w:t>
            </w:r>
            <w:r>
              <w:rPr>
                <w:rFonts w:ascii="Times New Roman" w:eastAsia="Times New Roman" w:hAnsi="Times New Roman"/>
                <w:b/>
                <w:noProof/>
                <w:lang w:val="it-IT" w:eastAsia="sl-SI"/>
              </w:rPr>
              <w:t xml:space="preserve"> + </w:t>
            </w:r>
            <w:r>
              <w:rPr>
                <w:rFonts w:ascii="Times New Roman" w:eastAsia="Times New Roman" w:hAnsi="Times New Roman"/>
                <w:noProof/>
                <w:lang w:val="it-IT" w:eastAsia="sl-SI"/>
              </w:rPr>
              <w:t>386 (0) 1 47 51 100</w:t>
            </w:r>
          </w:p>
        </w:tc>
      </w:tr>
      <w:tr>
        <w:tc>
          <w:tcPr>
            <w:tcW w:w="4680" w:type="dxa"/>
          </w:tcPr>
          <w:p>
            <w:pPr>
              <w:tabs>
                <w:tab w:val="left" w:pos="567"/>
              </w:tabs>
              <w:spacing w:after="0" w:line="240" w:lineRule="auto"/>
              <w:rPr>
                <w:rFonts w:ascii="Times New Roman" w:eastAsia="Times New Roman" w:hAnsi="Times New Roman"/>
                <w:b/>
                <w:noProof/>
                <w:lang w:val="it-IT" w:eastAsia="sl-SI"/>
              </w:rPr>
            </w:pPr>
            <w:r>
              <w:rPr>
                <w:rFonts w:ascii="Times New Roman" w:eastAsia="Times New Roman" w:hAnsi="Times New Roman"/>
                <w:b/>
                <w:noProof/>
                <w:lang w:val="it-IT" w:eastAsia="sl-SI"/>
              </w:rPr>
              <w:t>Ísland</w:t>
            </w:r>
          </w:p>
          <w:p>
            <w:pPr>
              <w:tabs>
                <w:tab w:val="left" w:pos="567"/>
              </w:tabs>
              <w:spacing w:after="0" w:line="240" w:lineRule="auto"/>
              <w:rPr>
                <w:rFonts w:ascii="Times New Roman" w:eastAsia="Times New Roman" w:hAnsi="Times New Roman"/>
                <w:noProof/>
                <w:lang w:val="it-IT" w:eastAsia="sl-SI"/>
              </w:rPr>
            </w:pPr>
            <w:r>
              <w:rPr>
                <w:rFonts w:ascii="Times New Roman" w:eastAsia="Times New Roman" w:hAnsi="Times New Roman"/>
                <w:szCs w:val="20"/>
                <w:lang w:val="it-IT"/>
              </w:rPr>
              <w:t>LYFIS ehf.</w:t>
            </w:r>
          </w:p>
          <w:p>
            <w:pPr>
              <w:tabs>
                <w:tab w:val="left" w:pos="567"/>
              </w:tabs>
              <w:spacing w:after="0" w:line="240" w:lineRule="auto"/>
              <w:rPr>
                <w:rFonts w:ascii="Times New Roman" w:eastAsia="Times New Roman" w:hAnsi="Times New Roman"/>
                <w:b/>
                <w:noProof/>
                <w:lang w:val="it-IT" w:eastAsia="sl-SI"/>
              </w:rPr>
            </w:pPr>
            <w:r>
              <w:rPr>
                <w:rFonts w:ascii="Times New Roman" w:eastAsia="Times New Roman" w:hAnsi="Times New Roman"/>
                <w:szCs w:val="20"/>
                <w:lang w:val="it-IT"/>
              </w:rPr>
              <w:t>Sími:</w:t>
            </w:r>
            <w:r>
              <w:rPr>
                <w:rFonts w:ascii="Times New Roman" w:eastAsia="Times New Roman" w:hAnsi="Times New Roman"/>
                <w:b/>
                <w:bCs/>
                <w:szCs w:val="20"/>
                <w:lang w:val="it-IT"/>
              </w:rPr>
              <w:t xml:space="preserve"> + </w:t>
            </w:r>
            <w:r>
              <w:rPr>
                <w:rFonts w:ascii="Times New Roman" w:eastAsia="Times New Roman" w:hAnsi="Times New Roman"/>
                <w:szCs w:val="20"/>
                <w:lang w:val="it-IT"/>
              </w:rPr>
              <w:t>354 534 3500</w:t>
            </w:r>
          </w:p>
          <w:p>
            <w:pPr>
              <w:tabs>
                <w:tab w:val="left" w:pos="567"/>
              </w:tabs>
              <w:spacing w:after="0" w:line="240" w:lineRule="auto"/>
              <w:rPr>
                <w:rFonts w:ascii="Times New Roman" w:eastAsia="Times New Roman" w:hAnsi="Times New Roman"/>
                <w:b/>
                <w:noProof/>
                <w:lang w:val="it-IT" w:eastAsia="sl-SI"/>
              </w:rPr>
            </w:pPr>
          </w:p>
        </w:tc>
        <w:tc>
          <w:tcPr>
            <w:tcW w:w="4680" w:type="dxa"/>
            <w:hideMark/>
          </w:tcPr>
          <w:p>
            <w:pPr>
              <w:numPr>
                <w:ilvl w:val="12"/>
                <w:numId w:val="0"/>
              </w:numPr>
              <w:tabs>
                <w:tab w:val="left" w:pos="567"/>
              </w:tabs>
              <w:spacing w:after="0" w:line="240" w:lineRule="auto"/>
              <w:ind w:right="-2"/>
              <w:rPr>
                <w:rFonts w:ascii="Times New Roman" w:eastAsia="Times New Roman" w:hAnsi="Times New Roman"/>
                <w:b/>
                <w:noProof/>
                <w:lang w:val="it-IT" w:eastAsia="sl-SI"/>
              </w:rPr>
            </w:pPr>
            <w:r>
              <w:rPr>
                <w:rFonts w:ascii="Times New Roman" w:eastAsia="Times New Roman" w:hAnsi="Times New Roman"/>
                <w:b/>
                <w:noProof/>
                <w:lang w:val="it-IT" w:eastAsia="sl-SI"/>
              </w:rPr>
              <w:t>Slovenská republika</w:t>
            </w:r>
          </w:p>
          <w:p>
            <w:pPr>
              <w:numPr>
                <w:ilvl w:val="12"/>
                <w:numId w:val="0"/>
              </w:numPr>
              <w:tabs>
                <w:tab w:val="left" w:pos="567"/>
              </w:tabs>
              <w:spacing w:after="0" w:line="240" w:lineRule="auto"/>
              <w:ind w:right="-2"/>
              <w:rPr>
                <w:rFonts w:ascii="Times New Roman" w:eastAsia="Times New Roman" w:hAnsi="Times New Roman"/>
                <w:noProof/>
                <w:lang w:val="it-IT" w:eastAsia="sl-SI"/>
              </w:rPr>
            </w:pPr>
            <w:r>
              <w:rPr>
                <w:rFonts w:ascii="Times New Roman" w:eastAsia="Times New Roman" w:hAnsi="Times New Roman"/>
                <w:color w:val="000000"/>
                <w:lang w:val="it-IT"/>
              </w:rPr>
              <w:t>KRKA Slovensko, s.r.o.</w:t>
            </w:r>
          </w:p>
          <w:p>
            <w:pPr>
              <w:numPr>
                <w:ilvl w:val="12"/>
                <w:numId w:val="0"/>
              </w:numPr>
              <w:tabs>
                <w:tab w:val="left" w:pos="567"/>
              </w:tabs>
              <w:spacing w:after="0" w:line="240" w:lineRule="auto"/>
              <w:ind w:right="-2"/>
              <w:rPr>
                <w:rFonts w:ascii="Times New Roman" w:eastAsia="Times New Roman" w:hAnsi="Times New Roman"/>
                <w:b/>
                <w:noProof/>
                <w:lang w:val="it-IT" w:eastAsia="sl-SI"/>
              </w:rPr>
            </w:pPr>
            <w:r>
              <w:rPr>
                <w:rFonts w:ascii="Times New Roman" w:eastAsia="Times New Roman" w:hAnsi="Times New Roman"/>
                <w:noProof/>
                <w:lang w:val="it-IT" w:eastAsia="sl-SI"/>
              </w:rPr>
              <w:t>Tel:</w:t>
            </w:r>
            <w:r>
              <w:rPr>
                <w:rFonts w:ascii="Times New Roman" w:eastAsia="Times New Roman" w:hAnsi="Times New Roman"/>
                <w:b/>
                <w:noProof/>
                <w:lang w:val="it-IT" w:eastAsia="sl-SI"/>
              </w:rPr>
              <w:t xml:space="preserve"> + </w:t>
            </w:r>
            <w:r>
              <w:rPr>
                <w:rFonts w:ascii="Times New Roman" w:eastAsia="Times New Roman" w:hAnsi="Times New Roman"/>
                <w:noProof/>
                <w:lang w:val="it-IT" w:eastAsia="sl-SI"/>
              </w:rPr>
              <w:t>421 (0) 2 571 04 501</w:t>
            </w:r>
          </w:p>
        </w:tc>
      </w:tr>
      <w:tr>
        <w:tc>
          <w:tcPr>
            <w:tcW w:w="4680" w:type="dxa"/>
            <w:hideMark/>
          </w:tcPr>
          <w:p>
            <w:pPr>
              <w:tabs>
                <w:tab w:val="left" w:pos="567"/>
              </w:tabs>
              <w:spacing w:after="0" w:line="240" w:lineRule="auto"/>
              <w:rPr>
                <w:rFonts w:ascii="Times New Roman" w:eastAsia="Times New Roman" w:hAnsi="Times New Roman"/>
                <w:b/>
                <w:noProof/>
                <w:lang w:val="it-IT" w:eastAsia="sl-SI"/>
              </w:rPr>
            </w:pPr>
            <w:r>
              <w:rPr>
                <w:rFonts w:ascii="Times New Roman" w:eastAsia="Times New Roman" w:hAnsi="Times New Roman"/>
                <w:b/>
                <w:noProof/>
                <w:lang w:val="it-IT" w:eastAsia="sl-SI"/>
              </w:rPr>
              <w:t>Italia</w:t>
            </w:r>
          </w:p>
          <w:p>
            <w:pPr>
              <w:tabs>
                <w:tab w:val="left" w:pos="567"/>
              </w:tabs>
              <w:spacing w:after="0" w:line="240" w:lineRule="auto"/>
              <w:rPr>
                <w:rFonts w:ascii="Times New Roman" w:eastAsia="Times New Roman" w:hAnsi="Times New Roman"/>
                <w:b/>
                <w:noProof/>
                <w:lang w:val="it-IT" w:eastAsia="sl-SI"/>
              </w:rPr>
            </w:pPr>
            <w:r>
              <w:rPr>
                <w:rFonts w:ascii="Times New Roman" w:eastAsia="Times New Roman" w:hAnsi="Times New Roman"/>
                <w:lang w:val="it-IT" w:eastAsia="sl-SI"/>
              </w:rPr>
              <w:t>KRKA Farmaceutici Milano S.r.l.</w:t>
            </w:r>
          </w:p>
          <w:p>
            <w:pPr>
              <w:tabs>
                <w:tab w:val="left" w:pos="567"/>
              </w:tabs>
              <w:spacing w:after="0" w:line="240" w:lineRule="auto"/>
              <w:rPr>
                <w:rFonts w:ascii="Times New Roman" w:eastAsia="Times New Roman" w:hAnsi="Times New Roman"/>
                <w:b/>
                <w:noProof/>
                <w:lang w:val="it-IT" w:eastAsia="sl-SI"/>
              </w:rPr>
            </w:pPr>
            <w:r>
              <w:rPr>
                <w:rFonts w:ascii="Times New Roman" w:eastAsia="Times New Roman" w:hAnsi="Times New Roman"/>
                <w:noProof/>
                <w:lang w:val="it-IT" w:eastAsia="sl-SI"/>
              </w:rPr>
              <w:t>Tel:</w:t>
            </w:r>
            <w:r>
              <w:rPr>
                <w:rFonts w:ascii="Times New Roman" w:eastAsia="Times New Roman" w:hAnsi="Times New Roman"/>
                <w:b/>
                <w:noProof/>
                <w:lang w:val="it-IT" w:eastAsia="sl-SI"/>
              </w:rPr>
              <w:t xml:space="preserve"> + </w:t>
            </w:r>
            <w:r>
              <w:rPr>
                <w:rFonts w:ascii="Times New Roman" w:eastAsia="Times New Roman" w:hAnsi="Times New Roman"/>
                <w:lang w:val="it-IT" w:eastAsia="sl-SI"/>
              </w:rPr>
              <w:t>39 02 3300 8841</w:t>
            </w:r>
          </w:p>
        </w:tc>
        <w:tc>
          <w:tcPr>
            <w:tcW w:w="4680" w:type="dxa"/>
          </w:tcPr>
          <w:p>
            <w:pPr>
              <w:numPr>
                <w:ilvl w:val="12"/>
                <w:numId w:val="0"/>
              </w:numPr>
              <w:tabs>
                <w:tab w:val="left" w:pos="567"/>
              </w:tabs>
              <w:spacing w:after="0" w:line="240" w:lineRule="auto"/>
              <w:ind w:right="-2"/>
              <w:rPr>
                <w:rFonts w:ascii="Times New Roman" w:eastAsia="Times New Roman" w:hAnsi="Times New Roman"/>
                <w:b/>
                <w:noProof/>
                <w:lang w:val="it-IT" w:eastAsia="sl-SI"/>
              </w:rPr>
            </w:pPr>
            <w:r>
              <w:rPr>
                <w:rFonts w:ascii="Times New Roman" w:eastAsia="Times New Roman" w:hAnsi="Times New Roman"/>
                <w:b/>
                <w:noProof/>
                <w:lang w:val="it-IT" w:eastAsia="sl-SI"/>
              </w:rPr>
              <w:t>Suomi/Finland</w:t>
            </w:r>
          </w:p>
          <w:p>
            <w:pPr>
              <w:numPr>
                <w:ilvl w:val="12"/>
                <w:numId w:val="0"/>
              </w:numPr>
              <w:tabs>
                <w:tab w:val="left" w:pos="567"/>
              </w:tabs>
              <w:spacing w:after="0" w:line="240" w:lineRule="auto"/>
              <w:ind w:right="-2"/>
              <w:rPr>
                <w:rFonts w:ascii="Times New Roman" w:eastAsia="Times New Roman" w:hAnsi="Times New Roman"/>
                <w:b/>
                <w:noProof/>
                <w:lang w:val="it-IT" w:eastAsia="sl-SI"/>
              </w:rPr>
            </w:pPr>
            <w:r>
              <w:rPr>
                <w:rFonts w:ascii="Times New Roman" w:eastAsia="Times New Roman" w:hAnsi="Times New Roman"/>
                <w:noProof/>
                <w:lang w:val="it-IT" w:eastAsia="sl-SI"/>
              </w:rPr>
              <w:t>KRKA Finland Oy</w:t>
            </w:r>
          </w:p>
          <w:p>
            <w:pPr>
              <w:numPr>
                <w:ilvl w:val="12"/>
                <w:numId w:val="0"/>
              </w:numPr>
              <w:tabs>
                <w:tab w:val="left" w:pos="567"/>
              </w:tabs>
              <w:spacing w:after="0" w:line="240" w:lineRule="auto"/>
              <w:ind w:right="-2"/>
              <w:rPr>
                <w:rFonts w:ascii="Times New Roman" w:eastAsia="Times New Roman" w:hAnsi="Times New Roman"/>
                <w:b/>
                <w:noProof/>
                <w:lang w:val="it-IT" w:eastAsia="sl-SI"/>
              </w:rPr>
            </w:pPr>
            <w:r>
              <w:rPr>
                <w:rFonts w:ascii="Times New Roman" w:eastAsia="Times New Roman" w:hAnsi="Times New Roman"/>
                <w:noProof/>
                <w:lang w:val="it-IT" w:eastAsia="sl-SI"/>
              </w:rPr>
              <w:t>Puh/Tel:</w:t>
            </w:r>
            <w:r>
              <w:rPr>
                <w:rFonts w:ascii="Times New Roman" w:eastAsia="Times New Roman" w:hAnsi="Times New Roman"/>
                <w:b/>
                <w:noProof/>
                <w:lang w:val="it-IT" w:eastAsia="sl-SI"/>
              </w:rPr>
              <w:t xml:space="preserve"> </w:t>
            </w:r>
            <w:r>
              <w:rPr>
                <w:rFonts w:ascii="Times New Roman" w:eastAsia="Times New Roman" w:hAnsi="Times New Roman"/>
                <w:noProof/>
                <w:lang w:val="it-IT" w:eastAsia="sl-SI"/>
              </w:rPr>
              <w:t>+ 358 20 754 5330</w:t>
            </w:r>
          </w:p>
          <w:p>
            <w:pPr>
              <w:numPr>
                <w:ilvl w:val="12"/>
                <w:numId w:val="0"/>
              </w:numPr>
              <w:tabs>
                <w:tab w:val="left" w:pos="567"/>
              </w:tabs>
              <w:spacing w:after="0" w:line="240" w:lineRule="auto"/>
              <w:ind w:right="-2"/>
              <w:rPr>
                <w:rFonts w:ascii="Times New Roman" w:eastAsia="Times New Roman" w:hAnsi="Times New Roman"/>
                <w:b/>
                <w:noProof/>
                <w:lang w:val="it-IT" w:eastAsia="sl-SI"/>
              </w:rPr>
            </w:pPr>
          </w:p>
        </w:tc>
      </w:tr>
      <w:tr>
        <w:tc>
          <w:tcPr>
            <w:tcW w:w="4680" w:type="dxa"/>
          </w:tcPr>
          <w:p>
            <w:pPr>
              <w:tabs>
                <w:tab w:val="left" w:pos="567"/>
              </w:tabs>
              <w:spacing w:after="0" w:line="240" w:lineRule="auto"/>
              <w:rPr>
                <w:rFonts w:ascii="Times New Roman" w:eastAsia="Times New Roman" w:hAnsi="Times New Roman"/>
                <w:b/>
                <w:noProof/>
                <w:lang w:val="en-US" w:eastAsia="sl-SI"/>
              </w:rPr>
            </w:pPr>
            <w:r>
              <w:rPr>
                <w:rFonts w:ascii="Times New Roman" w:eastAsia="Times New Roman" w:hAnsi="Times New Roman"/>
                <w:b/>
                <w:noProof/>
                <w:lang w:val="it-IT" w:eastAsia="sl-SI"/>
              </w:rPr>
              <w:t>Κύπρος</w:t>
            </w:r>
          </w:p>
          <w:p>
            <w:pPr>
              <w:tabs>
                <w:tab w:val="left" w:pos="567"/>
              </w:tabs>
              <w:spacing w:after="0" w:line="240" w:lineRule="auto"/>
              <w:rPr>
                <w:rFonts w:ascii="Times New Roman" w:eastAsia="Times New Roman" w:hAnsi="Times New Roman"/>
                <w:lang w:val="en-US" w:eastAsia="sl-SI"/>
              </w:rPr>
            </w:pPr>
            <w:r>
              <w:rPr>
                <w:rFonts w:ascii="Times New Roman" w:eastAsia="Times New Roman" w:hAnsi="Times New Roman"/>
                <w:lang w:val="en-US" w:eastAsia="sl-SI"/>
              </w:rPr>
              <w:t>KI.PA. (PHARMACAL) LIMITED</w:t>
            </w:r>
          </w:p>
          <w:p>
            <w:pPr>
              <w:tabs>
                <w:tab w:val="left" w:pos="567"/>
              </w:tabs>
              <w:spacing w:after="0" w:line="240" w:lineRule="auto"/>
              <w:rPr>
                <w:rFonts w:ascii="Times New Roman" w:eastAsia="Times New Roman" w:hAnsi="Times New Roman"/>
                <w:noProof/>
                <w:lang w:val="en-US" w:eastAsia="sl-SI"/>
              </w:rPr>
            </w:pPr>
            <w:r>
              <w:rPr>
                <w:rFonts w:ascii="Times New Roman" w:eastAsia="Times New Roman" w:hAnsi="Times New Roman"/>
                <w:noProof/>
                <w:lang w:val="it-IT" w:eastAsia="sl-SI"/>
              </w:rPr>
              <w:t>Τηλ</w:t>
            </w:r>
            <w:r>
              <w:rPr>
                <w:rFonts w:ascii="Times New Roman" w:eastAsia="Times New Roman" w:hAnsi="Times New Roman"/>
                <w:noProof/>
                <w:lang w:val="en-US" w:eastAsia="sl-SI"/>
              </w:rPr>
              <w:t>:</w:t>
            </w:r>
            <w:r>
              <w:rPr>
                <w:rFonts w:ascii="Times New Roman" w:eastAsia="Times New Roman" w:hAnsi="Times New Roman"/>
                <w:b/>
                <w:noProof/>
                <w:lang w:val="en-US" w:eastAsia="sl-SI"/>
              </w:rPr>
              <w:t xml:space="preserve"> + </w:t>
            </w:r>
            <w:r>
              <w:rPr>
                <w:rFonts w:ascii="Times New Roman" w:eastAsia="Times New Roman" w:hAnsi="Times New Roman"/>
                <w:noProof/>
                <w:lang w:val="en-US" w:eastAsia="sl-SI"/>
              </w:rPr>
              <w:t>357 24 651 882</w:t>
            </w:r>
          </w:p>
          <w:p>
            <w:pPr>
              <w:spacing w:after="0" w:line="240" w:lineRule="auto"/>
              <w:rPr>
                <w:rFonts w:ascii="Times New Roman" w:hAnsi="Times New Roman"/>
                <w:b/>
                <w:noProof/>
                <w:lang w:val="en-US" w:eastAsia="x-none"/>
              </w:rPr>
            </w:pPr>
          </w:p>
        </w:tc>
        <w:tc>
          <w:tcPr>
            <w:tcW w:w="4680" w:type="dxa"/>
            <w:hideMark/>
          </w:tcPr>
          <w:p>
            <w:pPr>
              <w:numPr>
                <w:ilvl w:val="12"/>
                <w:numId w:val="0"/>
              </w:numPr>
              <w:tabs>
                <w:tab w:val="left" w:pos="567"/>
              </w:tabs>
              <w:spacing w:after="0" w:line="240" w:lineRule="auto"/>
              <w:ind w:right="-2"/>
              <w:rPr>
                <w:rFonts w:ascii="Times New Roman" w:eastAsia="Times New Roman" w:hAnsi="Times New Roman"/>
                <w:b/>
                <w:noProof/>
                <w:lang w:val="it-IT" w:eastAsia="sl-SI"/>
              </w:rPr>
            </w:pPr>
            <w:r>
              <w:rPr>
                <w:rFonts w:ascii="Times New Roman" w:eastAsia="Times New Roman" w:hAnsi="Times New Roman"/>
                <w:b/>
                <w:noProof/>
                <w:lang w:val="it-IT" w:eastAsia="sl-SI"/>
              </w:rPr>
              <w:t>Sverige</w:t>
            </w:r>
          </w:p>
          <w:p>
            <w:pPr>
              <w:numPr>
                <w:ilvl w:val="12"/>
                <w:numId w:val="0"/>
              </w:numPr>
              <w:tabs>
                <w:tab w:val="left" w:pos="567"/>
              </w:tabs>
              <w:spacing w:after="0" w:line="240" w:lineRule="auto"/>
              <w:ind w:right="-2"/>
              <w:rPr>
                <w:rFonts w:ascii="Times New Roman" w:eastAsia="Times New Roman" w:hAnsi="Times New Roman"/>
                <w:b/>
                <w:noProof/>
                <w:lang w:val="it-IT" w:eastAsia="sl-SI"/>
              </w:rPr>
            </w:pPr>
            <w:r>
              <w:rPr>
                <w:rFonts w:ascii="Times New Roman" w:eastAsia="Times New Roman" w:hAnsi="Times New Roman"/>
                <w:noProof/>
                <w:lang w:val="it-IT" w:eastAsia="sl-SI"/>
              </w:rPr>
              <w:t>KRKA Sverige AB</w:t>
            </w:r>
          </w:p>
          <w:p>
            <w:pPr>
              <w:numPr>
                <w:ilvl w:val="12"/>
                <w:numId w:val="0"/>
              </w:numPr>
              <w:tabs>
                <w:tab w:val="left" w:pos="567"/>
              </w:tabs>
              <w:spacing w:after="0" w:line="240" w:lineRule="auto"/>
              <w:ind w:right="-2"/>
              <w:rPr>
                <w:rFonts w:ascii="Times New Roman" w:eastAsia="Times New Roman" w:hAnsi="Times New Roman"/>
                <w:b/>
                <w:noProof/>
                <w:lang w:val="it-IT" w:eastAsia="sl-SI"/>
              </w:rPr>
            </w:pPr>
            <w:r>
              <w:rPr>
                <w:rFonts w:ascii="Times New Roman" w:eastAsia="Times New Roman" w:hAnsi="Times New Roman"/>
                <w:noProof/>
                <w:lang w:val="it-IT" w:eastAsia="sl-SI"/>
              </w:rPr>
              <w:t>Tel:</w:t>
            </w:r>
            <w:r>
              <w:rPr>
                <w:rFonts w:ascii="Times New Roman" w:eastAsia="Times New Roman" w:hAnsi="Times New Roman"/>
                <w:b/>
                <w:noProof/>
                <w:lang w:val="it-IT" w:eastAsia="sl-SI"/>
              </w:rPr>
              <w:t xml:space="preserve"> + </w:t>
            </w:r>
            <w:r>
              <w:rPr>
                <w:rFonts w:ascii="Times New Roman" w:eastAsia="Times New Roman" w:hAnsi="Times New Roman"/>
                <w:noProof/>
                <w:lang w:val="it-IT" w:eastAsia="sl-SI"/>
              </w:rPr>
              <w:t>46 (0)</w:t>
            </w:r>
            <w:r>
              <w:rPr>
                <w:rFonts w:ascii="Times New Roman" w:eastAsia="Times New Roman" w:hAnsi="Times New Roman"/>
                <w:lang w:val="it-IT" w:eastAsia="sl-SI"/>
              </w:rPr>
              <w:t>8 643 67 66 (SE)</w:t>
            </w:r>
          </w:p>
        </w:tc>
      </w:tr>
      <w:tr>
        <w:tc>
          <w:tcPr>
            <w:tcW w:w="4680" w:type="dxa"/>
          </w:tcPr>
          <w:p>
            <w:pPr>
              <w:tabs>
                <w:tab w:val="left" w:pos="567"/>
              </w:tabs>
              <w:spacing w:after="0" w:line="240" w:lineRule="auto"/>
              <w:rPr>
                <w:rFonts w:ascii="Times New Roman" w:eastAsia="Times New Roman" w:hAnsi="Times New Roman"/>
                <w:b/>
                <w:noProof/>
                <w:lang w:val="it-IT" w:eastAsia="sl-SI"/>
              </w:rPr>
            </w:pPr>
            <w:r>
              <w:rPr>
                <w:rFonts w:ascii="Times New Roman" w:eastAsia="Times New Roman" w:hAnsi="Times New Roman"/>
                <w:b/>
                <w:noProof/>
                <w:lang w:val="it-IT" w:eastAsia="sl-SI"/>
              </w:rPr>
              <w:t>Latvija</w:t>
            </w:r>
          </w:p>
          <w:p>
            <w:pPr>
              <w:tabs>
                <w:tab w:val="left" w:pos="567"/>
              </w:tabs>
              <w:spacing w:after="0" w:line="240" w:lineRule="auto"/>
              <w:rPr>
                <w:rFonts w:ascii="Times New Roman" w:eastAsia="Times New Roman" w:hAnsi="Times New Roman"/>
                <w:b/>
                <w:noProof/>
                <w:lang w:val="it-IT" w:eastAsia="sl-SI"/>
              </w:rPr>
            </w:pPr>
            <w:r>
              <w:rPr>
                <w:rFonts w:ascii="Times New Roman" w:eastAsia="Times New Roman" w:hAnsi="Times New Roman"/>
                <w:lang w:val="it-IT" w:eastAsia="sl-SI"/>
              </w:rPr>
              <w:t>KRKA Latvija SIA</w:t>
            </w:r>
          </w:p>
          <w:p>
            <w:pPr>
              <w:tabs>
                <w:tab w:val="left" w:pos="567"/>
              </w:tabs>
              <w:spacing w:after="0" w:line="240" w:lineRule="auto"/>
              <w:rPr>
                <w:rFonts w:ascii="Times New Roman" w:eastAsia="Times New Roman" w:hAnsi="Times New Roman"/>
                <w:b/>
                <w:noProof/>
                <w:lang w:val="it-IT" w:eastAsia="sl-SI"/>
              </w:rPr>
            </w:pPr>
            <w:r>
              <w:rPr>
                <w:rFonts w:ascii="Times New Roman" w:eastAsia="Times New Roman" w:hAnsi="Times New Roman"/>
                <w:noProof/>
                <w:lang w:val="it-IT" w:eastAsia="sl-SI"/>
              </w:rPr>
              <w:t>Tel:</w:t>
            </w:r>
            <w:r>
              <w:rPr>
                <w:rFonts w:ascii="Times New Roman" w:eastAsia="Times New Roman" w:hAnsi="Times New Roman"/>
                <w:b/>
                <w:noProof/>
                <w:lang w:val="it-IT" w:eastAsia="sl-SI"/>
              </w:rPr>
              <w:t xml:space="preserve"> + </w:t>
            </w:r>
            <w:r>
              <w:rPr>
                <w:rFonts w:ascii="Times New Roman" w:eastAsia="Times New Roman" w:hAnsi="Times New Roman"/>
                <w:noProof/>
                <w:lang w:val="it-IT" w:eastAsia="sl-SI"/>
              </w:rPr>
              <w:t>371 6 733 86 10</w:t>
            </w:r>
          </w:p>
          <w:p>
            <w:pPr>
              <w:tabs>
                <w:tab w:val="left" w:pos="567"/>
              </w:tabs>
              <w:spacing w:after="0" w:line="240" w:lineRule="auto"/>
              <w:rPr>
                <w:rFonts w:ascii="Times New Roman" w:eastAsia="Times New Roman" w:hAnsi="Times New Roman"/>
                <w:b/>
                <w:noProof/>
                <w:lang w:val="it-IT" w:eastAsia="sl-SI"/>
              </w:rPr>
            </w:pPr>
          </w:p>
        </w:tc>
        <w:tc>
          <w:tcPr>
            <w:tcW w:w="4680" w:type="dxa"/>
          </w:tcPr>
          <w:p>
            <w:pPr>
              <w:numPr>
                <w:ilvl w:val="12"/>
                <w:numId w:val="0"/>
              </w:numPr>
              <w:tabs>
                <w:tab w:val="left" w:pos="567"/>
              </w:tabs>
              <w:spacing w:after="0" w:line="240" w:lineRule="auto"/>
              <w:ind w:right="-2"/>
              <w:rPr>
                <w:del w:id="9" w:author="MT" w:date="2025-04-02T09:50:00Z"/>
                <w:rFonts w:ascii="Times New Roman" w:eastAsia="Times New Roman" w:hAnsi="Times New Roman"/>
                <w:b/>
                <w:noProof/>
                <w:lang w:val="en-US" w:eastAsia="sl-SI"/>
              </w:rPr>
            </w:pPr>
            <w:del w:id="10" w:author="MT" w:date="2025-04-02T09:50:00Z">
              <w:r>
                <w:rPr>
                  <w:rFonts w:ascii="Times New Roman" w:eastAsia="Times New Roman" w:hAnsi="Times New Roman"/>
                  <w:b/>
                  <w:noProof/>
                  <w:lang w:val="en-US" w:eastAsia="sl-SI"/>
                </w:rPr>
                <w:delText>United Kingdom (Northern Ireland)</w:delText>
              </w:r>
            </w:del>
          </w:p>
          <w:p>
            <w:pPr>
              <w:numPr>
                <w:ilvl w:val="12"/>
                <w:numId w:val="0"/>
              </w:numPr>
              <w:tabs>
                <w:tab w:val="left" w:pos="567"/>
              </w:tabs>
              <w:spacing w:after="0" w:line="240" w:lineRule="auto"/>
              <w:ind w:right="-2"/>
              <w:rPr>
                <w:del w:id="11" w:author="MT" w:date="2025-04-02T09:50:00Z"/>
                <w:rFonts w:ascii="Times New Roman" w:eastAsia="Times New Roman" w:hAnsi="Times New Roman"/>
                <w:noProof/>
                <w:lang w:val="en-US" w:eastAsia="sl-SI"/>
              </w:rPr>
            </w:pPr>
            <w:del w:id="12" w:author="MT" w:date="2025-04-02T09:50:00Z">
              <w:r>
                <w:rPr>
                  <w:rFonts w:ascii="Times New Roman" w:eastAsia="Times New Roman" w:hAnsi="Times New Roman"/>
                  <w:noProof/>
                  <w:lang w:val="en-US" w:eastAsia="sl-SI"/>
                </w:rPr>
                <w:delText>KRKA Pharma Dublin, Ltd</w:delText>
              </w:r>
            </w:del>
          </w:p>
          <w:p>
            <w:pPr>
              <w:tabs>
                <w:tab w:val="left" w:pos="567"/>
              </w:tabs>
              <w:spacing w:after="0" w:line="240" w:lineRule="auto"/>
              <w:rPr>
                <w:del w:id="13" w:author="MT" w:date="2025-04-02T09:50:00Z"/>
                <w:rFonts w:ascii="Times New Roman" w:eastAsia="Times New Roman" w:hAnsi="Times New Roman"/>
                <w:b/>
                <w:noProof/>
                <w:lang w:val="it-IT" w:eastAsia="sl-SI"/>
              </w:rPr>
            </w:pPr>
            <w:del w:id="14" w:author="MT" w:date="2025-04-02T09:50:00Z">
              <w:r>
                <w:rPr>
                  <w:rFonts w:ascii="Times New Roman" w:eastAsia="Times New Roman" w:hAnsi="Times New Roman"/>
                  <w:noProof/>
                  <w:lang w:val="it-IT" w:eastAsia="sl-SI"/>
                </w:rPr>
                <w:delText>Tel: + 353 1 413 3710</w:delText>
              </w:r>
            </w:del>
          </w:p>
          <w:p>
            <w:pPr>
              <w:tabs>
                <w:tab w:val="left" w:pos="567"/>
              </w:tabs>
              <w:spacing w:after="0" w:line="240" w:lineRule="auto"/>
              <w:rPr>
                <w:rFonts w:ascii="Times New Roman" w:eastAsia="Times New Roman" w:hAnsi="Times New Roman"/>
                <w:b/>
                <w:noProof/>
                <w:lang w:val="it-IT" w:eastAsia="sl-SI"/>
              </w:rPr>
            </w:pPr>
          </w:p>
        </w:tc>
      </w:tr>
    </w:tbl>
    <w:p>
      <w:pPr>
        <w:widowControl w:val="0"/>
        <w:suppressAutoHyphens/>
        <w:autoSpaceDE w:val="0"/>
        <w:spacing w:after="0" w:line="240" w:lineRule="auto"/>
        <w:rPr>
          <w:rFonts w:ascii="Times New Roman" w:eastAsia="Times New Roman" w:hAnsi="Times New Roman"/>
          <w:lang w:val="it-IT" w:eastAsia="ar-SA"/>
        </w:rPr>
      </w:pPr>
    </w:p>
    <w:p>
      <w:pPr>
        <w:widowControl w:val="0"/>
        <w:suppressAutoHyphens/>
        <w:autoSpaceDE w:val="0"/>
        <w:spacing w:after="0" w:line="240" w:lineRule="auto"/>
        <w:rPr>
          <w:rFonts w:ascii="Times New Roman" w:eastAsia="Times New Roman" w:hAnsi="Times New Roman"/>
          <w:lang w:val="it-IT" w:eastAsia="ar-SA"/>
        </w:rPr>
      </w:pPr>
    </w:p>
    <w:p>
      <w:pPr>
        <w:widowControl w:val="0"/>
        <w:shd w:val="clear" w:color="auto" w:fill="FFFFFF"/>
        <w:suppressAutoHyphens/>
        <w:autoSpaceDE w:val="0"/>
        <w:spacing w:after="0" w:line="240" w:lineRule="auto"/>
        <w:rPr>
          <w:rFonts w:ascii="Times New Roman" w:eastAsia="Times New Roman" w:hAnsi="Times New Roman"/>
          <w:b/>
          <w:bCs/>
          <w:color w:val="000000"/>
          <w:lang w:val="it-IT" w:eastAsia="ar-SA"/>
        </w:rPr>
      </w:pPr>
      <w:r>
        <w:rPr>
          <w:rFonts w:ascii="Times New Roman" w:eastAsia="Times New Roman" w:hAnsi="Times New Roman"/>
          <w:b/>
          <w:bCs/>
          <w:color w:val="000000"/>
          <w:lang w:val="it-IT" w:eastAsia="ar-SA"/>
        </w:rPr>
        <w:t xml:space="preserve">Questo foglio illustrativo è stato aggiornato il </w:t>
      </w:r>
    </w:p>
    <w:p>
      <w:pPr>
        <w:widowControl w:val="0"/>
        <w:shd w:val="clear" w:color="auto" w:fill="FFFFFF"/>
        <w:suppressAutoHyphens/>
        <w:autoSpaceDE w:val="0"/>
        <w:spacing w:after="0" w:line="240" w:lineRule="auto"/>
        <w:rPr>
          <w:rFonts w:ascii="Times New Roman" w:eastAsia="Times New Roman" w:hAnsi="Times New Roman"/>
          <w:color w:val="000000"/>
          <w:spacing w:val="-1"/>
          <w:lang w:val="it-IT" w:eastAsia="ar-SA"/>
        </w:rPr>
      </w:pPr>
    </w:p>
    <w:p>
      <w:pPr>
        <w:widowControl w:val="0"/>
        <w:shd w:val="clear" w:color="auto" w:fill="FFFFFF"/>
        <w:suppressAutoHyphens/>
        <w:autoSpaceDE w:val="0"/>
        <w:spacing w:after="0" w:line="240" w:lineRule="auto"/>
        <w:rPr>
          <w:rFonts w:ascii="Times New Roman" w:eastAsia="Times New Roman" w:hAnsi="Times New Roman"/>
          <w:color w:val="0222FF"/>
          <w:u w:val="single"/>
          <w:lang w:val="it-IT" w:eastAsia="ar-SA"/>
        </w:rPr>
      </w:pPr>
      <w:r>
        <w:rPr>
          <w:rFonts w:ascii="Times New Roman" w:eastAsia="Times New Roman" w:hAnsi="Times New Roman"/>
          <w:color w:val="000000"/>
          <w:spacing w:val="-1"/>
          <w:lang w:val="it-IT" w:eastAsia="ar-SA"/>
        </w:rPr>
        <w:t xml:space="preserve">Informazioni più dettagliate su questo medicinale sono disponibili sul sito web dell'Agenzia Europea </w:t>
      </w:r>
      <w:r>
        <w:rPr>
          <w:rFonts w:ascii="Times New Roman" w:eastAsia="Times New Roman" w:hAnsi="Times New Roman"/>
          <w:color w:val="000000"/>
          <w:lang w:val="it-IT" w:eastAsia="ar-SA"/>
        </w:rPr>
        <w:t xml:space="preserve">dei Medicinali: </w:t>
      </w:r>
      <w:r>
        <w:rPr>
          <w:rFonts w:ascii="Times New Roman" w:eastAsia="Times New Roman" w:hAnsi="Times New Roman"/>
          <w:color w:val="0222FF"/>
          <w:u w:val="single"/>
          <w:lang w:val="it-IT" w:eastAsia="ar-SA"/>
        </w:rPr>
        <w:t>http://www.ema.europa.eu/</w:t>
      </w:r>
    </w:p>
    <w:p>
      <w:pPr>
        <w:spacing w:line="240" w:lineRule="auto"/>
        <w:rPr>
          <w:rFonts w:ascii="Times New Roman" w:hAnsi="Times New Roman"/>
          <w:lang w:val="it-IT"/>
        </w:rPr>
      </w:pPr>
    </w:p>
    <w:p>
      <w:pPr>
        <w:spacing w:line="240" w:lineRule="auto"/>
        <w:rPr>
          <w:rFonts w:ascii="Times New Roman" w:hAnsi="Times New Roman"/>
          <w:lang w:val="it-IT"/>
        </w:rPr>
      </w:pPr>
    </w:p>
    <w:sectPr>
      <w:headerReference w:type="even" r:id="rId11"/>
      <w:headerReference w:type="default" r:id="rId12"/>
      <w:footerReference w:type="even" r:id="rId13"/>
      <w:footerReference w:type="default" r:id="rId14"/>
      <w:headerReference w:type="first" r:id="rId15"/>
      <w:footerReference w:type="first" r:id="rId16"/>
      <w:footnotePr>
        <w:pos w:val="beneathText"/>
      </w:footnotePr>
      <w:pgSz w:w="11905" w:h="16837"/>
      <w:pgMar w:top="1056" w:right="1555" w:bottom="360" w:left="142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pPr>
        <w:spacing w:after="0" w:line="240" w:lineRule="auto"/>
      </w:pPr>
      <w:r>
        <w:separator/>
      </w:r>
    </w:p>
  </w:endnote>
  <w:endnote w:type="continuationSeparator" w:id="0">
    <w:p>
      <w:pPr>
        <w:spacing w:after="0" w:line="240" w:lineRule="auto"/>
      </w:pPr>
      <w:r>
        <w:continuationSeparator/>
      </w:r>
    </w:p>
  </w:endnote>
  <w:endnote w:type="continuationNotice" w:id="1">
    <w:p>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EFF" w:usb1="C0007843"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DejaVu Sans">
    <w:charset w:val="00"/>
    <w:family w:val="swiss"/>
    <w:pitch w:val="variable"/>
  </w:font>
  <w:font w:name="(Tipo di carattere testo asiati">
    <w:altName w:val="Times New Roman"/>
    <w:panose1 w:val="00000000000000000000"/>
    <w:charset w:val="00"/>
    <w:family w:val="roman"/>
    <w:notTrueType/>
    <w:pitch w:val="default"/>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ooter"/>
      <w:jc w:val="center"/>
      <w:rPr>
        <w:rFonts w:ascii="Arial" w:hAnsi="Arial" w:cs="Arial"/>
        <w:sz w:val="16"/>
        <w:szCs w:val="16"/>
      </w:rPr>
    </w:pPr>
    <w:r>
      <w:rPr>
        <w:rFonts w:ascii="Arial" w:hAnsi="Arial" w:cs="Arial"/>
        <w:sz w:val="16"/>
        <w:szCs w:val="16"/>
      </w:rPr>
      <w:fldChar w:fldCharType="begin"/>
    </w:r>
    <w:r>
      <w:rPr>
        <w:rFonts w:ascii="Arial" w:hAnsi="Arial" w:cs="Arial"/>
        <w:sz w:val="16"/>
        <w:szCs w:val="16"/>
      </w:rPr>
      <w:instrText xml:space="preserve"> PAGE   \* MERGEFORMAT </w:instrText>
    </w:r>
    <w:r>
      <w:rPr>
        <w:rFonts w:ascii="Arial" w:hAnsi="Arial" w:cs="Arial"/>
        <w:sz w:val="16"/>
        <w:szCs w:val="16"/>
      </w:rPr>
      <w:fldChar w:fldCharType="separate"/>
    </w:r>
    <w:r>
      <w:rPr>
        <w:rFonts w:ascii="Arial" w:hAnsi="Arial" w:cs="Arial"/>
        <w:noProof/>
        <w:sz w:val="16"/>
        <w:szCs w:val="16"/>
      </w:rPr>
      <w:t>7</w:t>
    </w:r>
    <w:r>
      <w:rPr>
        <w:rFonts w:ascii="Arial" w:hAnsi="Arial" w:cs="Arial"/>
        <w:sz w:val="16"/>
        <w:szCs w:val="16"/>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pPr>
        <w:spacing w:after="0" w:line="240" w:lineRule="auto"/>
      </w:pPr>
      <w:r>
        <w:separator/>
      </w:r>
    </w:p>
  </w:footnote>
  <w:footnote w:type="continuationSeparator" w:id="0">
    <w:p>
      <w:pPr>
        <w:spacing w:after="0" w:line="240" w:lineRule="auto"/>
      </w:pPr>
      <w:r>
        <w:continuationSeparator/>
      </w:r>
    </w:p>
  </w:footnote>
  <w:footnote w:type="continuationNotice" w:id="1">
    <w:p>
      <w:pPr>
        <w:spacing w:after="0" w:line="240" w:lineRule="auto"/>
      </w:pPr>
    </w:p>
  </w:footnote>
  <w:footnote w:id="2">
    <w:p>
      <w:pPr>
        <w:pStyle w:val="FootnoteText"/>
        <w:rPr>
          <w:sz w:val="18"/>
          <w:szCs w:val="18"/>
          <w:lang w:val="en-US"/>
        </w:rPr>
      </w:pPr>
      <w:r>
        <w:rPr>
          <w:rStyle w:val="FootnoteReference"/>
          <w:sz w:val="18"/>
          <w:szCs w:val="18"/>
        </w:rPr>
        <w:footnoteRef/>
      </w:r>
      <w:r>
        <w:rPr>
          <w:sz w:val="18"/>
          <w:szCs w:val="18"/>
          <w:lang w:val="en-US"/>
        </w:rPr>
        <w:t xml:space="preserve"> </w:t>
      </w:r>
      <w:r>
        <w:rPr>
          <w:sz w:val="18"/>
          <w:szCs w:val="18"/>
          <w:lang w:val="en-GB"/>
        </w:rPr>
        <w:t>Age, Blood pressure, Clinical features, Duration, and Diabetes mellitus diagnosis</w:t>
      </w:r>
    </w:p>
    <w:p>
      <w:pPr>
        <w:pStyle w:val="FootnoteText"/>
        <w:rPr>
          <w:sz w:val="4"/>
          <w:szCs w:val="4"/>
          <w:lang w:val="en-US"/>
        </w:rPr>
      </w:pPr>
    </w:p>
  </w:footnote>
  <w:footnote w:id="3">
    <w:p>
      <w:pPr>
        <w:pStyle w:val="FootnoteText"/>
        <w:rPr>
          <w:sz w:val="18"/>
          <w:szCs w:val="18"/>
          <w:lang w:val="en-US"/>
        </w:rPr>
      </w:pPr>
      <w:r>
        <w:rPr>
          <w:rStyle w:val="FootnoteReference"/>
          <w:sz w:val="18"/>
          <w:szCs w:val="18"/>
        </w:rPr>
        <w:footnoteRef/>
      </w:r>
      <w:r>
        <w:rPr>
          <w:sz w:val="18"/>
          <w:szCs w:val="18"/>
          <w:lang w:val="en-US"/>
        </w:rPr>
        <w:t xml:space="preserve"> </w:t>
      </w:r>
      <w:r>
        <w:rPr>
          <w:sz w:val="18"/>
          <w:szCs w:val="18"/>
          <w:lang w:val="en-GB"/>
        </w:rPr>
        <w:t>National Institutes of Health Stroke Scale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EF4C40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14623EB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F9F8408A"/>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B024D8C2"/>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6A10868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5E860A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13EECF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1363E3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2E8D35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396670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singleLevel"/>
    <w:tmpl w:val="00000001"/>
    <w:name w:val="WW8Num1"/>
    <w:lvl w:ilvl="0">
      <w:start w:val="2"/>
      <w:numFmt w:val="decimal"/>
      <w:lvlText w:val="6.%1"/>
      <w:lvlJc w:val="left"/>
      <w:pPr>
        <w:tabs>
          <w:tab w:val="num" w:pos="0"/>
        </w:tabs>
        <w:ind w:left="0" w:firstLine="0"/>
      </w:pPr>
      <w:rPr>
        <w:rFonts w:ascii="Times New Roman" w:hAnsi="Times New Roman" w:cs="Times New Roman"/>
      </w:rPr>
    </w:lvl>
  </w:abstractNum>
  <w:abstractNum w:abstractNumId="11" w15:restartNumberingAfterBreak="0">
    <w:nsid w:val="00000002"/>
    <w:multiLevelType w:val="multilevel"/>
    <w:tmpl w:val="00000002"/>
    <w:name w:val="WW8Num2"/>
    <w:lvl w:ilvl="0">
      <w:start w:val="1"/>
      <w:numFmt w:val="decimal"/>
      <w:lvlText w:val="%1."/>
      <w:lvlJc w:val="left"/>
      <w:pPr>
        <w:tabs>
          <w:tab w:val="num" w:pos="0"/>
        </w:tabs>
        <w:ind w:left="0" w:firstLine="0"/>
      </w:pPr>
      <w:rPr>
        <w:rFonts w:ascii="Times New Roman" w:hAnsi="Times New Roman" w:cs="Times New Roman"/>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00000003"/>
    <w:multiLevelType w:val="singleLevel"/>
    <w:tmpl w:val="00000003"/>
    <w:lvl w:ilvl="0">
      <w:start w:val="1"/>
      <w:numFmt w:val="bullet"/>
      <w:lvlText w:val="-"/>
      <w:lvlJc w:val="left"/>
      <w:pPr>
        <w:ind w:left="720" w:hanging="360"/>
      </w:pPr>
      <w:rPr>
        <w:rFonts w:ascii="Times New Roman" w:hAnsi="Times New Roman" w:cs="Times New Roman"/>
      </w:rPr>
    </w:lvl>
  </w:abstractNum>
  <w:abstractNum w:abstractNumId="13" w15:restartNumberingAfterBreak="0">
    <w:nsid w:val="00000004"/>
    <w:multiLevelType w:val="singleLevel"/>
    <w:tmpl w:val="00000004"/>
    <w:name w:val="WW8Num4"/>
    <w:lvl w:ilvl="0">
      <w:start w:val="4"/>
      <w:numFmt w:val="decimal"/>
      <w:lvlText w:val="%1."/>
      <w:lvlJc w:val="left"/>
      <w:pPr>
        <w:tabs>
          <w:tab w:val="num" w:pos="0"/>
        </w:tabs>
        <w:ind w:left="720" w:hanging="360"/>
      </w:pPr>
    </w:lvl>
  </w:abstractNum>
  <w:abstractNum w:abstractNumId="14" w15:restartNumberingAfterBreak="0">
    <w:nsid w:val="00000005"/>
    <w:multiLevelType w:val="singleLevel"/>
    <w:tmpl w:val="00000005"/>
    <w:name w:val="WW8Num5"/>
    <w:lvl w:ilvl="0">
      <w:start w:val="1"/>
      <w:numFmt w:val="decimal"/>
      <w:lvlText w:val="%1."/>
      <w:lvlJc w:val="left"/>
      <w:pPr>
        <w:tabs>
          <w:tab w:val="num" w:pos="0"/>
        </w:tabs>
        <w:ind w:left="720" w:hanging="360"/>
      </w:pPr>
    </w:lvl>
  </w:abstractNum>
  <w:abstractNum w:abstractNumId="15" w15:restartNumberingAfterBreak="0">
    <w:nsid w:val="00000006"/>
    <w:multiLevelType w:val="singleLevel"/>
    <w:tmpl w:val="00000006"/>
    <w:name w:val="WW8Num6"/>
    <w:lvl w:ilvl="0">
      <w:numFmt w:val="bullet"/>
      <w:lvlText w:val="-"/>
      <w:lvlJc w:val="left"/>
      <w:pPr>
        <w:tabs>
          <w:tab w:val="num" w:pos="0"/>
        </w:tabs>
        <w:ind w:left="720" w:hanging="360"/>
      </w:pPr>
      <w:rPr>
        <w:rFonts w:ascii="Times New Roman" w:hAnsi="Times New Roman" w:cs="Times New Roman"/>
      </w:rPr>
    </w:lvl>
  </w:abstractNum>
  <w:abstractNum w:abstractNumId="16" w15:restartNumberingAfterBreak="0">
    <w:nsid w:val="00000007"/>
    <w:multiLevelType w:val="singleLevel"/>
    <w:tmpl w:val="00000007"/>
    <w:name w:val="WW8Num7"/>
    <w:lvl w:ilvl="0">
      <w:numFmt w:val="bullet"/>
      <w:lvlText w:val="-"/>
      <w:lvlJc w:val="left"/>
      <w:pPr>
        <w:tabs>
          <w:tab w:val="num" w:pos="0"/>
        </w:tabs>
        <w:ind w:left="720" w:hanging="360"/>
      </w:pPr>
      <w:rPr>
        <w:rFonts w:ascii="Times New Roman" w:hAnsi="Times New Roman" w:cs="Times New Roman"/>
        <w:color w:val="000000"/>
        <w:sz w:val="22"/>
      </w:rPr>
    </w:lvl>
  </w:abstractNum>
  <w:abstractNum w:abstractNumId="17" w15:restartNumberingAfterBreak="0">
    <w:nsid w:val="00000008"/>
    <w:multiLevelType w:val="singleLevel"/>
    <w:tmpl w:val="00000008"/>
    <w:name w:val="WW8Num8"/>
    <w:lvl w:ilvl="0">
      <w:numFmt w:val="bullet"/>
      <w:lvlText w:val="-"/>
      <w:lvlJc w:val="left"/>
      <w:pPr>
        <w:tabs>
          <w:tab w:val="num" w:pos="0"/>
        </w:tabs>
        <w:ind w:left="720" w:hanging="360"/>
      </w:pPr>
      <w:rPr>
        <w:rFonts w:ascii="Times New Roman" w:hAnsi="Times New Roman" w:cs="Times New Roman"/>
      </w:rPr>
    </w:lvl>
  </w:abstractNum>
  <w:abstractNum w:abstractNumId="18" w15:restartNumberingAfterBreak="0">
    <w:nsid w:val="00000009"/>
    <w:multiLevelType w:val="singleLevel"/>
    <w:tmpl w:val="00000009"/>
    <w:name w:val="WW8Num9"/>
    <w:lvl w:ilvl="0">
      <w:numFmt w:val="bullet"/>
      <w:lvlText w:val="-"/>
      <w:lvlJc w:val="left"/>
      <w:pPr>
        <w:tabs>
          <w:tab w:val="num" w:pos="0"/>
        </w:tabs>
        <w:ind w:left="1854" w:hanging="360"/>
      </w:pPr>
      <w:rPr>
        <w:rFonts w:ascii="Times New Roman" w:hAnsi="Times New Roman" w:cs="Times New Roman"/>
      </w:rPr>
    </w:lvl>
  </w:abstractNum>
  <w:abstractNum w:abstractNumId="19" w15:restartNumberingAfterBreak="0">
    <w:nsid w:val="0000000A"/>
    <w:multiLevelType w:val="singleLevel"/>
    <w:tmpl w:val="0000000A"/>
    <w:name w:val="WW8Num10"/>
    <w:lvl w:ilvl="0">
      <w:numFmt w:val="bullet"/>
      <w:lvlText w:val="-"/>
      <w:lvlJc w:val="left"/>
      <w:pPr>
        <w:tabs>
          <w:tab w:val="num" w:pos="0"/>
        </w:tabs>
        <w:ind w:left="720" w:hanging="360"/>
      </w:pPr>
      <w:rPr>
        <w:rFonts w:ascii="Times New Roman" w:hAnsi="Times New Roman" w:cs="Times New Roman"/>
      </w:rPr>
    </w:lvl>
  </w:abstractNum>
  <w:abstractNum w:abstractNumId="20" w15:restartNumberingAfterBreak="0">
    <w:nsid w:val="04E04780"/>
    <w:multiLevelType w:val="hybridMultilevel"/>
    <w:tmpl w:val="E8E8A45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140D6DC2"/>
    <w:multiLevelType w:val="hybridMultilevel"/>
    <w:tmpl w:val="02ACFE6C"/>
    <w:lvl w:ilvl="0" w:tplc="04100003">
      <w:start w:val="1"/>
      <w:numFmt w:val="bullet"/>
      <w:lvlText w:val="o"/>
      <w:lvlJc w:val="left"/>
      <w:pPr>
        <w:ind w:left="1146" w:hanging="360"/>
      </w:pPr>
      <w:rPr>
        <w:rFonts w:ascii="Courier New" w:hAnsi="Courier New" w:cs="Courier New" w:hint="default"/>
      </w:rPr>
    </w:lvl>
    <w:lvl w:ilvl="1" w:tplc="FFFFFFFF">
      <w:numFmt w:val="bullet"/>
      <w:lvlText w:val="•"/>
      <w:lvlJc w:val="left"/>
      <w:pPr>
        <w:ind w:left="1866" w:hanging="360"/>
      </w:pPr>
      <w:rPr>
        <w:rFonts w:ascii="Times New Roman" w:eastAsia="Times New Roman" w:hAnsi="Times New Roman" w:cs="Times New Roman" w:hint="default"/>
      </w:rPr>
    </w:lvl>
    <w:lvl w:ilvl="2" w:tplc="FFFFFFFF" w:tentative="1">
      <w:start w:val="1"/>
      <w:numFmt w:val="bullet"/>
      <w:lvlText w:val=""/>
      <w:lvlJc w:val="left"/>
      <w:pPr>
        <w:ind w:left="2586" w:hanging="360"/>
      </w:pPr>
      <w:rPr>
        <w:rFonts w:ascii="Wingdings" w:hAnsi="Wingdings" w:hint="default"/>
      </w:rPr>
    </w:lvl>
    <w:lvl w:ilvl="3" w:tplc="FFFFFFFF" w:tentative="1">
      <w:start w:val="1"/>
      <w:numFmt w:val="bullet"/>
      <w:lvlText w:val=""/>
      <w:lvlJc w:val="left"/>
      <w:pPr>
        <w:ind w:left="3306" w:hanging="360"/>
      </w:pPr>
      <w:rPr>
        <w:rFonts w:ascii="Symbol" w:hAnsi="Symbol" w:hint="default"/>
      </w:rPr>
    </w:lvl>
    <w:lvl w:ilvl="4" w:tplc="FFFFFFFF" w:tentative="1">
      <w:start w:val="1"/>
      <w:numFmt w:val="bullet"/>
      <w:lvlText w:val="o"/>
      <w:lvlJc w:val="left"/>
      <w:pPr>
        <w:ind w:left="4026" w:hanging="360"/>
      </w:pPr>
      <w:rPr>
        <w:rFonts w:ascii="Courier New" w:hAnsi="Courier New" w:cs="Courier New" w:hint="default"/>
      </w:rPr>
    </w:lvl>
    <w:lvl w:ilvl="5" w:tplc="FFFFFFFF" w:tentative="1">
      <w:start w:val="1"/>
      <w:numFmt w:val="bullet"/>
      <w:lvlText w:val=""/>
      <w:lvlJc w:val="left"/>
      <w:pPr>
        <w:ind w:left="4746" w:hanging="360"/>
      </w:pPr>
      <w:rPr>
        <w:rFonts w:ascii="Wingdings" w:hAnsi="Wingdings" w:hint="default"/>
      </w:rPr>
    </w:lvl>
    <w:lvl w:ilvl="6" w:tplc="FFFFFFFF" w:tentative="1">
      <w:start w:val="1"/>
      <w:numFmt w:val="bullet"/>
      <w:lvlText w:val=""/>
      <w:lvlJc w:val="left"/>
      <w:pPr>
        <w:ind w:left="5466" w:hanging="360"/>
      </w:pPr>
      <w:rPr>
        <w:rFonts w:ascii="Symbol" w:hAnsi="Symbol" w:hint="default"/>
      </w:rPr>
    </w:lvl>
    <w:lvl w:ilvl="7" w:tplc="FFFFFFFF" w:tentative="1">
      <w:start w:val="1"/>
      <w:numFmt w:val="bullet"/>
      <w:lvlText w:val="o"/>
      <w:lvlJc w:val="left"/>
      <w:pPr>
        <w:ind w:left="6186" w:hanging="360"/>
      </w:pPr>
      <w:rPr>
        <w:rFonts w:ascii="Courier New" w:hAnsi="Courier New" w:cs="Courier New" w:hint="default"/>
      </w:rPr>
    </w:lvl>
    <w:lvl w:ilvl="8" w:tplc="FFFFFFFF" w:tentative="1">
      <w:start w:val="1"/>
      <w:numFmt w:val="bullet"/>
      <w:lvlText w:val=""/>
      <w:lvlJc w:val="left"/>
      <w:pPr>
        <w:ind w:left="6906" w:hanging="360"/>
      </w:pPr>
      <w:rPr>
        <w:rFonts w:ascii="Wingdings" w:hAnsi="Wingdings" w:hint="default"/>
      </w:rPr>
    </w:lvl>
  </w:abstractNum>
  <w:abstractNum w:abstractNumId="22" w15:restartNumberingAfterBreak="0">
    <w:nsid w:val="16D05FCC"/>
    <w:multiLevelType w:val="hybridMultilevel"/>
    <w:tmpl w:val="BA12BF1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194D4ECC"/>
    <w:multiLevelType w:val="hybridMultilevel"/>
    <w:tmpl w:val="7D7A1A80"/>
    <w:lvl w:ilvl="0" w:tplc="3D94D6A2">
      <w:start w:val="1"/>
      <w:numFmt w:val="bullet"/>
      <w:lvlText w:val=""/>
      <w:lvlJc w:val="left"/>
      <w:pPr>
        <w:tabs>
          <w:tab w:val="num" w:pos="360"/>
        </w:tabs>
        <w:ind w:left="360" w:hanging="360"/>
      </w:pPr>
      <w:rPr>
        <w:rFonts w:ascii="Symbol" w:hAnsi="Symbol" w:hint="default"/>
        <w:color w:val="auto"/>
      </w:rPr>
    </w:lvl>
    <w:lvl w:ilvl="1" w:tplc="04100003">
      <w:start w:val="1"/>
      <w:numFmt w:val="bullet"/>
      <w:lvlText w:val="o"/>
      <w:lvlJc w:val="left"/>
      <w:pPr>
        <w:tabs>
          <w:tab w:val="num" w:pos="1500"/>
        </w:tabs>
        <w:ind w:left="1500" w:hanging="360"/>
      </w:pPr>
      <w:rPr>
        <w:rFonts w:ascii="Courier New" w:hAnsi="Courier New" w:cs="Courier New" w:hint="default"/>
      </w:rPr>
    </w:lvl>
    <w:lvl w:ilvl="2" w:tplc="04100005" w:tentative="1">
      <w:start w:val="1"/>
      <w:numFmt w:val="bullet"/>
      <w:lvlText w:val=""/>
      <w:lvlJc w:val="left"/>
      <w:pPr>
        <w:tabs>
          <w:tab w:val="num" w:pos="2220"/>
        </w:tabs>
        <w:ind w:left="2220" w:hanging="360"/>
      </w:pPr>
      <w:rPr>
        <w:rFonts w:ascii="Wingdings" w:hAnsi="Wingdings" w:hint="default"/>
      </w:rPr>
    </w:lvl>
    <w:lvl w:ilvl="3" w:tplc="04100001" w:tentative="1">
      <w:start w:val="1"/>
      <w:numFmt w:val="bullet"/>
      <w:lvlText w:val=""/>
      <w:lvlJc w:val="left"/>
      <w:pPr>
        <w:tabs>
          <w:tab w:val="num" w:pos="2940"/>
        </w:tabs>
        <w:ind w:left="2940" w:hanging="360"/>
      </w:pPr>
      <w:rPr>
        <w:rFonts w:ascii="Symbol" w:hAnsi="Symbol" w:hint="default"/>
      </w:rPr>
    </w:lvl>
    <w:lvl w:ilvl="4" w:tplc="04100003" w:tentative="1">
      <w:start w:val="1"/>
      <w:numFmt w:val="bullet"/>
      <w:lvlText w:val="o"/>
      <w:lvlJc w:val="left"/>
      <w:pPr>
        <w:tabs>
          <w:tab w:val="num" w:pos="3660"/>
        </w:tabs>
        <w:ind w:left="3660" w:hanging="360"/>
      </w:pPr>
      <w:rPr>
        <w:rFonts w:ascii="Courier New" w:hAnsi="Courier New" w:cs="Courier New" w:hint="default"/>
      </w:rPr>
    </w:lvl>
    <w:lvl w:ilvl="5" w:tplc="04100005" w:tentative="1">
      <w:start w:val="1"/>
      <w:numFmt w:val="bullet"/>
      <w:lvlText w:val=""/>
      <w:lvlJc w:val="left"/>
      <w:pPr>
        <w:tabs>
          <w:tab w:val="num" w:pos="4380"/>
        </w:tabs>
        <w:ind w:left="4380" w:hanging="360"/>
      </w:pPr>
      <w:rPr>
        <w:rFonts w:ascii="Wingdings" w:hAnsi="Wingdings" w:hint="default"/>
      </w:rPr>
    </w:lvl>
    <w:lvl w:ilvl="6" w:tplc="04100001" w:tentative="1">
      <w:start w:val="1"/>
      <w:numFmt w:val="bullet"/>
      <w:lvlText w:val=""/>
      <w:lvlJc w:val="left"/>
      <w:pPr>
        <w:tabs>
          <w:tab w:val="num" w:pos="5100"/>
        </w:tabs>
        <w:ind w:left="5100" w:hanging="360"/>
      </w:pPr>
      <w:rPr>
        <w:rFonts w:ascii="Symbol" w:hAnsi="Symbol" w:hint="default"/>
      </w:rPr>
    </w:lvl>
    <w:lvl w:ilvl="7" w:tplc="04100003" w:tentative="1">
      <w:start w:val="1"/>
      <w:numFmt w:val="bullet"/>
      <w:lvlText w:val="o"/>
      <w:lvlJc w:val="left"/>
      <w:pPr>
        <w:tabs>
          <w:tab w:val="num" w:pos="5820"/>
        </w:tabs>
        <w:ind w:left="5820" w:hanging="360"/>
      </w:pPr>
      <w:rPr>
        <w:rFonts w:ascii="Courier New" w:hAnsi="Courier New" w:cs="Courier New" w:hint="default"/>
      </w:rPr>
    </w:lvl>
    <w:lvl w:ilvl="8" w:tplc="04100005" w:tentative="1">
      <w:start w:val="1"/>
      <w:numFmt w:val="bullet"/>
      <w:lvlText w:val=""/>
      <w:lvlJc w:val="left"/>
      <w:pPr>
        <w:tabs>
          <w:tab w:val="num" w:pos="6540"/>
        </w:tabs>
        <w:ind w:left="6540" w:hanging="360"/>
      </w:pPr>
      <w:rPr>
        <w:rFonts w:ascii="Wingdings" w:hAnsi="Wingdings" w:hint="default"/>
      </w:rPr>
    </w:lvl>
  </w:abstractNum>
  <w:abstractNum w:abstractNumId="24" w15:restartNumberingAfterBreak="0">
    <w:nsid w:val="1D073BF9"/>
    <w:multiLevelType w:val="hybridMultilevel"/>
    <w:tmpl w:val="F506A180"/>
    <w:lvl w:ilvl="0" w:tplc="04100001">
      <w:start w:val="1"/>
      <w:numFmt w:val="bullet"/>
      <w:lvlText w:val=""/>
      <w:lvlJc w:val="left"/>
      <w:pPr>
        <w:tabs>
          <w:tab w:val="num" w:pos="360"/>
        </w:tabs>
        <w:ind w:left="360" w:hanging="360"/>
      </w:pPr>
      <w:rPr>
        <w:rFonts w:ascii="Symbol" w:hAnsi="Symbol"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269027BE"/>
    <w:multiLevelType w:val="hybridMultilevel"/>
    <w:tmpl w:val="E25A3900"/>
    <w:name w:val="WW8Num822"/>
    <w:lvl w:ilvl="0" w:tplc="D7C67D32">
      <w:start w:val="1"/>
      <w:numFmt w:val="bullet"/>
      <w:lvlText w:val=""/>
      <w:lvlJc w:val="left"/>
      <w:pPr>
        <w:tabs>
          <w:tab w:val="num" w:pos="36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0CE0E72"/>
    <w:multiLevelType w:val="hybridMultilevel"/>
    <w:tmpl w:val="A418D602"/>
    <w:lvl w:ilvl="0" w:tplc="0424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32B042C1"/>
    <w:multiLevelType w:val="hybridMultilevel"/>
    <w:tmpl w:val="FA121764"/>
    <w:lvl w:ilvl="0" w:tplc="04100001">
      <w:start w:val="1"/>
      <w:numFmt w:val="bullet"/>
      <w:lvlText w:val=""/>
      <w:lvlJc w:val="left"/>
      <w:pPr>
        <w:tabs>
          <w:tab w:val="num" w:pos="360"/>
        </w:tabs>
        <w:ind w:left="360" w:hanging="360"/>
      </w:pPr>
      <w:rPr>
        <w:rFonts w:ascii="Symbol" w:hAnsi="Symbol"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340C6B31"/>
    <w:multiLevelType w:val="hybridMultilevel"/>
    <w:tmpl w:val="FE76BDC6"/>
    <w:lvl w:ilvl="0" w:tplc="08FAAF60">
      <w:start w:val="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3E47789D"/>
    <w:multiLevelType w:val="hybridMultilevel"/>
    <w:tmpl w:val="D6482ACC"/>
    <w:name w:val="WW8Num82"/>
    <w:lvl w:ilvl="0" w:tplc="D7C67D32">
      <w:start w:val="1"/>
      <w:numFmt w:val="bullet"/>
      <w:lvlText w:val=""/>
      <w:lvlJc w:val="left"/>
      <w:pPr>
        <w:tabs>
          <w:tab w:val="num" w:pos="36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C2E4EF4"/>
    <w:multiLevelType w:val="hybridMultilevel"/>
    <w:tmpl w:val="3CDE957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55683E84"/>
    <w:multiLevelType w:val="hybridMultilevel"/>
    <w:tmpl w:val="3C68F2B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61165907"/>
    <w:multiLevelType w:val="hybridMultilevel"/>
    <w:tmpl w:val="44ACEB3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66C55687"/>
    <w:multiLevelType w:val="hybridMultilevel"/>
    <w:tmpl w:val="7620354C"/>
    <w:lvl w:ilvl="0" w:tplc="04100003">
      <w:start w:val="1"/>
      <w:numFmt w:val="bullet"/>
      <w:lvlText w:val="o"/>
      <w:lvlJc w:val="left"/>
      <w:pPr>
        <w:ind w:left="1003" w:hanging="360"/>
      </w:pPr>
      <w:rPr>
        <w:rFonts w:ascii="Courier New" w:hAnsi="Courier New" w:cs="Courier New" w:hint="default"/>
      </w:rPr>
    </w:lvl>
    <w:lvl w:ilvl="1" w:tplc="04100003" w:tentative="1">
      <w:start w:val="1"/>
      <w:numFmt w:val="bullet"/>
      <w:lvlText w:val="o"/>
      <w:lvlJc w:val="left"/>
      <w:pPr>
        <w:ind w:left="1723" w:hanging="360"/>
      </w:pPr>
      <w:rPr>
        <w:rFonts w:ascii="Courier New" w:hAnsi="Courier New" w:cs="Courier New" w:hint="default"/>
      </w:rPr>
    </w:lvl>
    <w:lvl w:ilvl="2" w:tplc="04100005" w:tentative="1">
      <w:start w:val="1"/>
      <w:numFmt w:val="bullet"/>
      <w:lvlText w:val=""/>
      <w:lvlJc w:val="left"/>
      <w:pPr>
        <w:ind w:left="2443" w:hanging="360"/>
      </w:pPr>
      <w:rPr>
        <w:rFonts w:ascii="Wingdings" w:hAnsi="Wingdings" w:hint="default"/>
      </w:rPr>
    </w:lvl>
    <w:lvl w:ilvl="3" w:tplc="04100001" w:tentative="1">
      <w:start w:val="1"/>
      <w:numFmt w:val="bullet"/>
      <w:lvlText w:val=""/>
      <w:lvlJc w:val="left"/>
      <w:pPr>
        <w:ind w:left="3163" w:hanging="360"/>
      </w:pPr>
      <w:rPr>
        <w:rFonts w:ascii="Symbol" w:hAnsi="Symbol" w:hint="default"/>
      </w:rPr>
    </w:lvl>
    <w:lvl w:ilvl="4" w:tplc="04100003" w:tentative="1">
      <w:start w:val="1"/>
      <w:numFmt w:val="bullet"/>
      <w:lvlText w:val="o"/>
      <w:lvlJc w:val="left"/>
      <w:pPr>
        <w:ind w:left="3883" w:hanging="360"/>
      </w:pPr>
      <w:rPr>
        <w:rFonts w:ascii="Courier New" w:hAnsi="Courier New" w:cs="Courier New" w:hint="default"/>
      </w:rPr>
    </w:lvl>
    <w:lvl w:ilvl="5" w:tplc="04100005" w:tentative="1">
      <w:start w:val="1"/>
      <w:numFmt w:val="bullet"/>
      <w:lvlText w:val=""/>
      <w:lvlJc w:val="left"/>
      <w:pPr>
        <w:ind w:left="4603" w:hanging="360"/>
      </w:pPr>
      <w:rPr>
        <w:rFonts w:ascii="Wingdings" w:hAnsi="Wingdings" w:hint="default"/>
      </w:rPr>
    </w:lvl>
    <w:lvl w:ilvl="6" w:tplc="04100001" w:tentative="1">
      <w:start w:val="1"/>
      <w:numFmt w:val="bullet"/>
      <w:lvlText w:val=""/>
      <w:lvlJc w:val="left"/>
      <w:pPr>
        <w:ind w:left="5323" w:hanging="360"/>
      </w:pPr>
      <w:rPr>
        <w:rFonts w:ascii="Symbol" w:hAnsi="Symbol" w:hint="default"/>
      </w:rPr>
    </w:lvl>
    <w:lvl w:ilvl="7" w:tplc="04100003" w:tentative="1">
      <w:start w:val="1"/>
      <w:numFmt w:val="bullet"/>
      <w:lvlText w:val="o"/>
      <w:lvlJc w:val="left"/>
      <w:pPr>
        <w:ind w:left="6043" w:hanging="360"/>
      </w:pPr>
      <w:rPr>
        <w:rFonts w:ascii="Courier New" w:hAnsi="Courier New" w:cs="Courier New" w:hint="default"/>
      </w:rPr>
    </w:lvl>
    <w:lvl w:ilvl="8" w:tplc="04100005" w:tentative="1">
      <w:start w:val="1"/>
      <w:numFmt w:val="bullet"/>
      <w:lvlText w:val=""/>
      <w:lvlJc w:val="left"/>
      <w:pPr>
        <w:ind w:left="6763" w:hanging="360"/>
      </w:pPr>
      <w:rPr>
        <w:rFonts w:ascii="Wingdings" w:hAnsi="Wingdings" w:hint="default"/>
      </w:rPr>
    </w:lvl>
  </w:abstractNum>
  <w:abstractNum w:abstractNumId="34" w15:restartNumberingAfterBreak="0">
    <w:nsid w:val="67B0095F"/>
    <w:multiLevelType w:val="hybridMultilevel"/>
    <w:tmpl w:val="2B42C982"/>
    <w:lvl w:ilvl="0" w:tplc="08E0FB3E">
      <w:start w:val="1"/>
      <w:numFmt w:val="upperLetter"/>
      <w:pStyle w:val="EMEA2"/>
      <w:lvlText w:val="%1."/>
      <w:lvlJc w:val="left"/>
      <w:pPr>
        <w:tabs>
          <w:tab w:val="num" w:pos="720"/>
        </w:tabs>
        <w:ind w:left="720" w:hanging="360"/>
      </w:pPr>
      <w:rPr>
        <w:rFonts w:ascii="Times New Roman" w:hAnsi="Times New Roman" w:hint="default"/>
        <w:color w:val="auto"/>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685252E9"/>
    <w:multiLevelType w:val="hybridMultilevel"/>
    <w:tmpl w:val="7C08B40A"/>
    <w:lvl w:ilvl="0" w:tplc="C08416C2">
      <w:start w:val="1"/>
      <w:numFmt w:val="bullet"/>
      <w:lvlText w:val=""/>
      <w:lvlJc w:val="left"/>
      <w:pPr>
        <w:tabs>
          <w:tab w:val="num" w:pos="851"/>
        </w:tabs>
        <w:ind w:left="851" w:hanging="567"/>
      </w:pPr>
      <w:rPr>
        <w:rFonts w:ascii="Symbol" w:hAnsi="Symbol" w:hint="default"/>
        <w:color w:val="auto"/>
      </w:rPr>
    </w:lvl>
    <w:lvl w:ilvl="1" w:tplc="0424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892049C"/>
    <w:multiLevelType w:val="hybridMultilevel"/>
    <w:tmpl w:val="E55C8426"/>
    <w:lvl w:ilvl="0" w:tplc="04100001">
      <w:start w:val="1"/>
      <w:numFmt w:val="bullet"/>
      <w:lvlText w:val=""/>
      <w:lvlJc w:val="left"/>
      <w:pPr>
        <w:tabs>
          <w:tab w:val="num" w:pos="420"/>
        </w:tabs>
        <w:ind w:left="420" w:hanging="360"/>
      </w:pPr>
      <w:rPr>
        <w:rFonts w:ascii="Symbol" w:hAnsi="Symbol" w:hint="default"/>
        <w:color w:val="auto"/>
      </w:rPr>
    </w:lvl>
    <w:lvl w:ilvl="1" w:tplc="04100003" w:tentative="1">
      <w:start w:val="1"/>
      <w:numFmt w:val="bullet"/>
      <w:lvlText w:val="o"/>
      <w:lvlJc w:val="left"/>
      <w:pPr>
        <w:tabs>
          <w:tab w:val="num" w:pos="1500"/>
        </w:tabs>
        <w:ind w:left="1500" w:hanging="360"/>
      </w:pPr>
      <w:rPr>
        <w:rFonts w:ascii="Courier New" w:hAnsi="Courier New" w:cs="Courier New" w:hint="default"/>
      </w:rPr>
    </w:lvl>
    <w:lvl w:ilvl="2" w:tplc="04100005" w:tentative="1">
      <w:start w:val="1"/>
      <w:numFmt w:val="bullet"/>
      <w:lvlText w:val=""/>
      <w:lvlJc w:val="left"/>
      <w:pPr>
        <w:tabs>
          <w:tab w:val="num" w:pos="2220"/>
        </w:tabs>
        <w:ind w:left="2220" w:hanging="360"/>
      </w:pPr>
      <w:rPr>
        <w:rFonts w:ascii="Wingdings" w:hAnsi="Wingdings" w:hint="default"/>
      </w:rPr>
    </w:lvl>
    <w:lvl w:ilvl="3" w:tplc="04100001" w:tentative="1">
      <w:start w:val="1"/>
      <w:numFmt w:val="bullet"/>
      <w:lvlText w:val=""/>
      <w:lvlJc w:val="left"/>
      <w:pPr>
        <w:tabs>
          <w:tab w:val="num" w:pos="2940"/>
        </w:tabs>
        <w:ind w:left="2940" w:hanging="360"/>
      </w:pPr>
      <w:rPr>
        <w:rFonts w:ascii="Symbol" w:hAnsi="Symbol" w:hint="default"/>
      </w:rPr>
    </w:lvl>
    <w:lvl w:ilvl="4" w:tplc="04100003" w:tentative="1">
      <w:start w:val="1"/>
      <w:numFmt w:val="bullet"/>
      <w:lvlText w:val="o"/>
      <w:lvlJc w:val="left"/>
      <w:pPr>
        <w:tabs>
          <w:tab w:val="num" w:pos="3660"/>
        </w:tabs>
        <w:ind w:left="3660" w:hanging="360"/>
      </w:pPr>
      <w:rPr>
        <w:rFonts w:ascii="Courier New" w:hAnsi="Courier New" w:cs="Courier New" w:hint="default"/>
      </w:rPr>
    </w:lvl>
    <w:lvl w:ilvl="5" w:tplc="04100005" w:tentative="1">
      <w:start w:val="1"/>
      <w:numFmt w:val="bullet"/>
      <w:lvlText w:val=""/>
      <w:lvlJc w:val="left"/>
      <w:pPr>
        <w:tabs>
          <w:tab w:val="num" w:pos="4380"/>
        </w:tabs>
        <w:ind w:left="4380" w:hanging="360"/>
      </w:pPr>
      <w:rPr>
        <w:rFonts w:ascii="Wingdings" w:hAnsi="Wingdings" w:hint="default"/>
      </w:rPr>
    </w:lvl>
    <w:lvl w:ilvl="6" w:tplc="04100001" w:tentative="1">
      <w:start w:val="1"/>
      <w:numFmt w:val="bullet"/>
      <w:lvlText w:val=""/>
      <w:lvlJc w:val="left"/>
      <w:pPr>
        <w:tabs>
          <w:tab w:val="num" w:pos="5100"/>
        </w:tabs>
        <w:ind w:left="5100" w:hanging="360"/>
      </w:pPr>
      <w:rPr>
        <w:rFonts w:ascii="Symbol" w:hAnsi="Symbol" w:hint="default"/>
      </w:rPr>
    </w:lvl>
    <w:lvl w:ilvl="7" w:tplc="04100003" w:tentative="1">
      <w:start w:val="1"/>
      <w:numFmt w:val="bullet"/>
      <w:lvlText w:val="o"/>
      <w:lvlJc w:val="left"/>
      <w:pPr>
        <w:tabs>
          <w:tab w:val="num" w:pos="5820"/>
        </w:tabs>
        <w:ind w:left="5820" w:hanging="360"/>
      </w:pPr>
      <w:rPr>
        <w:rFonts w:ascii="Courier New" w:hAnsi="Courier New" w:cs="Courier New" w:hint="default"/>
      </w:rPr>
    </w:lvl>
    <w:lvl w:ilvl="8" w:tplc="04100005" w:tentative="1">
      <w:start w:val="1"/>
      <w:numFmt w:val="bullet"/>
      <w:lvlText w:val=""/>
      <w:lvlJc w:val="left"/>
      <w:pPr>
        <w:tabs>
          <w:tab w:val="num" w:pos="6540"/>
        </w:tabs>
        <w:ind w:left="6540" w:hanging="360"/>
      </w:pPr>
      <w:rPr>
        <w:rFonts w:ascii="Wingdings" w:hAnsi="Wingdings" w:hint="default"/>
      </w:rPr>
    </w:lvl>
  </w:abstractNum>
  <w:abstractNum w:abstractNumId="37" w15:restartNumberingAfterBreak="0">
    <w:nsid w:val="69B04D33"/>
    <w:multiLevelType w:val="hybridMultilevel"/>
    <w:tmpl w:val="DDCC8436"/>
    <w:lvl w:ilvl="0" w:tplc="295E5DB2">
      <w:start w:val="3"/>
      <w:numFmt w:val="bullet"/>
      <w:lvlText w:val="-"/>
      <w:lvlJc w:val="left"/>
      <w:pPr>
        <w:tabs>
          <w:tab w:val="num" w:pos="360"/>
        </w:tabs>
        <w:ind w:left="360" w:hanging="360"/>
      </w:pPr>
      <w:rPr>
        <w:rFonts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02879C2"/>
    <w:multiLevelType w:val="hybridMultilevel"/>
    <w:tmpl w:val="ABE4CAAA"/>
    <w:lvl w:ilvl="0" w:tplc="FFFFFFFF">
      <w:start w:val="1"/>
      <w:numFmt w:val="bullet"/>
      <w:lvlText w:val="-"/>
      <w:lvlJc w:val="left"/>
      <w:pPr>
        <w:ind w:left="1003" w:hanging="360"/>
      </w:pPr>
      <w:rPr>
        <w:rFonts w:hint="default"/>
      </w:rPr>
    </w:lvl>
    <w:lvl w:ilvl="1" w:tplc="04100003" w:tentative="1">
      <w:start w:val="1"/>
      <w:numFmt w:val="bullet"/>
      <w:lvlText w:val="o"/>
      <w:lvlJc w:val="left"/>
      <w:pPr>
        <w:ind w:left="1723" w:hanging="360"/>
      </w:pPr>
      <w:rPr>
        <w:rFonts w:ascii="Courier New" w:hAnsi="Courier New" w:cs="Courier New" w:hint="default"/>
      </w:rPr>
    </w:lvl>
    <w:lvl w:ilvl="2" w:tplc="04100005" w:tentative="1">
      <w:start w:val="1"/>
      <w:numFmt w:val="bullet"/>
      <w:lvlText w:val=""/>
      <w:lvlJc w:val="left"/>
      <w:pPr>
        <w:ind w:left="2443" w:hanging="360"/>
      </w:pPr>
      <w:rPr>
        <w:rFonts w:ascii="Wingdings" w:hAnsi="Wingdings" w:hint="default"/>
      </w:rPr>
    </w:lvl>
    <w:lvl w:ilvl="3" w:tplc="04100001" w:tentative="1">
      <w:start w:val="1"/>
      <w:numFmt w:val="bullet"/>
      <w:lvlText w:val=""/>
      <w:lvlJc w:val="left"/>
      <w:pPr>
        <w:ind w:left="3163" w:hanging="360"/>
      </w:pPr>
      <w:rPr>
        <w:rFonts w:ascii="Symbol" w:hAnsi="Symbol" w:hint="default"/>
      </w:rPr>
    </w:lvl>
    <w:lvl w:ilvl="4" w:tplc="04100003" w:tentative="1">
      <w:start w:val="1"/>
      <w:numFmt w:val="bullet"/>
      <w:lvlText w:val="o"/>
      <w:lvlJc w:val="left"/>
      <w:pPr>
        <w:ind w:left="3883" w:hanging="360"/>
      </w:pPr>
      <w:rPr>
        <w:rFonts w:ascii="Courier New" w:hAnsi="Courier New" w:cs="Courier New" w:hint="default"/>
      </w:rPr>
    </w:lvl>
    <w:lvl w:ilvl="5" w:tplc="04100005" w:tentative="1">
      <w:start w:val="1"/>
      <w:numFmt w:val="bullet"/>
      <w:lvlText w:val=""/>
      <w:lvlJc w:val="left"/>
      <w:pPr>
        <w:ind w:left="4603" w:hanging="360"/>
      </w:pPr>
      <w:rPr>
        <w:rFonts w:ascii="Wingdings" w:hAnsi="Wingdings" w:hint="default"/>
      </w:rPr>
    </w:lvl>
    <w:lvl w:ilvl="6" w:tplc="04100001" w:tentative="1">
      <w:start w:val="1"/>
      <w:numFmt w:val="bullet"/>
      <w:lvlText w:val=""/>
      <w:lvlJc w:val="left"/>
      <w:pPr>
        <w:ind w:left="5323" w:hanging="360"/>
      </w:pPr>
      <w:rPr>
        <w:rFonts w:ascii="Symbol" w:hAnsi="Symbol" w:hint="default"/>
      </w:rPr>
    </w:lvl>
    <w:lvl w:ilvl="7" w:tplc="04100003" w:tentative="1">
      <w:start w:val="1"/>
      <w:numFmt w:val="bullet"/>
      <w:lvlText w:val="o"/>
      <w:lvlJc w:val="left"/>
      <w:pPr>
        <w:ind w:left="6043" w:hanging="360"/>
      </w:pPr>
      <w:rPr>
        <w:rFonts w:ascii="Courier New" w:hAnsi="Courier New" w:cs="Courier New" w:hint="default"/>
      </w:rPr>
    </w:lvl>
    <w:lvl w:ilvl="8" w:tplc="04100005" w:tentative="1">
      <w:start w:val="1"/>
      <w:numFmt w:val="bullet"/>
      <w:lvlText w:val=""/>
      <w:lvlJc w:val="left"/>
      <w:pPr>
        <w:ind w:left="6763" w:hanging="360"/>
      </w:pPr>
      <w:rPr>
        <w:rFonts w:ascii="Wingdings" w:hAnsi="Wingdings" w:hint="default"/>
      </w:rPr>
    </w:lvl>
  </w:abstractNum>
  <w:num w:numId="1">
    <w:abstractNumId w:val="10"/>
  </w:num>
  <w:num w:numId="2">
    <w:abstractNumId w:val="11"/>
  </w:num>
  <w:num w:numId="3">
    <w:abstractNumId w:val="12"/>
  </w:num>
  <w:num w:numId="4">
    <w:abstractNumId w:val="13"/>
  </w:num>
  <w:num w:numId="5">
    <w:abstractNumId w:val="14"/>
  </w:num>
  <w:num w:numId="6">
    <w:abstractNumId w:val="18"/>
  </w:num>
  <w:num w:numId="7">
    <w:abstractNumId w:val="29"/>
  </w:num>
  <w:num w:numId="8">
    <w:abstractNumId w:val="25"/>
  </w:num>
  <w:num w:numId="9">
    <w:abstractNumId w:val="30"/>
  </w:num>
  <w:num w:numId="10">
    <w:abstractNumId w:val="31"/>
  </w:num>
  <w:num w:numId="11">
    <w:abstractNumId w:val="32"/>
  </w:num>
  <w:num w:numId="12">
    <w:abstractNumId w:val="22"/>
  </w:num>
  <w:num w:numId="13">
    <w:abstractNumId w:val="35"/>
  </w:num>
  <w:num w:numId="14">
    <w:abstractNumId w:val="8"/>
  </w:num>
  <w:num w:numId="15">
    <w:abstractNumId w:val="3"/>
  </w:num>
  <w:num w:numId="16">
    <w:abstractNumId w:val="2"/>
  </w:num>
  <w:num w:numId="17">
    <w:abstractNumId w:val="1"/>
  </w:num>
  <w:num w:numId="18">
    <w:abstractNumId w:val="0"/>
  </w:num>
  <w:num w:numId="19">
    <w:abstractNumId w:val="9"/>
  </w:num>
  <w:num w:numId="20">
    <w:abstractNumId w:val="7"/>
  </w:num>
  <w:num w:numId="21">
    <w:abstractNumId w:val="6"/>
  </w:num>
  <w:num w:numId="22">
    <w:abstractNumId w:val="5"/>
  </w:num>
  <w:num w:numId="23">
    <w:abstractNumId w:val="4"/>
  </w:num>
  <w:num w:numId="24">
    <w:abstractNumId w:val="23"/>
  </w:num>
  <w:num w:numId="25">
    <w:abstractNumId w:val="34"/>
  </w:num>
  <w:num w:numId="26">
    <w:abstractNumId w:val="20"/>
  </w:num>
  <w:num w:numId="27">
    <w:abstractNumId w:val="26"/>
  </w:num>
  <w:num w:numId="28">
    <w:abstractNumId w:val="38"/>
  </w:num>
  <w:num w:numId="29">
    <w:abstractNumId w:val="28"/>
  </w:num>
  <w:num w:numId="30">
    <w:abstractNumId w:val="27"/>
  </w:num>
  <w:num w:numId="31">
    <w:abstractNumId w:val="37"/>
  </w:num>
  <w:num w:numId="32">
    <w:abstractNumId w:val="24"/>
  </w:num>
  <w:num w:numId="33">
    <w:abstractNumId w:val="36"/>
  </w:num>
  <w:num w:numId="34">
    <w:abstractNumId w:val="33"/>
  </w:num>
  <w:num w:numId="35">
    <w:abstractNumId w:val="21"/>
  </w:num>
  <w:numIdMacAtCleanup w:val="28"/>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T">
    <w15:presenceInfo w15:providerId="None" w15:userId="MT"/>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TrackFormatting/>
  <w:defaultTabStop w:val="708"/>
  <w:hyphenationZone w:val="425"/>
  <w:characterSpacingControl w:val="doNotCompress"/>
  <w:hdrShapeDefaults>
    <o:shapedefaults v:ext="edit" spidmax="2050"/>
  </w:hdrShapeDefaults>
  <w:footnotePr>
    <w:pos w:val="beneathText"/>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0484C557-7EC8-4D3C-9AEA-C503A434EB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lang w:eastAsia="en-US"/>
    </w:rPr>
  </w:style>
  <w:style w:type="paragraph" w:styleId="Heading1">
    <w:name w:val="heading 1"/>
    <w:basedOn w:val="Normal"/>
    <w:next w:val="Normal"/>
    <w:link w:val="Heading1Char"/>
    <w:uiPriority w:val="9"/>
    <w:qFormat/>
    <w:pPr>
      <w:keepNext/>
      <w:widowControl w:val="0"/>
      <w:suppressAutoHyphens/>
      <w:autoSpaceDE w:val="0"/>
      <w:spacing w:before="240" w:after="60" w:line="240" w:lineRule="auto"/>
      <w:outlineLvl w:val="0"/>
    </w:pPr>
    <w:rPr>
      <w:rFonts w:ascii="Cambria" w:eastAsia="Times New Roman" w:hAnsi="Cambria"/>
      <w:b/>
      <w:bCs/>
      <w:kern w:val="32"/>
      <w:sz w:val="32"/>
      <w:szCs w:val="32"/>
      <w:lang w:val="it-IT" w:eastAsia="ar-SA"/>
    </w:rPr>
  </w:style>
  <w:style w:type="paragraph" w:styleId="Heading2">
    <w:name w:val="heading 2"/>
    <w:basedOn w:val="Normal"/>
    <w:next w:val="Normal"/>
    <w:link w:val="Heading2Char"/>
    <w:uiPriority w:val="9"/>
    <w:qFormat/>
    <w:pPr>
      <w:keepNext/>
      <w:widowControl w:val="0"/>
      <w:suppressAutoHyphens/>
      <w:autoSpaceDE w:val="0"/>
      <w:spacing w:before="240" w:after="60" w:line="240" w:lineRule="auto"/>
      <w:outlineLvl w:val="1"/>
    </w:pPr>
    <w:rPr>
      <w:rFonts w:ascii="Cambria" w:eastAsia="Times New Roman" w:hAnsi="Cambria"/>
      <w:b/>
      <w:bCs/>
      <w:i/>
      <w:iCs/>
      <w:sz w:val="28"/>
      <w:szCs w:val="28"/>
      <w:lang w:val="it-IT" w:eastAsia="ar-SA"/>
    </w:rPr>
  </w:style>
  <w:style w:type="paragraph" w:styleId="Heading3">
    <w:name w:val="heading 3"/>
    <w:basedOn w:val="Normal"/>
    <w:next w:val="Normal"/>
    <w:link w:val="Heading3Char"/>
    <w:uiPriority w:val="9"/>
    <w:semiHidden/>
    <w:unhideWhenUsed/>
    <w:qFormat/>
    <w:pPr>
      <w:keepNext/>
      <w:widowControl w:val="0"/>
      <w:suppressAutoHyphens/>
      <w:autoSpaceDE w:val="0"/>
      <w:spacing w:before="240" w:after="60" w:line="240" w:lineRule="auto"/>
      <w:outlineLvl w:val="2"/>
    </w:pPr>
    <w:rPr>
      <w:rFonts w:ascii="Cambria" w:eastAsia="Times New Roman" w:hAnsi="Cambria"/>
      <w:b/>
      <w:bCs/>
      <w:sz w:val="26"/>
      <w:szCs w:val="26"/>
      <w:lang w:val="it-IT" w:eastAsia="ar-SA"/>
    </w:rPr>
  </w:style>
  <w:style w:type="paragraph" w:styleId="Heading4">
    <w:name w:val="heading 4"/>
    <w:basedOn w:val="Normal"/>
    <w:next w:val="Normal"/>
    <w:link w:val="Heading4Char"/>
    <w:uiPriority w:val="9"/>
    <w:unhideWhenUsed/>
    <w:qFormat/>
    <w:pPr>
      <w:keepNext/>
      <w:widowControl w:val="0"/>
      <w:suppressAutoHyphens/>
      <w:autoSpaceDE w:val="0"/>
      <w:spacing w:before="240" w:after="60" w:line="240" w:lineRule="auto"/>
      <w:outlineLvl w:val="3"/>
    </w:pPr>
    <w:rPr>
      <w:rFonts w:eastAsia="Times New Roman"/>
      <w:b/>
      <w:bCs/>
      <w:sz w:val="28"/>
      <w:szCs w:val="28"/>
      <w:lang w:val="it-IT" w:eastAsia="ar-SA"/>
    </w:rPr>
  </w:style>
  <w:style w:type="paragraph" w:styleId="Heading5">
    <w:name w:val="heading 5"/>
    <w:basedOn w:val="Normal"/>
    <w:next w:val="Normal"/>
    <w:link w:val="Heading5Char"/>
    <w:uiPriority w:val="9"/>
    <w:semiHidden/>
    <w:unhideWhenUsed/>
    <w:qFormat/>
    <w:pPr>
      <w:widowControl w:val="0"/>
      <w:suppressAutoHyphens/>
      <w:autoSpaceDE w:val="0"/>
      <w:spacing w:before="240" w:after="60" w:line="240" w:lineRule="auto"/>
      <w:outlineLvl w:val="4"/>
    </w:pPr>
    <w:rPr>
      <w:rFonts w:eastAsia="Times New Roman"/>
      <w:b/>
      <w:bCs/>
      <w:i/>
      <w:iCs/>
      <w:sz w:val="26"/>
      <w:szCs w:val="26"/>
      <w:lang w:val="it-IT" w:eastAsia="ar-SA"/>
    </w:rPr>
  </w:style>
  <w:style w:type="paragraph" w:styleId="Heading6">
    <w:name w:val="heading 6"/>
    <w:basedOn w:val="Normal"/>
    <w:next w:val="Normal"/>
    <w:link w:val="Heading6Char"/>
    <w:uiPriority w:val="9"/>
    <w:semiHidden/>
    <w:unhideWhenUsed/>
    <w:qFormat/>
    <w:pPr>
      <w:widowControl w:val="0"/>
      <w:suppressAutoHyphens/>
      <w:autoSpaceDE w:val="0"/>
      <w:spacing w:before="240" w:after="60" w:line="240" w:lineRule="auto"/>
      <w:outlineLvl w:val="5"/>
    </w:pPr>
    <w:rPr>
      <w:rFonts w:eastAsia="Times New Roman"/>
      <w:b/>
      <w:bCs/>
      <w:sz w:val="20"/>
      <w:szCs w:val="20"/>
      <w:lang w:val="it-IT" w:eastAsia="ar-SA"/>
    </w:rPr>
  </w:style>
  <w:style w:type="paragraph" w:styleId="Heading7">
    <w:name w:val="heading 7"/>
    <w:basedOn w:val="Normal"/>
    <w:next w:val="Normal"/>
    <w:link w:val="Heading7Char"/>
    <w:uiPriority w:val="9"/>
    <w:semiHidden/>
    <w:unhideWhenUsed/>
    <w:qFormat/>
    <w:pPr>
      <w:widowControl w:val="0"/>
      <w:suppressAutoHyphens/>
      <w:autoSpaceDE w:val="0"/>
      <w:spacing w:before="240" w:after="60" w:line="240" w:lineRule="auto"/>
      <w:outlineLvl w:val="6"/>
    </w:pPr>
    <w:rPr>
      <w:rFonts w:eastAsia="Times New Roman"/>
      <w:sz w:val="24"/>
      <w:szCs w:val="24"/>
      <w:lang w:val="it-IT" w:eastAsia="ar-SA"/>
    </w:rPr>
  </w:style>
  <w:style w:type="paragraph" w:styleId="Heading8">
    <w:name w:val="heading 8"/>
    <w:basedOn w:val="Normal"/>
    <w:next w:val="Normal"/>
    <w:link w:val="Heading8Char"/>
    <w:uiPriority w:val="9"/>
    <w:semiHidden/>
    <w:unhideWhenUsed/>
    <w:qFormat/>
    <w:pPr>
      <w:widowControl w:val="0"/>
      <w:suppressAutoHyphens/>
      <w:autoSpaceDE w:val="0"/>
      <w:spacing w:before="240" w:after="60" w:line="240" w:lineRule="auto"/>
      <w:outlineLvl w:val="7"/>
    </w:pPr>
    <w:rPr>
      <w:rFonts w:eastAsia="Times New Roman"/>
      <w:i/>
      <w:iCs/>
      <w:sz w:val="24"/>
      <w:szCs w:val="24"/>
      <w:lang w:val="it-IT" w:eastAsia="ar-SA"/>
    </w:rPr>
  </w:style>
  <w:style w:type="paragraph" w:styleId="Heading9">
    <w:name w:val="heading 9"/>
    <w:basedOn w:val="Normal"/>
    <w:next w:val="Normal"/>
    <w:link w:val="Heading9Char"/>
    <w:uiPriority w:val="9"/>
    <w:semiHidden/>
    <w:unhideWhenUsed/>
    <w:qFormat/>
    <w:pPr>
      <w:widowControl w:val="0"/>
      <w:suppressAutoHyphens/>
      <w:autoSpaceDE w:val="0"/>
      <w:spacing w:before="240" w:after="60" w:line="240" w:lineRule="auto"/>
      <w:outlineLvl w:val="8"/>
    </w:pPr>
    <w:rPr>
      <w:rFonts w:ascii="Cambria" w:eastAsia="Times New Roman" w:hAnsi="Cambria"/>
      <w:sz w:val="20"/>
      <w:szCs w:val="20"/>
      <w:lang w:val="it-IT"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Pr>
      <w:rFonts w:ascii="Cambria" w:eastAsia="Times New Roman" w:hAnsi="Cambria" w:cs="Times New Roman"/>
      <w:b/>
      <w:bCs/>
      <w:kern w:val="32"/>
      <w:sz w:val="32"/>
      <w:szCs w:val="32"/>
      <w:lang w:val="it-IT" w:eastAsia="ar-SA"/>
    </w:rPr>
  </w:style>
  <w:style w:type="character" w:customStyle="1" w:styleId="Heading2Char">
    <w:name w:val="Heading 2 Char"/>
    <w:link w:val="Heading2"/>
    <w:uiPriority w:val="9"/>
    <w:rPr>
      <w:rFonts w:ascii="Cambria" w:eastAsia="Times New Roman" w:hAnsi="Cambria" w:cs="Times New Roman"/>
      <w:b/>
      <w:bCs/>
      <w:i/>
      <w:iCs/>
      <w:sz w:val="28"/>
      <w:szCs w:val="28"/>
      <w:lang w:val="it-IT" w:eastAsia="ar-SA"/>
    </w:rPr>
  </w:style>
  <w:style w:type="character" w:customStyle="1" w:styleId="Heading3Char">
    <w:name w:val="Heading 3 Char"/>
    <w:link w:val="Heading3"/>
    <w:uiPriority w:val="9"/>
    <w:semiHidden/>
    <w:rPr>
      <w:rFonts w:ascii="Cambria" w:eastAsia="Times New Roman" w:hAnsi="Cambria" w:cs="Times New Roman"/>
      <w:b/>
      <w:bCs/>
      <w:sz w:val="26"/>
      <w:szCs w:val="26"/>
      <w:lang w:val="it-IT" w:eastAsia="ar-SA"/>
    </w:rPr>
  </w:style>
  <w:style w:type="character" w:customStyle="1" w:styleId="Heading4Char">
    <w:name w:val="Heading 4 Char"/>
    <w:link w:val="Heading4"/>
    <w:uiPriority w:val="9"/>
    <w:rPr>
      <w:rFonts w:ascii="Calibri" w:eastAsia="Times New Roman" w:hAnsi="Calibri" w:cs="Times New Roman"/>
      <w:b/>
      <w:bCs/>
      <w:sz w:val="28"/>
      <w:szCs w:val="28"/>
      <w:lang w:val="it-IT" w:eastAsia="ar-SA"/>
    </w:rPr>
  </w:style>
  <w:style w:type="character" w:customStyle="1" w:styleId="Heading5Char">
    <w:name w:val="Heading 5 Char"/>
    <w:link w:val="Heading5"/>
    <w:uiPriority w:val="9"/>
    <w:semiHidden/>
    <w:rPr>
      <w:rFonts w:ascii="Calibri" w:eastAsia="Times New Roman" w:hAnsi="Calibri" w:cs="Times New Roman"/>
      <w:b/>
      <w:bCs/>
      <w:i/>
      <w:iCs/>
      <w:sz w:val="26"/>
      <w:szCs w:val="26"/>
      <w:lang w:val="it-IT" w:eastAsia="ar-SA"/>
    </w:rPr>
  </w:style>
  <w:style w:type="character" w:customStyle="1" w:styleId="Heading6Char">
    <w:name w:val="Heading 6 Char"/>
    <w:link w:val="Heading6"/>
    <w:uiPriority w:val="9"/>
    <w:semiHidden/>
    <w:rPr>
      <w:rFonts w:ascii="Calibri" w:eastAsia="Times New Roman" w:hAnsi="Calibri" w:cs="Times New Roman"/>
      <w:b/>
      <w:bCs/>
      <w:lang w:val="it-IT" w:eastAsia="ar-SA"/>
    </w:rPr>
  </w:style>
  <w:style w:type="character" w:customStyle="1" w:styleId="Heading7Char">
    <w:name w:val="Heading 7 Char"/>
    <w:link w:val="Heading7"/>
    <w:uiPriority w:val="9"/>
    <w:semiHidden/>
    <w:rPr>
      <w:rFonts w:ascii="Calibri" w:eastAsia="Times New Roman" w:hAnsi="Calibri" w:cs="Times New Roman"/>
      <w:sz w:val="24"/>
      <w:szCs w:val="24"/>
      <w:lang w:val="it-IT" w:eastAsia="ar-SA"/>
    </w:rPr>
  </w:style>
  <w:style w:type="character" w:customStyle="1" w:styleId="Heading8Char">
    <w:name w:val="Heading 8 Char"/>
    <w:link w:val="Heading8"/>
    <w:uiPriority w:val="9"/>
    <w:semiHidden/>
    <w:rPr>
      <w:rFonts w:ascii="Calibri" w:eastAsia="Times New Roman" w:hAnsi="Calibri" w:cs="Times New Roman"/>
      <w:i/>
      <w:iCs/>
      <w:sz w:val="24"/>
      <w:szCs w:val="24"/>
      <w:lang w:val="it-IT" w:eastAsia="ar-SA"/>
    </w:rPr>
  </w:style>
  <w:style w:type="character" w:customStyle="1" w:styleId="Heading9Char">
    <w:name w:val="Heading 9 Char"/>
    <w:link w:val="Heading9"/>
    <w:uiPriority w:val="9"/>
    <w:semiHidden/>
    <w:rPr>
      <w:rFonts w:ascii="Cambria" w:eastAsia="Times New Roman" w:hAnsi="Cambria" w:cs="Times New Roman"/>
      <w:lang w:val="it-IT" w:eastAsia="ar-SA"/>
    </w:rPr>
  </w:style>
  <w:style w:type="numbering" w:customStyle="1" w:styleId="Brezseznama1">
    <w:name w:val="Brez seznama1"/>
    <w:next w:val="NoList"/>
    <w:uiPriority w:val="99"/>
    <w:semiHidden/>
    <w:unhideWhenUsed/>
  </w:style>
  <w:style w:type="character" w:customStyle="1" w:styleId="WW8Num1z0">
    <w:name w:val="WW8Num1z0"/>
    <w:rPr>
      <w:rFonts w:ascii="Times New Roman" w:hAnsi="Times New Roman" w:cs="Times New Roman"/>
    </w:rPr>
  </w:style>
  <w:style w:type="character" w:customStyle="1" w:styleId="WW8Num2z0">
    <w:name w:val="WW8Num2z0"/>
    <w:rPr>
      <w:rFonts w:ascii="Times New Roman" w:hAnsi="Times New Roman" w:cs="Times New Roman"/>
    </w:rPr>
  </w:style>
  <w:style w:type="character" w:customStyle="1" w:styleId="WW8Num3z0">
    <w:name w:val="WW8Num3z0"/>
    <w:rPr>
      <w:rFonts w:ascii="Times New Roman" w:hAnsi="Times New Roman" w:cs="Times New Roman"/>
    </w:rPr>
  </w:style>
  <w:style w:type="character" w:customStyle="1" w:styleId="WW8Num6z0">
    <w:name w:val="WW8Num6z0"/>
    <w:rPr>
      <w:rFonts w:ascii="Times New Roman" w:eastAsia="Times New Roman" w:hAnsi="Times New Roman" w:cs="Times New Roman"/>
    </w:rPr>
  </w:style>
  <w:style w:type="character" w:customStyle="1" w:styleId="WW8Num7z0">
    <w:name w:val="WW8Num7z0"/>
    <w:rPr>
      <w:rFonts w:ascii="Times New Roman" w:eastAsia="Times New Roman" w:hAnsi="Times New Roman" w:cs="Times New Roman"/>
      <w:color w:val="000000"/>
      <w:sz w:val="22"/>
    </w:rPr>
  </w:style>
  <w:style w:type="character" w:customStyle="1" w:styleId="WW8Num8z0">
    <w:name w:val="WW8Num8z0"/>
    <w:rPr>
      <w:rFonts w:ascii="Times New Roman" w:hAnsi="Times New Roman" w:cs="Times New Roman"/>
    </w:rPr>
  </w:style>
  <w:style w:type="character" w:customStyle="1" w:styleId="WW8Num9z0">
    <w:name w:val="WW8Num9z0"/>
    <w:rPr>
      <w:rFonts w:ascii="Times New Roman" w:hAnsi="Times New Roman" w:cs="Times New Roman"/>
    </w:rPr>
  </w:style>
  <w:style w:type="character" w:customStyle="1" w:styleId="WW8Num10z0">
    <w:name w:val="WW8Num10z0"/>
    <w:rPr>
      <w:rFonts w:ascii="Times New Roman" w:hAnsi="Times New Roman" w:cs="Times New Roman"/>
    </w:rPr>
  </w:style>
  <w:style w:type="character" w:customStyle="1" w:styleId="Absatz-Standardschriftart">
    <w:name w:val="Absatz-Standardschriftart"/>
  </w:style>
  <w:style w:type="character" w:customStyle="1" w:styleId="WW8Num4z0">
    <w:name w:val="WW8Num4z0"/>
    <w:rPr>
      <w:rFonts w:ascii="Times New Roman" w:hAnsi="Times New Roman" w:cs="Times New Roman"/>
    </w:rPr>
  </w:style>
  <w:style w:type="character" w:customStyle="1" w:styleId="WW8Num5z0">
    <w:name w:val="WW8Num5z0"/>
    <w:rPr>
      <w:rFonts w:ascii="Times New Roman" w:hAnsi="Times New Roman" w:cs="Times New Roman"/>
    </w:rPr>
  </w:style>
  <w:style w:type="character" w:customStyle="1" w:styleId="WW8Num11z0">
    <w:name w:val="WW8Num11z0"/>
    <w:rPr>
      <w:rFonts w:ascii="Times New Roman" w:eastAsia="Times New Roman" w:hAnsi="Times New Roman" w:cs="Times New Roman"/>
    </w:rPr>
  </w:style>
  <w:style w:type="character" w:customStyle="1" w:styleId="WW8Num11z1">
    <w:name w:val="WW8Num11z1"/>
    <w:rPr>
      <w:rFonts w:ascii="Courier New" w:hAnsi="Courier New" w:cs="Courier New"/>
    </w:rPr>
  </w:style>
  <w:style w:type="character" w:customStyle="1" w:styleId="WW8Num11z2">
    <w:name w:val="WW8Num11z2"/>
    <w:rPr>
      <w:rFonts w:ascii="Wingdings" w:hAnsi="Wingdings"/>
    </w:rPr>
  </w:style>
  <w:style w:type="character" w:customStyle="1" w:styleId="WW8Num11z3">
    <w:name w:val="WW8Num11z3"/>
    <w:rPr>
      <w:rFonts w:ascii="Symbol" w:hAnsi="Symbol"/>
    </w:rPr>
  </w:style>
  <w:style w:type="character" w:customStyle="1" w:styleId="WW8Num13z0">
    <w:name w:val="WW8Num13z0"/>
    <w:rPr>
      <w:rFonts w:ascii="Times New Roman" w:hAnsi="Times New Roman" w:cs="Times New Roman"/>
    </w:rPr>
  </w:style>
  <w:style w:type="character" w:customStyle="1" w:styleId="WW8Num13z1">
    <w:name w:val="WW8Num13z1"/>
    <w:rPr>
      <w:rFonts w:ascii="Times New Roman" w:eastAsia="Times New Roman" w:hAnsi="Times New Roman" w:cs="Times New Roman"/>
    </w:rPr>
  </w:style>
  <w:style w:type="character" w:customStyle="1" w:styleId="WW8Num13z2">
    <w:name w:val="WW8Num13z2"/>
    <w:rPr>
      <w:rFonts w:ascii="Wingdings" w:hAnsi="Wingdings"/>
    </w:rPr>
  </w:style>
  <w:style w:type="character" w:customStyle="1" w:styleId="WW8Num13z3">
    <w:name w:val="WW8Num13z3"/>
    <w:rPr>
      <w:rFonts w:ascii="Symbol" w:hAnsi="Symbol"/>
    </w:rPr>
  </w:style>
  <w:style w:type="character" w:customStyle="1" w:styleId="WW8Num13z4">
    <w:name w:val="WW8Num13z4"/>
    <w:rPr>
      <w:rFonts w:ascii="Courier New" w:hAnsi="Courier New" w:cs="Courier New"/>
    </w:rPr>
  </w:style>
  <w:style w:type="character" w:customStyle="1" w:styleId="WW8Num14z0">
    <w:name w:val="WW8Num14z0"/>
    <w:rPr>
      <w:rFonts w:ascii="Times New Roman" w:eastAsia="Times New Roman" w:hAnsi="Times New Roman" w:cs="Times New Roman"/>
    </w:rPr>
  </w:style>
  <w:style w:type="character" w:customStyle="1" w:styleId="WW8Num14z1">
    <w:name w:val="WW8Num14z1"/>
    <w:rPr>
      <w:rFonts w:ascii="Courier New" w:hAnsi="Courier New" w:cs="Courier New"/>
    </w:rPr>
  </w:style>
  <w:style w:type="character" w:customStyle="1" w:styleId="WW8Num14z2">
    <w:name w:val="WW8Num14z2"/>
    <w:rPr>
      <w:rFonts w:ascii="Wingdings" w:hAnsi="Wingdings"/>
    </w:rPr>
  </w:style>
  <w:style w:type="character" w:customStyle="1" w:styleId="WW8Num14z3">
    <w:name w:val="WW8Num14z3"/>
    <w:rPr>
      <w:rFonts w:ascii="Symbol" w:hAnsi="Symbol"/>
    </w:rPr>
  </w:style>
  <w:style w:type="character" w:customStyle="1" w:styleId="WW8Num16z0">
    <w:name w:val="WW8Num16z0"/>
    <w:rPr>
      <w:rFonts w:ascii="Times New Roman" w:hAnsi="Times New Roman" w:cs="Times New Roman"/>
    </w:rPr>
  </w:style>
  <w:style w:type="character" w:customStyle="1" w:styleId="WW8Num16z1">
    <w:name w:val="WW8Num16z1"/>
    <w:rPr>
      <w:rFonts w:ascii="Courier New" w:hAnsi="Courier New" w:cs="Courier New"/>
    </w:rPr>
  </w:style>
  <w:style w:type="character" w:customStyle="1" w:styleId="WW8Num16z2">
    <w:name w:val="WW8Num16z2"/>
    <w:rPr>
      <w:rFonts w:ascii="Wingdings" w:hAnsi="Wingdings"/>
    </w:rPr>
  </w:style>
  <w:style w:type="character" w:customStyle="1" w:styleId="WW8Num16z3">
    <w:name w:val="WW8Num16z3"/>
    <w:rPr>
      <w:rFonts w:ascii="Symbol" w:hAnsi="Symbol"/>
    </w:rPr>
  </w:style>
  <w:style w:type="character" w:customStyle="1" w:styleId="WW8Num17z0">
    <w:name w:val="WW8Num17z0"/>
    <w:rPr>
      <w:rFonts w:ascii="Times New Roman" w:hAnsi="Times New Roman" w:cs="Times New Roman"/>
    </w:rPr>
  </w:style>
  <w:style w:type="character" w:customStyle="1" w:styleId="WW8Num17z1">
    <w:name w:val="WW8Num17z1"/>
    <w:rPr>
      <w:rFonts w:ascii="Courier New" w:hAnsi="Courier New" w:cs="Courier New"/>
    </w:rPr>
  </w:style>
  <w:style w:type="character" w:customStyle="1" w:styleId="WW8Num17z2">
    <w:name w:val="WW8Num17z2"/>
    <w:rPr>
      <w:rFonts w:ascii="Wingdings" w:hAnsi="Wingdings"/>
    </w:rPr>
  </w:style>
  <w:style w:type="character" w:customStyle="1" w:styleId="WW8Num17z3">
    <w:name w:val="WW8Num17z3"/>
    <w:rPr>
      <w:rFonts w:ascii="Symbol" w:hAnsi="Symbol"/>
    </w:rPr>
  </w:style>
  <w:style w:type="character" w:customStyle="1" w:styleId="WW8Num18z0">
    <w:name w:val="WW8Num18z0"/>
    <w:rPr>
      <w:rFonts w:ascii="Times New Roman" w:hAnsi="Times New Roman" w:cs="Times New Roman"/>
    </w:rPr>
  </w:style>
  <w:style w:type="character" w:customStyle="1" w:styleId="WW8Num18z1">
    <w:name w:val="WW8Num18z1"/>
    <w:rPr>
      <w:rFonts w:ascii="Courier New" w:hAnsi="Courier New" w:cs="Courier New"/>
    </w:rPr>
  </w:style>
  <w:style w:type="character" w:customStyle="1" w:styleId="WW8Num18z2">
    <w:name w:val="WW8Num18z2"/>
    <w:rPr>
      <w:rFonts w:ascii="Wingdings" w:hAnsi="Wingdings"/>
    </w:rPr>
  </w:style>
  <w:style w:type="character" w:customStyle="1" w:styleId="WW8Num18z3">
    <w:name w:val="WW8Num18z3"/>
    <w:rPr>
      <w:rFonts w:ascii="Symbol" w:hAnsi="Symbol"/>
    </w:rPr>
  </w:style>
  <w:style w:type="character" w:customStyle="1" w:styleId="WW8Num19z0">
    <w:name w:val="WW8Num19z0"/>
    <w:rPr>
      <w:rFonts w:ascii="Symbol" w:hAnsi="Symbol"/>
    </w:rPr>
  </w:style>
  <w:style w:type="character" w:customStyle="1" w:styleId="WW8Num19z1">
    <w:name w:val="WW8Num19z1"/>
    <w:rPr>
      <w:rFonts w:ascii="Courier New" w:hAnsi="Courier New" w:cs="Courier New"/>
    </w:rPr>
  </w:style>
  <w:style w:type="character" w:customStyle="1" w:styleId="WW8Num19z2">
    <w:name w:val="WW8Num19z2"/>
    <w:rPr>
      <w:rFonts w:ascii="Wingdings" w:hAnsi="Wingdings"/>
    </w:rPr>
  </w:style>
  <w:style w:type="character" w:customStyle="1" w:styleId="WW8Num21z0">
    <w:name w:val="WW8Num21z0"/>
    <w:rPr>
      <w:rFonts w:ascii="Times New Roman" w:hAnsi="Times New Roman" w:cs="Times New Roman"/>
    </w:rPr>
  </w:style>
  <w:style w:type="character" w:customStyle="1" w:styleId="WW8Num21z1">
    <w:name w:val="WW8Num21z1"/>
    <w:rPr>
      <w:rFonts w:ascii="Courier New" w:hAnsi="Courier New" w:cs="Courier New"/>
    </w:rPr>
  </w:style>
  <w:style w:type="character" w:customStyle="1" w:styleId="WW8Num21z2">
    <w:name w:val="WW8Num21z2"/>
    <w:rPr>
      <w:rFonts w:ascii="Wingdings" w:hAnsi="Wingdings"/>
    </w:rPr>
  </w:style>
  <w:style w:type="character" w:customStyle="1" w:styleId="WW8Num21z3">
    <w:name w:val="WW8Num21z3"/>
    <w:rPr>
      <w:rFonts w:ascii="Symbol" w:hAnsi="Symbol"/>
    </w:rPr>
  </w:style>
  <w:style w:type="character" w:customStyle="1" w:styleId="WW8Num22z0">
    <w:name w:val="WW8Num22z0"/>
    <w:rPr>
      <w:rFonts w:ascii="Times New Roman" w:eastAsia="Times New Roman" w:hAnsi="Times New Roman" w:cs="Times New Roman"/>
    </w:rPr>
  </w:style>
  <w:style w:type="character" w:customStyle="1" w:styleId="WW8Num22z1">
    <w:name w:val="WW8Num22z1"/>
    <w:rPr>
      <w:rFonts w:ascii="Courier New" w:hAnsi="Courier New" w:cs="Courier New"/>
    </w:rPr>
  </w:style>
  <w:style w:type="character" w:customStyle="1" w:styleId="WW8Num22z2">
    <w:name w:val="WW8Num22z2"/>
    <w:rPr>
      <w:rFonts w:ascii="Wingdings" w:hAnsi="Wingdings"/>
    </w:rPr>
  </w:style>
  <w:style w:type="character" w:customStyle="1" w:styleId="WW8Num22z3">
    <w:name w:val="WW8Num22z3"/>
    <w:rPr>
      <w:rFonts w:ascii="Symbol" w:hAnsi="Symbol"/>
    </w:rPr>
  </w:style>
  <w:style w:type="character" w:customStyle="1" w:styleId="WW8Num23z0">
    <w:name w:val="WW8Num23z0"/>
    <w:rPr>
      <w:rFonts w:ascii="Times New Roman" w:hAnsi="Times New Roman" w:cs="Times New Roman"/>
    </w:rPr>
  </w:style>
  <w:style w:type="character" w:customStyle="1" w:styleId="WW8Num23z1">
    <w:name w:val="WW8Num23z1"/>
    <w:rPr>
      <w:rFonts w:ascii="Courier New" w:hAnsi="Courier New" w:cs="Courier New"/>
    </w:rPr>
  </w:style>
  <w:style w:type="character" w:customStyle="1" w:styleId="WW8Num23z2">
    <w:name w:val="WW8Num23z2"/>
    <w:rPr>
      <w:rFonts w:ascii="Wingdings" w:hAnsi="Wingdings"/>
    </w:rPr>
  </w:style>
  <w:style w:type="character" w:customStyle="1" w:styleId="WW8Num23z3">
    <w:name w:val="WW8Num23z3"/>
    <w:rPr>
      <w:rFonts w:ascii="Symbol" w:hAnsi="Symbol"/>
    </w:rPr>
  </w:style>
  <w:style w:type="character" w:customStyle="1" w:styleId="Carpredefinitoparagrafo3">
    <w:name w:val="Car. predefinito paragrafo3"/>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8Num6z1">
    <w:name w:val="WW8Num6z1"/>
    <w:rPr>
      <w:rFonts w:ascii="Courier New" w:hAnsi="Courier New" w:cs="Courier New"/>
    </w:rPr>
  </w:style>
  <w:style w:type="character" w:customStyle="1" w:styleId="WW8Num6z2">
    <w:name w:val="WW8Num6z2"/>
    <w:rPr>
      <w:rFonts w:ascii="Wingdings" w:hAnsi="Wingdings"/>
    </w:rPr>
  </w:style>
  <w:style w:type="character" w:customStyle="1" w:styleId="WW8Num6z3">
    <w:name w:val="WW8Num6z3"/>
    <w:rPr>
      <w:rFonts w:ascii="Symbol" w:hAnsi="Symbol"/>
    </w:rPr>
  </w:style>
  <w:style w:type="character" w:customStyle="1" w:styleId="WW8Num7z1">
    <w:name w:val="WW8Num7z1"/>
    <w:rPr>
      <w:rFonts w:ascii="Courier New" w:hAnsi="Courier New" w:cs="Courier New"/>
    </w:rPr>
  </w:style>
  <w:style w:type="character" w:customStyle="1" w:styleId="WW8Num7z2">
    <w:name w:val="WW8Num7z2"/>
    <w:rPr>
      <w:rFonts w:ascii="Wingdings" w:hAnsi="Wingdings"/>
    </w:rPr>
  </w:style>
  <w:style w:type="character" w:customStyle="1" w:styleId="WW8Num7z3">
    <w:name w:val="WW8Num7z3"/>
    <w:rPr>
      <w:rFonts w:ascii="Symbol" w:hAnsi="Symbol"/>
    </w:rPr>
  </w:style>
  <w:style w:type="character" w:customStyle="1" w:styleId="WW8NumSt6z0">
    <w:name w:val="WW8NumSt6z0"/>
    <w:rPr>
      <w:rFonts w:ascii="Times New Roman" w:hAnsi="Times New Roman" w:cs="Times New Roman"/>
    </w:rPr>
  </w:style>
  <w:style w:type="character" w:customStyle="1" w:styleId="WW8NumSt7z0">
    <w:name w:val="WW8NumSt7z0"/>
    <w:rPr>
      <w:rFonts w:ascii="Times New Roman" w:hAnsi="Times New Roman" w:cs="Times New Roman"/>
    </w:rPr>
  </w:style>
  <w:style w:type="character" w:customStyle="1" w:styleId="WW8NumSt8z0">
    <w:name w:val="WW8NumSt8z0"/>
    <w:rPr>
      <w:rFonts w:ascii="Times New Roman" w:hAnsi="Times New Roman" w:cs="Times New Roman"/>
    </w:rPr>
  </w:style>
  <w:style w:type="character" w:customStyle="1" w:styleId="WW8NumSt9z0">
    <w:name w:val="WW8NumSt9z0"/>
    <w:rPr>
      <w:rFonts w:ascii="Times New Roman" w:hAnsi="Times New Roman" w:cs="Times New Roman"/>
    </w:rPr>
  </w:style>
  <w:style w:type="character" w:customStyle="1" w:styleId="Carpredefinitoparagrafo2">
    <w:name w:val="Car. predefinito paragrafo2"/>
  </w:style>
  <w:style w:type="character" w:customStyle="1" w:styleId="WW8NumSt1z0">
    <w:name w:val="WW8NumSt1z0"/>
    <w:rPr>
      <w:rFonts w:ascii="Times New Roman" w:hAnsi="Times New Roman" w:cs="Times New Roman"/>
    </w:rPr>
  </w:style>
  <w:style w:type="character" w:customStyle="1" w:styleId="WW8NumSt2z0">
    <w:name w:val="WW8NumSt2z0"/>
    <w:rPr>
      <w:rFonts w:ascii="Times New Roman" w:hAnsi="Times New Roman" w:cs="Times New Roman"/>
    </w:rPr>
  </w:style>
  <w:style w:type="character" w:customStyle="1" w:styleId="WW8NumSt3z0">
    <w:name w:val="WW8NumSt3z0"/>
    <w:rPr>
      <w:rFonts w:ascii="Times New Roman" w:hAnsi="Times New Roman" w:cs="Times New Roman"/>
    </w:rPr>
  </w:style>
  <w:style w:type="character" w:customStyle="1" w:styleId="Carpredefinitoparagrafo1">
    <w:name w:val="Car. predefinito paragrafo1"/>
  </w:style>
  <w:style w:type="character" w:styleId="Hyperlink">
    <w:name w:val="Hyperlink"/>
    <w:rPr>
      <w:color w:val="0000FF"/>
      <w:u w:val="single"/>
    </w:rPr>
  </w:style>
  <w:style w:type="character" w:customStyle="1" w:styleId="Caratteredinumerazione">
    <w:name w:val="Carattere di numerazione"/>
  </w:style>
  <w:style w:type="paragraph" w:customStyle="1" w:styleId="Intestazione3">
    <w:name w:val="Intestazione3"/>
    <w:basedOn w:val="Normal"/>
    <w:next w:val="BodyText"/>
    <w:pPr>
      <w:keepNext/>
      <w:widowControl w:val="0"/>
      <w:suppressAutoHyphens/>
      <w:autoSpaceDE w:val="0"/>
      <w:spacing w:before="240" w:after="120" w:line="240" w:lineRule="auto"/>
    </w:pPr>
    <w:rPr>
      <w:rFonts w:ascii="Arial" w:eastAsia="Lucida Sans Unicode" w:hAnsi="Arial" w:cs="Tahoma"/>
      <w:sz w:val="28"/>
      <w:szCs w:val="28"/>
      <w:lang w:val="it-IT" w:eastAsia="ar-SA"/>
    </w:rPr>
  </w:style>
  <w:style w:type="paragraph" w:styleId="BodyText">
    <w:name w:val="Body Text"/>
    <w:basedOn w:val="Normal"/>
    <w:link w:val="BodyTextChar"/>
    <w:semiHidden/>
    <w:pPr>
      <w:widowControl w:val="0"/>
      <w:suppressAutoHyphens/>
      <w:autoSpaceDE w:val="0"/>
      <w:spacing w:after="120" w:line="240" w:lineRule="auto"/>
    </w:pPr>
    <w:rPr>
      <w:rFonts w:ascii="Times New Roman" w:eastAsia="Times New Roman" w:hAnsi="Times New Roman"/>
      <w:sz w:val="20"/>
      <w:szCs w:val="20"/>
      <w:lang w:val="it-IT" w:eastAsia="ar-SA"/>
    </w:rPr>
  </w:style>
  <w:style w:type="character" w:customStyle="1" w:styleId="BodyTextChar">
    <w:name w:val="Body Text Char"/>
    <w:link w:val="BodyText"/>
    <w:semiHidden/>
    <w:rPr>
      <w:rFonts w:ascii="Times New Roman" w:eastAsia="Times New Roman" w:hAnsi="Times New Roman" w:cs="Times New Roman"/>
      <w:sz w:val="20"/>
      <w:szCs w:val="20"/>
      <w:lang w:val="it-IT" w:eastAsia="ar-SA"/>
    </w:rPr>
  </w:style>
  <w:style w:type="paragraph" w:styleId="List">
    <w:name w:val="List"/>
    <w:basedOn w:val="BodyText"/>
    <w:semiHidden/>
  </w:style>
  <w:style w:type="paragraph" w:customStyle="1" w:styleId="Didascalia3">
    <w:name w:val="Didascalia3"/>
    <w:basedOn w:val="Normal"/>
    <w:pPr>
      <w:widowControl w:val="0"/>
      <w:suppressLineNumbers/>
      <w:suppressAutoHyphens/>
      <w:autoSpaceDE w:val="0"/>
      <w:spacing w:before="120" w:after="120" w:line="240" w:lineRule="auto"/>
    </w:pPr>
    <w:rPr>
      <w:rFonts w:ascii="Times New Roman" w:eastAsia="Times New Roman" w:hAnsi="Times New Roman" w:cs="Tahoma"/>
      <w:i/>
      <w:iCs/>
      <w:sz w:val="24"/>
      <w:szCs w:val="24"/>
      <w:lang w:val="it-IT" w:eastAsia="ar-SA"/>
    </w:rPr>
  </w:style>
  <w:style w:type="paragraph" w:customStyle="1" w:styleId="Indice">
    <w:name w:val="Indice"/>
    <w:basedOn w:val="Normal"/>
    <w:pPr>
      <w:widowControl w:val="0"/>
      <w:suppressLineNumbers/>
      <w:suppressAutoHyphens/>
      <w:autoSpaceDE w:val="0"/>
      <w:spacing w:after="0" w:line="240" w:lineRule="auto"/>
    </w:pPr>
    <w:rPr>
      <w:rFonts w:ascii="Times New Roman" w:eastAsia="Times New Roman" w:hAnsi="Times New Roman"/>
      <w:sz w:val="20"/>
      <w:szCs w:val="20"/>
      <w:lang w:val="it-IT" w:eastAsia="ar-SA"/>
    </w:rPr>
  </w:style>
  <w:style w:type="paragraph" w:customStyle="1" w:styleId="Intestazione2">
    <w:name w:val="Intestazione2"/>
    <w:basedOn w:val="Normal"/>
    <w:next w:val="BodyText"/>
    <w:pPr>
      <w:keepNext/>
      <w:widowControl w:val="0"/>
      <w:suppressAutoHyphens/>
      <w:autoSpaceDE w:val="0"/>
      <w:spacing w:before="240" w:after="120" w:line="240" w:lineRule="auto"/>
    </w:pPr>
    <w:rPr>
      <w:rFonts w:ascii="Arial" w:eastAsia="Lucida Sans Unicode" w:hAnsi="Arial" w:cs="Tahoma"/>
      <w:sz w:val="28"/>
      <w:szCs w:val="28"/>
      <w:lang w:val="it-IT" w:eastAsia="ar-SA"/>
    </w:rPr>
  </w:style>
  <w:style w:type="paragraph" w:customStyle="1" w:styleId="Didascalia2">
    <w:name w:val="Didascalia2"/>
    <w:basedOn w:val="Normal"/>
    <w:pPr>
      <w:widowControl w:val="0"/>
      <w:suppressLineNumbers/>
      <w:suppressAutoHyphens/>
      <w:autoSpaceDE w:val="0"/>
      <w:spacing w:before="120" w:after="120" w:line="240" w:lineRule="auto"/>
    </w:pPr>
    <w:rPr>
      <w:rFonts w:ascii="Times New Roman" w:eastAsia="Times New Roman" w:hAnsi="Times New Roman" w:cs="Tahoma"/>
      <w:i/>
      <w:iCs/>
      <w:sz w:val="24"/>
      <w:szCs w:val="24"/>
      <w:lang w:val="it-IT" w:eastAsia="ar-SA"/>
    </w:rPr>
  </w:style>
  <w:style w:type="paragraph" w:customStyle="1" w:styleId="Intestazione1">
    <w:name w:val="Intestazione1"/>
    <w:basedOn w:val="Normal"/>
    <w:next w:val="BodyText"/>
    <w:pPr>
      <w:keepNext/>
      <w:widowControl w:val="0"/>
      <w:suppressAutoHyphens/>
      <w:autoSpaceDE w:val="0"/>
      <w:spacing w:before="240" w:after="120" w:line="240" w:lineRule="auto"/>
    </w:pPr>
    <w:rPr>
      <w:rFonts w:ascii="DejaVu Sans" w:eastAsia="DejaVu Sans" w:hAnsi="DejaVu Sans" w:cs="DejaVu Sans"/>
      <w:sz w:val="28"/>
      <w:szCs w:val="28"/>
      <w:lang w:val="it-IT" w:eastAsia="ar-SA"/>
    </w:rPr>
  </w:style>
  <w:style w:type="paragraph" w:customStyle="1" w:styleId="Didascalia1">
    <w:name w:val="Didascalia1"/>
    <w:basedOn w:val="Normal"/>
    <w:pPr>
      <w:widowControl w:val="0"/>
      <w:suppressLineNumbers/>
      <w:suppressAutoHyphens/>
      <w:autoSpaceDE w:val="0"/>
      <w:spacing w:before="120" w:after="120" w:line="240" w:lineRule="auto"/>
    </w:pPr>
    <w:rPr>
      <w:rFonts w:ascii="Times New Roman" w:eastAsia="Times New Roman" w:hAnsi="Times New Roman"/>
      <w:i/>
      <w:iCs/>
      <w:sz w:val="24"/>
      <w:szCs w:val="24"/>
      <w:lang w:val="it-IT" w:eastAsia="ar-SA"/>
    </w:rPr>
  </w:style>
  <w:style w:type="paragraph" w:customStyle="1" w:styleId="Contenutotabella">
    <w:name w:val="Contenuto tabella"/>
    <w:basedOn w:val="Normal"/>
    <w:pPr>
      <w:widowControl w:val="0"/>
      <w:suppressLineNumbers/>
      <w:suppressAutoHyphens/>
      <w:autoSpaceDE w:val="0"/>
      <w:spacing w:after="0" w:line="240" w:lineRule="auto"/>
    </w:pPr>
    <w:rPr>
      <w:rFonts w:ascii="Times New Roman" w:eastAsia="Times New Roman" w:hAnsi="Times New Roman"/>
      <w:sz w:val="20"/>
      <w:szCs w:val="20"/>
      <w:lang w:val="it-IT" w:eastAsia="ar-SA"/>
    </w:rPr>
  </w:style>
  <w:style w:type="paragraph" w:customStyle="1" w:styleId="Intestazionetabella">
    <w:name w:val="Intestazione tabella"/>
    <w:basedOn w:val="Contenutotabella"/>
    <w:pPr>
      <w:jc w:val="center"/>
    </w:pPr>
    <w:rPr>
      <w:b/>
      <w:bCs/>
    </w:rPr>
  </w:style>
  <w:style w:type="paragraph" w:customStyle="1" w:styleId="Title1">
    <w:name w:val="Title1"/>
    <w:basedOn w:val="Normal"/>
    <w:link w:val="Title1Znak"/>
    <w:qFormat/>
    <w:pPr>
      <w:widowControl w:val="0"/>
      <w:shd w:val="clear" w:color="auto" w:fill="FFFFFF"/>
      <w:suppressAutoHyphens/>
      <w:autoSpaceDE w:val="0"/>
      <w:spacing w:after="0" w:line="240" w:lineRule="auto"/>
      <w:jc w:val="center"/>
    </w:pPr>
    <w:rPr>
      <w:rFonts w:ascii="Times New Roman" w:eastAsia="Times New Roman" w:hAnsi="Times New Roman"/>
      <w:b/>
      <w:bCs/>
      <w:color w:val="000000"/>
      <w:spacing w:val="-2"/>
      <w:sz w:val="20"/>
      <w:szCs w:val="20"/>
      <w:lang w:val="it-IT" w:eastAsia="ar-SA"/>
    </w:rPr>
  </w:style>
  <w:style w:type="paragraph" w:customStyle="1" w:styleId="Title2">
    <w:name w:val="Title2"/>
    <w:basedOn w:val="Normal"/>
    <w:link w:val="Title2Znak"/>
    <w:qFormat/>
    <w:pPr>
      <w:widowControl w:val="0"/>
      <w:suppressAutoHyphens/>
      <w:autoSpaceDE w:val="0"/>
      <w:spacing w:after="0" w:line="240" w:lineRule="auto"/>
      <w:ind w:left="567" w:hanging="567"/>
    </w:pPr>
    <w:rPr>
      <w:rFonts w:ascii="Times New Roman" w:eastAsia="Times New Roman" w:hAnsi="Times New Roman"/>
      <w:b/>
      <w:noProof/>
      <w:sz w:val="20"/>
      <w:szCs w:val="20"/>
      <w:lang w:val="it-IT" w:eastAsia="ar-SA"/>
    </w:rPr>
  </w:style>
  <w:style w:type="character" w:customStyle="1" w:styleId="Title1Znak">
    <w:name w:val="Title1 Znak"/>
    <w:link w:val="Title1"/>
    <w:rPr>
      <w:rFonts w:ascii="Times New Roman" w:eastAsia="Times New Roman" w:hAnsi="Times New Roman" w:cs="Times New Roman"/>
      <w:b/>
      <w:bCs/>
      <w:color w:val="000000"/>
      <w:spacing w:val="-2"/>
      <w:shd w:val="clear" w:color="auto" w:fill="FFFFFF"/>
      <w:lang w:val="it-IT" w:eastAsia="ar-SA"/>
    </w:rPr>
  </w:style>
  <w:style w:type="paragraph" w:styleId="Header">
    <w:name w:val="header"/>
    <w:basedOn w:val="Normal"/>
    <w:link w:val="HeaderChar"/>
    <w:uiPriority w:val="99"/>
    <w:unhideWhenUsed/>
    <w:pPr>
      <w:widowControl w:val="0"/>
      <w:tabs>
        <w:tab w:val="center" w:pos="4536"/>
        <w:tab w:val="right" w:pos="9072"/>
      </w:tabs>
      <w:suppressAutoHyphens/>
      <w:autoSpaceDE w:val="0"/>
      <w:spacing w:after="0" w:line="240" w:lineRule="auto"/>
    </w:pPr>
    <w:rPr>
      <w:rFonts w:ascii="Times New Roman" w:eastAsia="Times New Roman" w:hAnsi="Times New Roman"/>
      <w:sz w:val="20"/>
      <w:szCs w:val="20"/>
      <w:lang w:val="it-IT" w:eastAsia="ar-SA"/>
    </w:rPr>
  </w:style>
  <w:style w:type="character" w:customStyle="1" w:styleId="HeaderChar">
    <w:name w:val="Header Char"/>
    <w:link w:val="Header"/>
    <w:uiPriority w:val="99"/>
    <w:rPr>
      <w:rFonts w:ascii="Times New Roman" w:eastAsia="Times New Roman" w:hAnsi="Times New Roman" w:cs="Times New Roman"/>
      <w:sz w:val="20"/>
      <w:szCs w:val="20"/>
      <w:lang w:val="it-IT" w:eastAsia="ar-SA"/>
    </w:rPr>
  </w:style>
  <w:style w:type="character" w:customStyle="1" w:styleId="Title2Znak">
    <w:name w:val="Title2 Znak"/>
    <w:link w:val="Title2"/>
    <w:rPr>
      <w:rFonts w:ascii="Times New Roman" w:eastAsia="Times New Roman" w:hAnsi="Times New Roman" w:cs="Times New Roman"/>
      <w:b/>
      <w:noProof/>
      <w:sz w:val="20"/>
      <w:szCs w:val="20"/>
      <w:lang w:val="it-IT" w:eastAsia="ar-SA"/>
    </w:rPr>
  </w:style>
  <w:style w:type="paragraph" w:styleId="Footer">
    <w:name w:val="footer"/>
    <w:basedOn w:val="Normal"/>
    <w:link w:val="FooterChar"/>
    <w:uiPriority w:val="99"/>
    <w:unhideWhenUsed/>
    <w:pPr>
      <w:widowControl w:val="0"/>
      <w:tabs>
        <w:tab w:val="center" w:pos="4536"/>
        <w:tab w:val="right" w:pos="9072"/>
      </w:tabs>
      <w:suppressAutoHyphens/>
      <w:autoSpaceDE w:val="0"/>
      <w:spacing w:after="0" w:line="240" w:lineRule="auto"/>
    </w:pPr>
    <w:rPr>
      <w:rFonts w:ascii="Times New Roman" w:eastAsia="Times New Roman" w:hAnsi="Times New Roman"/>
      <w:sz w:val="20"/>
      <w:szCs w:val="20"/>
      <w:lang w:val="it-IT" w:eastAsia="ar-SA"/>
    </w:rPr>
  </w:style>
  <w:style w:type="character" w:customStyle="1" w:styleId="FooterChar">
    <w:name w:val="Footer Char"/>
    <w:link w:val="Footer"/>
    <w:uiPriority w:val="99"/>
    <w:rPr>
      <w:rFonts w:ascii="Times New Roman" w:eastAsia="Times New Roman" w:hAnsi="Times New Roman" w:cs="Times New Roman"/>
      <w:sz w:val="20"/>
      <w:szCs w:val="20"/>
      <w:lang w:val="it-IT" w:eastAsia="ar-SA"/>
    </w:rPr>
  </w:style>
  <w:style w:type="character" w:styleId="Emphasis">
    <w:name w:val="Emphasis"/>
    <w:qFormat/>
    <w:rPr>
      <w:i/>
      <w:iCs/>
    </w:rPr>
  </w:style>
  <w:style w:type="paragraph" w:customStyle="1" w:styleId="Data1">
    <w:name w:val="Data1"/>
    <w:basedOn w:val="Normal"/>
    <w:next w:val="Normal"/>
    <w:pPr>
      <w:tabs>
        <w:tab w:val="left" w:pos="567"/>
      </w:tabs>
      <w:spacing w:after="0" w:line="260" w:lineRule="exact"/>
    </w:pPr>
    <w:rPr>
      <w:rFonts w:ascii="Times New Roman" w:eastAsia="Times New Roman" w:hAnsi="Times New Roman"/>
      <w:szCs w:val="20"/>
      <w:lang w:val="en-GB"/>
    </w:rPr>
  </w:style>
  <w:style w:type="paragraph" w:styleId="Revision">
    <w:name w:val="Revision"/>
    <w:hidden/>
    <w:uiPriority w:val="99"/>
    <w:semiHidden/>
    <w:rPr>
      <w:rFonts w:ascii="Times New Roman" w:eastAsia="Times New Roman" w:hAnsi="Times New Roman"/>
      <w:lang w:val="it-IT" w:eastAsia="ar-SA"/>
    </w:rPr>
  </w:style>
  <w:style w:type="paragraph" w:styleId="BalloonText">
    <w:name w:val="Balloon Text"/>
    <w:basedOn w:val="Normal"/>
    <w:link w:val="BalloonTextChar"/>
    <w:uiPriority w:val="99"/>
    <w:semiHidden/>
    <w:unhideWhenUsed/>
    <w:pPr>
      <w:widowControl w:val="0"/>
      <w:suppressAutoHyphens/>
      <w:autoSpaceDE w:val="0"/>
      <w:spacing w:after="0" w:line="240" w:lineRule="auto"/>
    </w:pPr>
    <w:rPr>
      <w:rFonts w:ascii="Tahoma" w:eastAsia="Times New Roman" w:hAnsi="Tahoma"/>
      <w:sz w:val="16"/>
      <w:szCs w:val="16"/>
      <w:lang w:val="it-IT" w:eastAsia="ar-SA"/>
    </w:rPr>
  </w:style>
  <w:style w:type="character" w:customStyle="1" w:styleId="BalloonTextChar">
    <w:name w:val="Balloon Text Char"/>
    <w:link w:val="BalloonText"/>
    <w:uiPriority w:val="99"/>
    <w:semiHidden/>
    <w:rPr>
      <w:rFonts w:ascii="Tahoma" w:eastAsia="Times New Roman" w:hAnsi="Tahoma" w:cs="Times New Roman"/>
      <w:sz w:val="16"/>
      <w:szCs w:val="16"/>
      <w:lang w:val="it-IT" w:eastAsia="ar-SA"/>
    </w:rPr>
  </w:style>
  <w:style w:type="paragraph" w:styleId="Bibliography">
    <w:name w:val="Bibliography"/>
    <w:basedOn w:val="Normal"/>
    <w:next w:val="Normal"/>
    <w:uiPriority w:val="37"/>
    <w:semiHidden/>
    <w:unhideWhenUsed/>
    <w:pPr>
      <w:widowControl w:val="0"/>
      <w:suppressAutoHyphens/>
      <w:autoSpaceDE w:val="0"/>
      <w:spacing w:after="0" w:line="240" w:lineRule="auto"/>
    </w:pPr>
    <w:rPr>
      <w:rFonts w:ascii="Times New Roman" w:eastAsia="Times New Roman" w:hAnsi="Times New Roman"/>
      <w:sz w:val="20"/>
      <w:szCs w:val="20"/>
      <w:lang w:val="it-IT" w:eastAsia="ar-SA"/>
    </w:rPr>
  </w:style>
  <w:style w:type="paragraph" w:styleId="BlockText">
    <w:name w:val="Block Text"/>
    <w:basedOn w:val="Normal"/>
    <w:uiPriority w:val="99"/>
    <w:semiHidden/>
    <w:unhideWhenUsed/>
    <w:pPr>
      <w:widowControl w:val="0"/>
      <w:suppressAutoHyphens/>
      <w:autoSpaceDE w:val="0"/>
      <w:spacing w:after="120" w:line="240" w:lineRule="auto"/>
      <w:ind w:left="1440" w:right="1440"/>
    </w:pPr>
    <w:rPr>
      <w:rFonts w:ascii="Times New Roman" w:eastAsia="Times New Roman" w:hAnsi="Times New Roman"/>
      <w:sz w:val="20"/>
      <w:szCs w:val="20"/>
      <w:lang w:val="it-IT" w:eastAsia="ar-SA"/>
    </w:rPr>
  </w:style>
  <w:style w:type="paragraph" w:styleId="NoSpacing">
    <w:name w:val="No Spacing"/>
    <w:uiPriority w:val="1"/>
    <w:qFormat/>
    <w:pPr>
      <w:widowControl w:val="0"/>
      <w:suppressAutoHyphens/>
      <w:autoSpaceDE w:val="0"/>
    </w:pPr>
    <w:rPr>
      <w:rFonts w:ascii="Times New Roman" w:eastAsia="Times New Roman" w:hAnsi="Times New Roman"/>
      <w:lang w:val="it-IT" w:eastAsia="ar-SA"/>
    </w:rPr>
  </w:style>
  <w:style w:type="paragraph" w:styleId="Quote">
    <w:name w:val="Quote"/>
    <w:basedOn w:val="Normal"/>
    <w:next w:val="Normal"/>
    <w:link w:val="QuoteChar"/>
    <w:uiPriority w:val="29"/>
    <w:qFormat/>
    <w:pPr>
      <w:widowControl w:val="0"/>
      <w:suppressAutoHyphens/>
      <w:autoSpaceDE w:val="0"/>
      <w:spacing w:after="0" w:line="240" w:lineRule="auto"/>
    </w:pPr>
    <w:rPr>
      <w:rFonts w:ascii="Times New Roman" w:eastAsia="Times New Roman" w:hAnsi="Times New Roman"/>
      <w:i/>
      <w:iCs/>
      <w:color w:val="000000"/>
      <w:sz w:val="20"/>
      <w:szCs w:val="20"/>
      <w:lang w:val="it-IT" w:eastAsia="ar-SA"/>
    </w:rPr>
  </w:style>
  <w:style w:type="character" w:customStyle="1" w:styleId="QuoteChar">
    <w:name w:val="Quote Char"/>
    <w:link w:val="Quote"/>
    <w:uiPriority w:val="29"/>
    <w:rPr>
      <w:rFonts w:ascii="Times New Roman" w:eastAsia="Times New Roman" w:hAnsi="Times New Roman" w:cs="Times New Roman"/>
      <w:i/>
      <w:iCs/>
      <w:color w:val="000000"/>
      <w:sz w:val="20"/>
      <w:szCs w:val="20"/>
      <w:lang w:val="it-IT" w:eastAsia="ar-SA"/>
    </w:rPr>
  </w:style>
  <w:style w:type="paragraph" w:styleId="Date">
    <w:name w:val="Date"/>
    <w:basedOn w:val="Normal"/>
    <w:next w:val="Normal"/>
    <w:link w:val="DateChar"/>
    <w:uiPriority w:val="99"/>
    <w:semiHidden/>
    <w:unhideWhenUsed/>
    <w:pPr>
      <w:widowControl w:val="0"/>
      <w:suppressAutoHyphens/>
      <w:autoSpaceDE w:val="0"/>
      <w:spacing w:after="0" w:line="240" w:lineRule="auto"/>
    </w:pPr>
    <w:rPr>
      <w:rFonts w:ascii="Times New Roman" w:eastAsia="Times New Roman" w:hAnsi="Times New Roman"/>
      <w:sz w:val="20"/>
      <w:szCs w:val="20"/>
      <w:lang w:val="it-IT" w:eastAsia="ar-SA"/>
    </w:rPr>
  </w:style>
  <w:style w:type="character" w:customStyle="1" w:styleId="DateChar">
    <w:name w:val="Date Char"/>
    <w:link w:val="Date"/>
    <w:uiPriority w:val="99"/>
    <w:semiHidden/>
    <w:rPr>
      <w:rFonts w:ascii="Times New Roman" w:eastAsia="Times New Roman" w:hAnsi="Times New Roman" w:cs="Times New Roman"/>
      <w:sz w:val="20"/>
      <w:szCs w:val="20"/>
      <w:lang w:val="it-IT" w:eastAsia="ar-SA"/>
    </w:rPr>
  </w:style>
  <w:style w:type="paragraph" w:styleId="E-mailSignature">
    <w:name w:val="E-mail Signature"/>
    <w:basedOn w:val="Normal"/>
    <w:link w:val="E-mailSignatureChar"/>
    <w:uiPriority w:val="99"/>
    <w:semiHidden/>
    <w:unhideWhenUsed/>
    <w:pPr>
      <w:widowControl w:val="0"/>
      <w:suppressAutoHyphens/>
      <w:autoSpaceDE w:val="0"/>
      <w:spacing w:after="0" w:line="240" w:lineRule="auto"/>
    </w:pPr>
    <w:rPr>
      <w:rFonts w:ascii="Times New Roman" w:eastAsia="Times New Roman" w:hAnsi="Times New Roman"/>
      <w:sz w:val="20"/>
      <w:szCs w:val="20"/>
      <w:lang w:val="it-IT" w:eastAsia="ar-SA"/>
    </w:rPr>
  </w:style>
  <w:style w:type="character" w:customStyle="1" w:styleId="E-mailSignatureChar">
    <w:name w:val="E-mail Signature Char"/>
    <w:link w:val="E-mailSignature"/>
    <w:uiPriority w:val="99"/>
    <w:semiHidden/>
    <w:rPr>
      <w:rFonts w:ascii="Times New Roman" w:eastAsia="Times New Roman" w:hAnsi="Times New Roman" w:cs="Times New Roman"/>
      <w:sz w:val="20"/>
      <w:szCs w:val="20"/>
      <w:lang w:val="it-IT" w:eastAsia="ar-SA"/>
    </w:rPr>
  </w:style>
  <w:style w:type="paragraph" w:styleId="MessageHeader">
    <w:name w:val="Message Header"/>
    <w:basedOn w:val="Normal"/>
    <w:link w:val="MessageHeaderChar"/>
    <w:uiPriority w:val="99"/>
    <w:semiHidden/>
    <w:unhideWhenUsed/>
    <w:pPr>
      <w:widowControl w:val="0"/>
      <w:pBdr>
        <w:top w:val="single" w:sz="6" w:space="1" w:color="auto"/>
        <w:left w:val="single" w:sz="6" w:space="1" w:color="auto"/>
        <w:bottom w:val="single" w:sz="6" w:space="1" w:color="auto"/>
        <w:right w:val="single" w:sz="6" w:space="1" w:color="auto"/>
      </w:pBdr>
      <w:shd w:val="pct20" w:color="auto" w:fill="auto"/>
      <w:suppressAutoHyphens/>
      <w:autoSpaceDE w:val="0"/>
      <w:spacing w:after="0" w:line="240" w:lineRule="auto"/>
      <w:ind w:left="1134" w:hanging="1134"/>
    </w:pPr>
    <w:rPr>
      <w:rFonts w:ascii="Cambria" w:eastAsia="Times New Roman" w:hAnsi="Cambria"/>
      <w:sz w:val="24"/>
      <w:szCs w:val="24"/>
      <w:lang w:val="it-IT" w:eastAsia="ar-SA"/>
    </w:rPr>
  </w:style>
  <w:style w:type="character" w:customStyle="1" w:styleId="MessageHeaderChar">
    <w:name w:val="Message Header Char"/>
    <w:link w:val="MessageHeader"/>
    <w:uiPriority w:val="99"/>
    <w:semiHidden/>
    <w:rPr>
      <w:rFonts w:ascii="Cambria" w:eastAsia="Times New Roman" w:hAnsi="Cambria" w:cs="Times New Roman"/>
      <w:sz w:val="24"/>
      <w:szCs w:val="24"/>
      <w:shd w:val="pct20" w:color="auto" w:fill="auto"/>
      <w:lang w:val="it-IT" w:eastAsia="ar-SA"/>
    </w:rPr>
  </w:style>
  <w:style w:type="paragraph" w:styleId="PlainText">
    <w:name w:val="Plain Text"/>
    <w:basedOn w:val="Normal"/>
    <w:link w:val="PlainTextChar"/>
    <w:uiPriority w:val="99"/>
    <w:unhideWhenUsed/>
    <w:pPr>
      <w:widowControl w:val="0"/>
      <w:suppressAutoHyphens/>
      <w:autoSpaceDE w:val="0"/>
      <w:spacing w:after="0" w:line="240" w:lineRule="auto"/>
    </w:pPr>
    <w:rPr>
      <w:rFonts w:ascii="Courier New" w:eastAsia="Times New Roman" w:hAnsi="Courier New"/>
      <w:sz w:val="20"/>
      <w:szCs w:val="20"/>
      <w:lang w:val="it-IT" w:eastAsia="ar-SA"/>
    </w:rPr>
  </w:style>
  <w:style w:type="character" w:customStyle="1" w:styleId="PlainTextChar">
    <w:name w:val="Plain Text Char"/>
    <w:link w:val="PlainText"/>
    <w:uiPriority w:val="99"/>
    <w:rPr>
      <w:rFonts w:ascii="Courier New" w:eastAsia="Times New Roman" w:hAnsi="Courier New" w:cs="Times New Roman"/>
      <w:sz w:val="20"/>
      <w:szCs w:val="20"/>
      <w:lang w:val="it-IT" w:eastAsia="ar-SA"/>
    </w:rPr>
  </w:style>
  <w:style w:type="paragraph" w:styleId="HTMLAddress">
    <w:name w:val="HTML Address"/>
    <w:basedOn w:val="Normal"/>
    <w:link w:val="HTMLAddressChar"/>
    <w:uiPriority w:val="99"/>
    <w:semiHidden/>
    <w:unhideWhenUsed/>
    <w:pPr>
      <w:widowControl w:val="0"/>
      <w:suppressAutoHyphens/>
      <w:autoSpaceDE w:val="0"/>
      <w:spacing w:after="0" w:line="240" w:lineRule="auto"/>
    </w:pPr>
    <w:rPr>
      <w:rFonts w:ascii="Times New Roman" w:eastAsia="Times New Roman" w:hAnsi="Times New Roman"/>
      <w:i/>
      <w:iCs/>
      <w:sz w:val="20"/>
      <w:szCs w:val="20"/>
      <w:lang w:val="it-IT" w:eastAsia="ar-SA"/>
    </w:rPr>
  </w:style>
  <w:style w:type="character" w:customStyle="1" w:styleId="HTMLAddressChar">
    <w:name w:val="HTML Address Char"/>
    <w:link w:val="HTMLAddress"/>
    <w:uiPriority w:val="99"/>
    <w:semiHidden/>
    <w:rPr>
      <w:rFonts w:ascii="Times New Roman" w:eastAsia="Times New Roman" w:hAnsi="Times New Roman" w:cs="Times New Roman"/>
      <w:i/>
      <w:iCs/>
      <w:sz w:val="20"/>
      <w:szCs w:val="20"/>
      <w:lang w:val="it-IT" w:eastAsia="ar-SA"/>
    </w:rPr>
  </w:style>
  <w:style w:type="paragraph" w:styleId="HTMLPreformatted">
    <w:name w:val="HTML Preformatted"/>
    <w:basedOn w:val="Normal"/>
    <w:link w:val="HTMLPreformattedChar"/>
    <w:uiPriority w:val="99"/>
    <w:semiHidden/>
    <w:unhideWhenUsed/>
    <w:pPr>
      <w:widowControl w:val="0"/>
      <w:suppressAutoHyphens/>
      <w:autoSpaceDE w:val="0"/>
      <w:spacing w:after="0" w:line="240" w:lineRule="auto"/>
    </w:pPr>
    <w:rPr>
      <w:rFonts w:ascii="Courier New" w:eastAsia="Times New Roman" w:hAnsi="Courier New"/>
      <w:sz w:val="20"/>
      <w:szCs w:val="20"/>
      <w:lang w:val="it-IT" w:eastAsia="ar-SA"/>
    </w:rPr>
  </w:style>
  <w:style w:type="character" w:customStyle="1" w:styleId="HTMLPreformattedChar">
    <w:name w:val="HTML Preformatted Char"/>
    <w:link w:val="HTMLPreformatted"/>
    <w:uiPriority w:val="99"/>
    <w:semiHidden/>
    <w:rPr>
      <w:rFonts w:ascii="Courier New" w:eastAsia="Times New Roman" w:hAnsi="Courier New" w:cs="Times New Roman"/>
      <w:sz w:val="20"/>
      <w:szCs w:val="20"/>
      <w:lang w:val="it-IT" w:eastAsia="ar-SA"/>
    </w:rPr>
  </w:style>
  <w:style w:type="paragraph" w:styleId="IntenseQuote">
    <w:name w:val="Intense Quote"/>
    <w:basedOn w:val="Normal"/>
    <w:next w:val="Normal"/>
    <w:link w:val="IntenseQuoteChar"/>
    <w:uiPriority w:val="30"/>
    <w:qFormat/>
    <w:pPr>
      <w:widowControl w:val="0"/>
      <w:pBdr>
        <w:bottom w:val="single" w:sz="4" w:space="4" w:color="4F81BD"/>
      </w:pBdr>
      <w:suppressAutoHyphens/>
      <w:autoSpaceDE w:val="0"/>
      <w:spacing w:before="200" w:after="280" w:line="240" w:lineRule="auto"/>
      <w:ind w:left="936" w:right="936"/>
    </w:pPr>
    <w:rPr>
      <w:rFonts w:ascii="Times New Roman" w:eastAsia="Times New Roman" w:hAnsi="Times New Roman"/>
      <w:b/>
      <w:bCs/>
      <w:i/>
      <w:iCs/>
      <w:color w:val="4F81BD"/>
      <w:sz w:val="20"/>
      <w:szCs w:val="20"/>
      <w:lang w:val="it-IT" w:eastAsia="ar-SA"/>
    </w:rPr>
  </w:style>
  <w:style w:type="character" w:customStyle="1" w:styleId="IntenseQuoteChar">
    <w:name w:val="Intense Quote Char"/>
    <w:link w:val="IntenseQuote"/>
    <w:uiPriority w:val="30"/>
    <w:rPr>
      <w:rFonts w:ascii="Times New Roman" w:eastAsia="Times New Roman" w:hAnsi="Times New Roman" w:cs="Times New Roman"/>
      <w:b/>
      <w:bCs/>
      <w:i/>
      <w:iCs/>
      <w:color w:val="4F81BD"/>
      <w:sz w:val="20"/>
      <w:szCs w:val="20"/>
      <w:lang w:val="it-IT" w:eastAsia="ar-SA"/>
    </w:rPr>
  </w:style>
  <w:style w:type="paragraph" w:styleId="TableofFigures">
    <w:name w:val="table of figures"/>
    <w:basedOn w:val="Normal"/>
    <w:next w:val="Normal"/>
    <w:uiPriority w:val="99"/>
    <w:semiHidden/>
    <w:unhideWhenUsed/>
    <w:pPr>
      <w:widowControl w:val="0"/>
      <w:suppressAutoHyphens/>
      <w:autoSpaceDE w:val="0"/>
      <w:spacing w:after="0" w:line="240" w:lineRule="auto"/>
    </w:pPr>
    <w:rPr>
      <w:rFonts w:ascii="Times New Roman" w:eastAsia="Times New Roman" w:hAnsi="Times New Roman"/>
      <w:sz w:val="20"/>
      <w:szCs w:val="20"/>
      <w:lang w:val="it-IT" w:eastAsia="ar-SA"/>
    </w:rPr>
  </w:style>
  <w:style w:type="paragraph" w:styleId="TableofAuthorities">
    <w:name w:val="table of authorities"/>
    <w:basedOn w:val="Normal"/>
    <w:next w:val="Normal"/>
    <w:uiPriority w:val="99"/>
    <w:semiHidden/>
    <w:unhideWhenUsed/>
    <w:pPr>
      <w:widowControl w:val="0"/>
      <w:suppressAutoHyphens/>
      <w:autoSpaceDE w:val="0"/>
      <w:spacing w:after="0" w:line="240" w:lineRule="auto"/>
      <w:ind w:left="200" w:hanging="200"/>
    </w:pPr>
    <w:rPr>
      <w:rFonts w:ascii="Times New Roman" w:eastAsia="Times New Roman" w:hAnsi="Times New Roman"/>
      <w:sz w:val="20"/>
      <w:szCs w:val="20"/>
      <w:lang w:val="it-IT" w:eastAsia="ar-SA"/>
    </w:rPr>
  </w:style>
  <w:style w:type="paragraph" w:styleId="TOAHeading">
    <w:name w:val="toa heading"/>
    <w:basedOn w:val="Normal"/>
    <w:next w:val="Normal"/>
    <w:uiPriority w:val="99"/>
    <w:semiHidden/>
    <w:unhideWhenUsed/>
    <w:pPr>
      <w:widowControl w:val="0"/>
      <w:suppressAutoHyphens/>
      <w:autoSpaceDE w:val="0"/>
      <w:spacing w:before="120" w:after="0" w:line="240" w:lineRule="auto"/>
    </w:pPr>
    <w:rPr>
      <w:rFonts w:ascii="Cambria" w:eastAsia="Times New Roman" w:hAnsi="Cambria"/>
      <w:b/>
      <w:bCs/>
      <w:sz w:val="24"/>
      <w:szCs w:val="24"/>
      <w:lang w:val="it-IT" w:eastAsia="ar-SA"/>
    </w:rPr>
  </w:style>
  <w:style w:type="paragraph" w:styleId="TOC1">
    <w:name w:val="toc 1"/>
    <w:basedOn w:val="Normal"/>
    <w:next w:val="Normal"/>
    <w:autoRedefine/>
    <w:uiPriority w:val="39"/>
    <w:semiHidden/>
    <w:unhideWhenUsed/>
    <w:pPr>
      <w:widowControl w:val="0"/>
      <w:suppressAutoHyphens/>
      <w:autoSpaceDE w:val="0"/>
      <w:spacing w:after="0" w:line="240" w:lineRule="auto"/>
    </w:pPr>
    <w:rPr>
      <w:rFonts w:ascii="Times New Roman" w:eastAsia="Times New Roman" w:hAnsi="Times New Roman"/>
      <w:sz w:val="20"/>
      <w:szCs w:val="20"/>
      <w:lang w:val="it-IT" w:eastAsia="ar-SA"/>
    </w:rPr>
  </w:style>
  <w:style w:type="paragraph" w:styleId="TOC2">
    <w:name w:val="toc 2"/>
    <w:basedOn w:val="Normal"/>
    <w:next w:val="Normal"/>
    <w:autoRedefine/>
    <w:uiPriority w:val="39"/>
    <w:semiHidden/>
    <w:unhideWhenUsed/>
    <w:pPr>
      <w:widowControl w:val="0"/>
      <w:suppressAutoHyphens/>
      <w:autoSpaceDE w:val="0"/>
      <w:spacing w:after="0" w:line="240" w:lineRule="auto"/>
      <w:ind w:left="200"/>
    </w:pPr>
    <w:rPr>
      <w:rFonts w:ascii="Times New Roman" w:eastAsia="Times New Roman" w:hAnsi="Times New Roman"/>
      <w:sz w:val="20"/>
      <w:szCs w:val="20"/>
      <w:lang w:val="it-IT" w:eastAsia="ar-SA"/>
    </w:rPr>
  </w:style>
  <w:style w:type="paragraph" w:styleId="TOC3">
    <w:name w:val="toc 3"/>
    <w:basedOn w:val="Normal"/>
    <w:next w:val="Normal"/>
    <w:autoRedefine/>
    <w:uiPriority w:val="39"/>
    <w:semiHidden/>
    <w:unhideWhenUsed/>
    <w:pPr>
      <w:widowControl w:val="0"/>
      <w:suppressAutoHyphens/>
      <w:autoSpaceDE w:val="0"/>
      <w:spacing w:after="0" w:line="240" w:lineRule="auto"/>
      <w:ind w:left="400"/>
    </w:pPr>
    <w:rPr>
      <w:rFonts w:ascii="Times New Roman" w:eastAsia="Times New Roman" w:hAnsi="Times New Roman"/>
      <w:sz w:val="20"/>
      <w:szCs w:val="20"/>
      <w:lang w:val="it-IT" w:eastAsia="ar-SA"/>
    </w:rPr>
  </w:style>
  <w:style w:type="paragraph" w:styleId="TOC4">
    <w:name w:val="toc 4"/>
    <w:basedOn w:val="Normal"/>
    <w:next w:val="Normal"/>
    <w:autoRedefine/>
    <w:uiPriority w:val="39"/>
    <w:semiHidden/>
    <w:unhideWhenUsed/>
    <w:pPr>
      <w:widowControl w:val="0"/>
      <w:suppressAutoHyphens/>
      <w:autoSpaceDE w:val="0"/>
      <w:spacing w:after="0" w:line="240" w:lineRule="auto"/>
      <w:ind w:left="600"/>
    </w:pPr>
    <w:rPr>
      <w:rFonts w:ascii="Times New Roman" w:eastAsia="Times New Roman" w:hAnsi="Times New Roman"/>
      <w:sz w:val="20"/>
      <w:szCs w:val="20"/>
      <w:lang w:val="it-IT" w:eastAsia="ar-SA"/>
    </w:rPr>
  </w:style>
  <w:style w:type="paragraph" w:styleId="TOC5">
    <w:name w:val="toc 5"/>
    <w:basedOn w:val="Normal"/>
    <w:next w:val="Normal"/>
    <w:autoRedefine/>
    <w:uiPriority w:val="39"/>
    <w:semiHidden/>
    <w:unhideWhenUsed/>
    <w:pPr>
      <w:widowControl w:val="0"/>
      <w:suppressAutoHyphens/>
      <w:autoSpaceDE w:val="0"/>
      <w:spacing w:after="0" w:line="240" w:lineRule="auto"/>
      <w:ind w:left="800"/>
    </w:pPr>
    <w:rPr>
      <w:rFonts w:ascii="Times New Roman" w:eastAsia="Times New Roman" w:hAnsi="Times New Roman"/>
      <w:sz w:val="20"/>
      <w:szCs w:val="20"/>
      <w:lang w:val="it-IT" w:eastAsia="ar-SA"/>
    </w:rPr>
  </w:style>
  <w:style w:type="paragraph" w:styleId="TOC6">
    <w:name w:val="toc 6"/>
    <w:basedOn w:val="Normal"/>
    <w:next w:val="Normal"/>
    <w:autoRedefine/>
    <w:uiPriority w:val="39"/>
    <w:semiHidden/>
    <w:unhideWhenUsed/>
    <w:pPr>
      <w:widowControl w:val="0"/>
      <w:suppressAutoHyphens/>
      <w:autoSpaceDE w:val="0"/>
      <w:spacing w:after="0" w:line="240" w:lineRule="auto"/>
      <w:ind w:left="1000"/>
    </w:pPr>
    <w:rPr>
      <w:rFonts w:ascii="Times New Roman" w:eastAsia="Times New Roman" w:hAnsi="Times New Roman"/>
      <w:sz w:val="20"/>
      <w:szCs w:val="20"/>
      <w:lang w:val="it-IT" w:eastAsia="ar-SA"/>
    </w:rPr>
  </w:style>
  <w:style w:type="paragraph" w:styleId="TOC7">
    <w:name w:val="toc 7"/>
    <w:basedOn w:val="Normal"/>
    <w:next w:val="Normal"/>
    <w:autoRedefine/>
    <w:uiPriority w:val="39"/>
    <w:semiHidden/>
    <w:unhideWhenUsed/>
    <w:pPr>
      <w:widowControl w:val="0"/>
      <w:suppressAutoHyphens/>
      <w:autoSpaceDE w:val="0"/>
      <w:spacing w:after="0" w:line="240" w:lineRule="auto"/>
      <w:ind w:left="1200"/>
    </w:pPr>
    <w:rPr>
      <w:rFonts w:ascii="Times New Roman" w:eastAsia="Times New Roman" w:hAnsi="Times New Roman"/>
      <w:sz w:val="20"/>
      <w:szCs w:val="20"/>
      <w:lang w:val="it-IT" w:eastAsia="ar-SA"/>
    </w:rPr>
  </w:style>
  <w:style w:type="paragraph" w:styleId="TOC8">
    <w:name w:val="toc 8"/>
    <w:basedOn w:val="Normal"/>
    <w:next w:val="Normal"/>
    <w:autoRedefine/>
    <w:uiPriority w:val="39"/>
    <w:semiHidden/>
    <w:unhideWhenUsed/>
    <w:pPr>
      <w:widowControl w:val="0"/>
      <w:suppressAutoHyphens/>
      <w:autoSpaceDE w:val="0"/>
      <w:spacing w:after="0" w:line="240" w:lineRule="auto"/>
      <w:ind w:left="1400"/>
    </w:pPr>
    <w:rPr>
      <w:rFonts w:ascii="Times New Roman" w:eastAsia="Times New Roman" w:hAnsi="Times New Roman"/>
      <w:sz w:val="20"/>
      <w:szCs w:val="20"/>
      <w:lang w:val="it-IT" w:eastAsia="ar-SA"/>
    </w:rPr>
  </w:style>
  <w:style w:type="paragraph" w:styleId="TOC9">
    <w:name w:val="toc 9"/>
    <w:basedOn w:val="Normal"/>
    <w:next w:val="Normal"/>
    <w:autoRedefine/>
    <w:uiPriority w:val="39"/>
    <w:semiHidden/>
    <w:unhideWhenUsed/>
    <w:pPr>
      <w:widowControl w:val="0"/>
      <w:suppressAutoHyphens/>
      <w:autoSpaceDE w:val="0"/>
      <w:spacing w:after="0" w:line="240" w:lineRule="auto"/>
      <w:ind w:left="1600"/>
    </w:pPr>
    <w:rPr>
      <w:rFonts w:ascii="Times New Roman" w:eastAsia="Times New Roman" w:hAnsi="Times New Roman"/>
      <w:sz w:val="20"/>
      <w:szCs w:val="20"/>
      <w:lang w:val="it-IT" w:eastAsia="ar-SA"/>
    </w:rPr>
  </w:style>
  <w:style w:type="paragraph" w:styleId="CommentText">
    <w:name w:val="annotation text"/>
    <w:basedOn w:val="Normal"/>
    <w:link w:val="CommentTextChar"/>
    <w:uiPriority w:val="99"/>
    <w:unhideWhenUsed/>
    <w:pPr>
      <w:widowControl w:val="0"/>
      <w:suppressAutoHyphens/>
      <w:autoSpaceDE w:val="0"/>
      <w:spacing w:after="0" w:line="240" w:lineRule="auto"/>
    </w:pPr>
    <w:rPr>
      <w:rFonts w:ascii="Times New Roman" w:eastAsia="Times New Roman" w:hAnsi="Times New Roman"/>
      <w:sz w:val="20"/>
      <w:szCs w:val="20"/>
      <w:lang w:val="it-IT" w:eastAsia="ar-SA"/>
    </w:rPr>
  </w:style>
  <w:style w:type="character" w:customStyle="1" w:styleId="CommentTextChar">
    <w:name w:val="Comment Text Char"/>
    <w:link w:val="CommentText"/>
    <w:uiPriority w:val="99"/>
    <w:rPr>
      <w:rFonts w:ascii="Times New Roman" w:eastAsia="Times New Roman" w:hAnsi="Times New Roman" w:cs="Times New Roman"/>
      <w:sz w:val="20"/>
      <w:szCs w:val="20"/>
      <w:lang w:val="it-IT" w:eastAsia="ar-SA"/>
    </w:rPr>
  </w:style>
  <w:style w:type="paragraph" w:styleId="EndnoteText">
    <w:name w:val="endnote text"/>
    <w:basedOn w:val="Normal"/>
    <w:link w:val="EndnoteTextChar"/>
    <w:semiHidden/>
    <w:unhideWhenUsed/>
    <w:pPr>
      <w:widowControl w:val="0"/>
      <w:suppressAutoHyphens/>
      <w:autoSpaceDE w:val="0"/>
      <w:spacing w:after="0" w:line="240" w:lineRule="auto"/>
    </w:pPr>
    <w:rPr>
      <w:rFonts w:ascii="Times New Roman" w:eastAsia="Times New Roman" w:hAnsi="Times New Roman"/>
      <w:sz w:val="20"/>
      <w:szCs w:val="20"/>
      <w:lang w:val="it-IT" w:eastAsia="ar-SA"/>
    </w:rPr>
  </w:style>
  <w:style w:type="character" w:customStyle="1" w:styleId="EndnoteTextChar">
    <w:name w:val="Endnote Text Char"/>
    <w:link w:val="EndnoteText"/>
    <w:semiHidden/>
    <w:rPr>
      <w:rFonts w:ascii="Times New Roman" w:eastAsia="Times New Roman" w:hAnsi="Times New Roman" w:cs="Times New Roman"/>
      <w:sz w:val="20"/>
      <w:szCs w:val="20"/>
      <w:lang w:val="it-IT" w:eastAsia="ar-SA"/>
    </w:rPr>
  </w:style>
  <w:style w:type="paragraph" w:styleId="MacroText">
    <w:name w:val="macro"/>
    <w:link w:val="MacroTextChar"/>
    <w:uiPriority w:val="99"/>
    <w:semiHidden/>
    <w:unhideWhenUsed/>
    <w:pPr>
      <w:widowControl w:val="0"/>
      <w:tabs>
        <w:tab w:val="left" w:pos="480"/>
        <w:tab w:val="left" w:pos="960"/>
        <w:tab w:val="left" w:pos="1440"/>
        <w:tab w:val="left" w:pos="1920"/>
        <w:tab w:val="left" w:pos="2400"/>
        <w:tab w:val="left" w:pos="2880"/>
        <w:tab w:val="left" w:pos="3360"/>
        <w:tab w:val="left" w:pos="3840"/>
        <w:tab w:val="left" w:pos="4320"/>
      </w:tabs>
      <w:suppressAutoHyphens/>
      <w:autoSpaceDE w:val="0"/>
    </w:pPr>
    <w:rPr>
      <w:rFonts w:ascii="Courier New" w:eastAsia="Times New Roman" w:hAnsi="Courier New" w:cs="Courier New"/>
      <w:lang w:val="it-IT" w:eastAsia="ar-SA"/>
    </w:rPr>
  </w:style>
  <w:style w:type="character" w:customStyle="1" w:styleId="MacroTextChar">
    <w:name w:val="Macro Text Char"/>
    <w:link w:val="MacroText"/>
    <w:uiPriority w:val="99"/>
    <w:semiHidden/>
    <w:rPr>
      <w:rFonts w:ascii="Courier New" w:eastAsia="Times New Roman" w:hAnsi="Courier New" w:cs="Courier New"/>
      <w:lang w:val="it-IT" w:eastAsia="ar-SA" w:bidi="ar-SA"/>
    </w:rPr>
  </w:style>
  <w:style w:type="paragraph" w:styleId="Caption">
    <w:name w:val="caption"/>
    <w:basedOn w:val="Normal"/>
    <w:next w:val="Normal"/>
    <w:uiPriority w:val="35"/>
    <w:semiHidden/>
    <w:unhideWhenUsed/>
    <w:qFormat/>
    <w:pPr>
      <w:widowControl w:val="0"/>
      <w:suppressAutoHyphens/>
      <w:autoSpaceDE w:val="0"/>
      <w:spacing w:after="0" w:line="240" w:lineRule="auto"/>
    </w:pPr>
    <w:rPr>
      <w:rFonts w:ascii="Times New Roman" w:eastAsia="Times New Roman" w:hAnsi="Times New Roman"/>
      <w:b/>
      <w:bCs/>
      <w:sz w:val="20"/>
      <w:szCs w:val="20"/>
      <w:lang w:val="it-IT" w:eastAsia="ar-SA"/>
    </w:rPr>
  </w:style>
  <w:style w:type="paragraph" w:styleId="Title">
    <w:name w:val="Title"/>
    <w:basedOn w:val="Normal"/>
    <w:next w:val="Normal"/>
    <w:link w:val="TitleChar"/>
    <w:uiPriority w:val="10"/>
    <w:qFormat/>
    <w:pPr>
      <w:widowControl w:val="0"/>
      <w:suppressAutoHyphens/>
      <w:autoSpaceDE w:val="0"/>
      <w:spacing w:before="240" w:after="60" w:line="240" w:lineRule="auto"/>
      <w:jc w:val="center"/>
      <w:outlineLvl w:val="0"/>
    </w:pPr>
    <w:rPr>
      <w:rFonts w:ascii="Cambria" w:eastAsia="Times New Roman" w:hAnsi="Cambria"/>
      <w:b/>
      <w:bCs/>
      <w:kern w:val="28"/>
      <w:sz w:val="32"/>
      <w:szCs w:val="32"/>
      <w:lang w:val="it-IT" w:eastAsia="ar-SA"/>
    </w:rPr>
  </w:style>
  <w:style w:type="character" w:customStyle="1" w:styleId="TitleChar">
    <w:name w:val="Title Char"/>
    <w:link w:val="Title"/>
    <w:uiPriority w:val="10"/>
    <w:rPr>
      <w:rFonts w:ascii="Cambria" w:eastAsia="Times New Roman" w:hAnsi="Cambria" w:cs="Times New Roman"/>
      <w:b/>
      <w:bCs/>
      <w:kern w:val="28"/>
      <w:sz w:val="32"/>
      <w:szCs w:val="32"/>
      <w:lang w:val="it-IT" w:eastAsia="ar-SA"/>
    </w:rPr>
  </w:style>
  <w:style w:type="paragraph" w:styleId="EnvelopeAddress">
    <w:name w:val="envelope address"/>
    <w:basedOn w:val="Normal"/>
    <w:uiPriority w:val="99"/>
    <w:semiHidden/>
    <w:unhideWhenUsed/>
    <w:pPr>
      <w:framePr w:w="7920" w:h="1980" w:hRule="exact" w:hSpace="141" w:wrap="auto" w:hAnchor="page" w:xAlign="center" w:yAlign="bottom"/>
      <w:widowControl w:val="0"/>
      <w:suppressAutoHyphens/>
      <w:autoSpaceDE w:val="0"/>
      <w:spacing w:after="0" w:line="240" w:lineRule="auto"/>
      <w:ind w:left="2880"/>
    </w:pPr>
    <w:rPr>
      <w:rFonts w:ascii="Cambria" w:eastAsia="Times New Roman" w:hAnsi="Cambria"/>
      <w:sz w:val="24"/>
      <w:szCs w:val="24"/>
      <w:lang w:val="it-IT" w:eastAsia="ar-SA"/>
    </w:rPr>
  </w:style>
  <w:style w:type="paragraph" w:styleId="EnvelopeReturn">
    <w:name w:val="envelope return"/>
    <w:basedOn w:val="Normal"/>
    <w:uiPriority w:val="99"/>
    <w:semiHidden/>
    <w:unhideWhenUsed/>
    <w:pPr>
      <w:widowControl w:val="0"/>
      <w:suppressAutoHyphens/>
      <w:autoSpaceDE w:val="0"/>
      <w:spacing w:after="0" w:line="240" w:lineRule="auto"/>
    </w:pPr>
    <w:rPr>
      <w:rFonts w:ascii="Cambria" w:eastAsia="Times New Roman" w:hAnsi="Cambria"/>
      <w:sz w:val="20"/>
      <w:szCs w:val="20"/>
      <w:lang w:val="it-IT" w:eastAsia="ar-SA"/>
    </w:rPr>
  </w:style>
  <w:style w:type="paragraph" w:styleId="TOCHeading">
    <w:name w:val="TOC Heading"/>
    <w:basedOn w:val="Heading1"/>
    <w:next w:val="Normal"/>
    <w:uiPriority w:val="39"/>
    <w:semiHidden/>
    <w:unhideWhenUsed/>
    <w:qFormat/>
    <w:pPr>
      <w:outlineLvl w:val="9"/>
    </w:pPr>
  </w:style>
  <w:style w:type="paragraph" w:styleId="NormalIndent">
    <w:name w:val="Normal Indent"/>
    <w:basedOn w:val="Normal"/>
    <w:uiPriority w:val="99"/>
    <w:semiHidden/>
    <w:unhideWhenUsed/>
    <w:pPr>
      <w:widowControl w:val="0"/>
      <w:suppressAutoHyphens/>
      <w:autoSpaceDE w:val="0"/>
      <w:spacing w:after="0" w:line="240" w:lineRule="auto"/>
      <w:ind w:left="708"/>
    </w:pPr>
    <w:rPr>
      <w:rFonts w:ascii="Times New Roman" w:eastAsia="Times New Roman" w:hAnsi="Times New Roman"/>
      <w:sz w:val="20"/>
      <w:szCs w:val="20"/>
      <w:lang w:val="it-IT" w:eastAsia="ar-SA"/>
    </w:rPr>
  </w:style>
  <w:style w:type="paragraph" w:styleId="NormalWeb">
    <w:name w:val="Normal (Web)"/>
    <w:basedOn w:val="Normal"/>
    <w:uiPriority w:val="99"/>
    <w:semiHidden/>
    <w:unhideWhenUsed/>
    <w:pPr>
      <w:widowControl w:val="0"/>
      <w:suppressAutoHyphens/>
      <w:autoSpaceDE w:val="0"/>
      <w:spacing w:after="0" w:line="240" w:lineRule="auto"/>
    </w:pPr>
    <w:rPr>
      <w:rFonts w:ascii="Times New Roman" w:eastAsia="Times New Roman" w:hAnsi="Times New Roman"/>
      <w:sz w:val="24"/>
      <w:szCs w:val="24"/>
      <w:lang w:val="it-IT" w:eastAsia="ar-SA"/>
    </w:rPr>
  </w:style>
  <w:style w:type="paragraph" w:styleId="ListParagraph">
    <w:name w:val="List Paragraph"/>
    <w:basedOn w:val="Normal"/>
    <w:uiPriority w:val="34"/>
    <w:qFormat/>
    <w:pPr>
      <w:widowControl w:val="0"/>
      <w:suppressAutoHyphens/>
      <w:autoSpaceDE w:val="0"/>
      <w:spacing w:after="0" w:line="240" w:lineRule="auto"/>
      <w:ind w:left="708"/>
    </w:pPr>
    <w:rPr>
      <w:rFonts w:ascii="Times New Roman" w:eastAsia="Times New Roman" w:hAnsi="Times New Roman"/>
      <w:sz w:val="20"/>
      <w:szCs w:val="20"/>
      <w:lang w:val="it-IT" w:eastAsia="ar-SA"/>
    </w:rPr>
  </w:style>
  <w:style w:type="paragraph" w:styleId="NoteHeading">
    <w:name w:val="Note Heading"/>
    <w:basedOn w:val="Normal"/>
    <w:next w:val="Normal"/>
    <w:link w:val="NoteHeadingChar"/>
    <w:uiPriority w:val="99"/>
    <w:semiHidden/>
    <w:unhideWhenUsed/>
    <w:pPr>
      <w:widowControl w:val="0"/>
      <w:suppressAutoHyphens/>
      <w:autoSpaceDE w:val="0"/>
      <w:spacing w:after="0" w:line="240" w:lineRule="auto"/>
    </w:pPr>
    <w:rPr>
      <w:rFonts w:ascii="Times New Roman" w:eastAsia="Times New Roman" w:hAnsi="Times New Roman"/>
      <w:sz w:val="20"/>
      <w:szCs w:val="20"/>
      <w:lang w:val="it-IT" w:eastAsia="ar-SA"/>
    </w:rPr>
  </w:style>
  <w:style w:type="character" w:customStyle="1" w:styleId="NoteHeadingChar">
    <w:name w:val="Note Heading Char"/>
    <w:link w:val="NoteHeading"/>
    <w:uiPriority w:val="99"/>
    <w:semiHidden/>
    <w:rPr>
      <w:rFonts w:ascii="Times New Roman" w:eastAsia="Times New Roman" w:hAnsi="Times New Roman" w:cs="Times New Roman"/>
      <w:sz w:val="20"/>
      <w:szCs w:val="20"/>
      <w:lang w:val="it-IT" w:eastAsia="ar-SA"/>
    </w:rPr>
  </w:style>
  <w:style w:type="paragraph" w:styleId="ListNumber">
    <w:name w:val="List Number"/>
    <w:basedOn w:val="Normal"/>
    <w:uiPriority w:val="99"/>
    <w:semiHidden/>
    <w:unhideWhenUsed/>
    <w:pPr>
      <w:widowControl w:val="0"/>
      <w:numPr>
        <w:numId w:val="14"/>
      </w:numPr>
      <w:suppressAutoHyphens/>
      <w:autoSpaceDE w:val="0"/>
      <w:spacing w:after="0" w:line="240" w:lineRule="auto"/>
      <w:contextualSpacing/>
    </w:pPr>
    <w:rPr>
      <w:rFonts w:ascii="Times New Roman" w:eastAsia="Times New Roman" w:hAnsi="Times New Roman"/>
      <w:sz w:val="20"/>
      <w:szCs w:val="20"/>
      <w:lang w:val="it-IT" w:eastAsia="ar-SA"/>
    </w:rPr>
  </w:style>
  <w:style w:type="paragraph" w:styleId="ListNumber2">
    <w:name w:val="List Number 2"/>
    <w:basedOn w:val="Normal"/>
    <w:uiPriority w:val="99"/>
    <w:semiHidden/>
    <w:unhideWhenUsed/>
    <w:pPr>
      <w:widowControl w:val="0"/>
      <w:numPr>
        <w:numId w:val="15"/>
      </w:numPr>
      <w:suppressAutoHyphens/>
      <w:autoSpaceDE w:val="0"/>
      <w:spacing w:after="0" w:line="240" w:lineRule="auto"/>
      <w:contextualSpacing/>
    </w:pPr>
    <w:rPr>
      <w:rFonts w:ascii="Times New Roman" w:eastAsia="Times New Roman" w:hAnsi="Times New Roman"/>
      <w:sz w:val="20"/>
      <w:szCs w:val="20"/>
      <w:lang w:val="it-IT" w:eastAsia="ar-SA"/>
    </w:rPr>
  </w:style>
  <w:style w:type="paragraph" w:styleId="ListNumber3">
    <w:name w:val="List Number 3"/>
    <w:basedOn w:val="Normal"/>
    <w:uiPriority w:val="99"/>
    <w:semiHidden/>
    <w:unhideWhenUsed/>
    <w:pPr>
      <w:widowControl w:val="0"/>
      <w:numPr>
        <w:numId w:val="16"/>
      </w:numPr>
      <w:suppressAutoHyphens/>
      <w:autoSpaceDE w:val="0"/>
      <w:spacing w:after="0" w:line="240" w:lineRule="auto"/>
      <w:contextualSpacing/>
    </w:pPr>
    <w:rPr>
      <w:rFonts w:ascii="Times New Roman" w:eastAsia="Times New Roman" w:hAnsi="Times New Roman"/>
      <w:sz w:val="20"/>
      <w:szCs w:val="20"/>
      <w:lang w:val="it-IT" w:eastAsia="ar-SA"/>
    </w:rPr>
  </w:style>
  <w:style w:type="paragraph" w:styleId="ListNumber4">
    <w:name w:val="List Number 4"/>
    <w:basedOn w:val="Normal"/>
    <w:uiPriority w:val="99"/>
    <w:semiHidden/>
    <w:unhideWhenUsed/>
    <w:pPr>
      <w:widowControl w:val="0"/>
      <w:numPr>
        <w:numId w:val="17"/>
      </w:numPr>
      <w:suppressAutoHyphens/>
      <w:autoSpaceDE w:val="0"/>
      <w:spacing w:after="0" w:line="240" w:lineRule="auto"/>
      <w:contextualSpacing/>
    </w:pPr>
    <w:rPr>
      <w:rFonts w:ascii="Times New Roman" w:eastAsia="Times New Roman" w:hAnsi="Times New Roman"/>
      <w:sz w:val="20"/>
      <w:szCs w:val="20"/>
      <w:lang w:val="it-IT" w:eastAsia="ar-SA"/>
    </w:rPr>
  </w:style>
  <w:style w:type="paragraph" w:styleId="ListNumber5">
    <w:name w:val="List Number 5"/>
    <w:basedOn w:val="Normal"/>
    <w:uiPriority w:val="99"/>
    <w:semiHidden/>
    <w:unhideWhenUsed/>
    <w:pPr>
      <w:widowControl w:val="0"/>
      <w:numPr>
        <w:numId w:val="18"/>
      </w:numPr>
      <w:suppressAutoHyphens/>
      <w:autoSpaceDE w:val="0"/>
      <w:spacing w:after="0" w:line="240" w:lineRule="auto"/>
      <w:contextualSpacing/>
    </w:pPr>
    <w:rPr>
      <w:rFonts w:ascii="Times New Roman" w:eastAsia="Times New Roman" w:hAnsi="Times New Roman"/>
      <w:sz w:val="20"/>
      <w:szCs w:val="20"/>
      <w:lang w:val="it-IT" w:eastAsia="ar-SA"/>
    </w:rPr>
  </w:style>
  <w:style w:type="paragraph" w:styleId="ListBullet">
    <w:name w:val="List Bullet"/>
    <w:basedOn w:val="Normal"/>
    <w:uiPriority w:val="99"/>
    <w:semiHidden/>
    <w:unhideWhenUsed/>
    <w:pPr>
      <w:widowControl w:val="0"/>
      <w:numPr>
        <w:numId w:val="19"/>
      </w:numPr>
      <w:suppressAutoHyphens/>
      <w:autoSpaceDE w:val="0"/>
      <w:spacing w:after="0" w:line="240" w:lineRule="auto"/>
      <w:contextualSpacing/>
    </w:pPr>
    <w:rPr>
      <w:rFonts w:ascii="Times New Roman" w:eastAsia="Times New Roman" w:hAnsi="Times New Roman"/>
      <w:sz w:val="20"/>
      <w:szCs w:val="20"/>
      <w:lang w:val="it-IT" w:eastAsia="ar-SA"/>
    </w:rPr>
  </w:style>
  <w:style w:type="paragraph" w:styleId="ListBullet2">
    <w:name w:val="List Bullet 2"/>
    <w:basedOn w:val="Normal"/>
    <w:uiPriority w:val="99"/>
    <w:semiHidden/>
    <w:unhideWhenUsed/>
    <w:pPr>
      <w:widowControl w:val="0"/>
      <w:numPr>
        <w:numId w:val="20"/>
      </w:numPr>
      <w:suppressAutoHyphens/>
      <w:autoSpaceDE w:val="0"/>
      <w:spacing w:after="0" w:line="240" w:lineRule="auto"/>
      <w:contextualSpacing/>
    </w:pPr>
    <w:rPr>
      <w:rFonts w:ascii="Times New Roman" w:eastAsia="Times New Roman" w:hAnsi="Times New Roman"/>
      <w:sz w:val="20"/>
      <w:szCs w:val="20"/>
      <w:lang w:val="it-IT" w:eastAsia="ar-SA"/>
    </w:rPr>
  </w:style>
  <w:style w:type="paragraph" w:styleId="ListBullet3">
    <w:name w:val="List Bullet 3"/>
    <w:basedOn w:val="Normal"/>
    <w:uiPriority w:val="99"/>
    <w:semiHidden/>
    <w:unhideWhenUsed/>
    <w:pPr>
      <w:widowControl w:val="0"/>
      <w:numPr>
        <w:numId w:val="21"/>
      </w:numPr>
      <w:suppressAutoHyphens/>
      <w:autoSpaceDE w:val="0"/>
      <w:spacing w:after="0" w:line="240" w:lineRule="auto"/>
      <w:contextualSpacing/>
    </w:pPr>
    <w:rPr>
      <w:rFonts w:ascii="Times New Roman" w:eastAsia="Times New Roman" w:hAnsi="Times New Roman"/>
      <w:sz w:val="20"/>
      <w:szCs w:val="20"/>
      <w:lang w:val="it-IT" w:eastAsia="ar-SA"/>
    </w:rPr>
  </w:style>
  <w:style w:type="paragraph" w:styleId="ListBullet4">
    <w:name w:val="List Bullet 4"/>
    <w:basedOn w:val="Normal"/>
    <w:uiPriority w:val="99"/>
    <w:semiHidden/>
    <w:unhideWhenUsed/>
    <w:pPr>
      <w:widowControl w:val="0"/>
      <w:numPr>
        <w:numId w:val="22"/>
      </w:numPr>
      <w:suppressAutoHyphens/>
      <w:autoSpaceDE w:val="0"/>
      <w:spacing w:after="0" w:line="240" w:lineRule="auto"/>
      <w:contextualSpacing/>
    </w:pPr>
    <w:rPr>
      <w:rFonts w:ascii="Times New Roman" w:eastAsia="Times New Roman" w:hAnsi="Times New Roman"/>
      <w:sz w:val="20"/>
      <w:szCs w:val="20"/>
      <w:lang w:val="it-IT" w:eastAsia="ar-SA"/>
    </w:rPr>
  </w:style>
  <w:style w:type="paragraph" w:styleId="ListBullet5">
    <w:name w:val="List Bullet 5"/>
    <w:basedOn w:val="Normal"/>
    <w:uiPriority w:val="99"/>
    <w:semiHidden/>
    <w:unhideWhenUsed/>
    <w:pPr>
      <w:widowControl w:val="0"/>
      <w:numPr>
        <w:numId w:val="23"/>
      </w:numPr>
      <w:suppressAutoHyphens/>
      <w:autoSpaceDE w:val="0"/>
      <w:spacing w:after="0" w:line="240" w:lineRule="auto"/>
      <w:contextualSpacing/>
    </w:pPr>
    <w:rPr>
      <w:rFonts w:ascii="Times New Roman" w:eastAsia="Times New Roman" w:hAnsi="Times New Roman"/>
      <w:sz w:val="20"/>
      <w:szCs w:val="20"/>
      <w:lang w:val="it-IT" w:eastAsia="ar-SA"/>
    </w:rPr>
  </w:style>
  <w:style w:type="paragraph" w:styleId="Subtitle">
    <w:name w:val="Subtitle"/>
    <w:basedOn w:val="Normal"/>
    <w:next w:val="Normal"/>
    <w:link w:val="SubtitleChar"/>
    <w:uiPriority w:val="11"/>
    <w:qFormat/>
    <w:pPr>
      <w:widowControl w:val="0"/>
      <w:suppressAutoHyphens/>
      <w:autoSpaceDE w:val="0"/>
      <w:spacing w:after="60" w:line="240" w:lineRule="auto"/>
      <w:jc w:val="center"/>
      <w:outlineLvl w:val="1"/>
    </w:pPr>
    <w:rPr>
      <w:rFonts w:ascii="Cambria" w:eastAsia="Times New Roman" w:hAnsi="Cambria"/>
      <w:sz w:val="24"/>
      <w:szCs w:val="24"/>
      <w:lang w:val="it-IT" w:eastAsia="ar-SA"/>
    </w:rPr>
  </w:style>
  <w:style w:type="character" w:customStyle="1" w:styleId="SubtitleChar">
    <w:name w:val="Subtitle Char"/>
    <w:link w:val="Subtitle"/>
    <w:uiPriority w:val="11"/>
    <w:rPr>
      <w:rFonts w:ascii="Cambria" w:eastAsia="Times New Roman" w:hAnsi="Cambria" w:cs="Times New Roman"/>
      <w:sz w:val="24"/>
      <w:szCs w:val="24"/>
      <w:lang w:val="it-IT" w:eastAsia="ar-SA"/>
    </w:rPr>
  </w:style>
  <w:style w:type="paragraph" w:styleId="Signature">
    <w:name w:val="Signature"/>
    <w:basedOn w:val="Normal"/>
    <w:link w:val="SignatureChar"/>
    <w:uiPriority w:val="99"/>
    <w:semiHidden/>
    <w:unhideWhenUsed/>
    <w:pPr>
      <w:widowControl w:val="0"/>
      <w:suppressAutoHyphens/>
      <w:autoSpaceDE w:val="0"/>
      <w:spacing w:after="0" w:line="240" w:lineRule="auto"/>
      <w:ind w:left="4252"/>
    </w:pPr>
    <w:rPr>
      <w:rFonts w:ascii="Times New Roman" w:eastAsia="Times New Roman" w:hAnsi="Times New Roman"/>
      <w:sz w:val="20"/>
      <w:szCs w:val="20"/>
      <w:lang w:val="it-IT" w:eastAsia="ar-SA"/>
    </w:rPr>
  </w:style>
  <w:style w:type="character" w:customStyle="1" w:styleId="SignatureChar">
    <w:name w:val="Signature Char"/>
    <w:link w:val="Signature"/>
    <w:uiPriority w:val="99"/>
    <w:semiHidden/>
    <w:rPr>
      <w:rFonts w:ascii="Times New Roman" w:eastAsia="Times New Roman" w:hAnsi="Times New Roman" w:cs="Times New Roman"/>
      <w:sz w:val="20"/>
      <w:szCs w:val="20"/>
      <w:lang w:val="it-IT" w:eastAsia="ar-SA"/>
    </w:rPr>
  </w:style>
  <w:style w:type="paragraph" w:styleId="ListContinue">
    <w:name w:val="List Continue"/>
    <w:basedOn w:val="Normal"/>
    <w:uiPriority w:val="99"/>
    <w:semiHidden/>
    <w:unhideWhenUsed/>
    <w:pPr>
      <w:widowControl w:val="0"/>
      <w:suppressAutoHyphens/>
      <w:autoSpaceDE w:val="0"/>
      <w:spacing w:after="120" w:line="240" w:lineRule="auto"/>
      <w:ind w:left="283"/>
      <w:contextualSpacing/>
    </w:pPr>
    <w:rPr>
      <w:rFonts w:ascii="Times New Roman" w:eastAsia="Times New Roman" w:hAnsi="Times New Roman"/>
      <w:sz w:val="20"/>
      <w:szCs w:val="20"/>
      <w:lang w:val="it-IT" w:eastAsia="ar-SA"/>
    </w:rPr>
  </w:style>
  <w:style w:type="paragraph" w:styleId="ListContinue2">
    <w:name w:val="List Continue 2"/>
    <w:basedOn w:val="Normal"/>
    <w:uiPriority w:val="99"/>
    <w:semiHidden/>
    <w:unhideWhenUsed/>
    <w:pPr>
      <w:widowControl w:val="0"/>
      <w:suppressAutoHyphens/>
      <w:autoSpaceDE w:val="0"/>
      <w:spacing w:after="120" w:line="240" w:lineRule="auto"/>
      <w:ind w:left="566"/>
      <w:contextualSpacing/>
    </w:pPr>
    <w:rPr>
      <w:rFonts w:ascii="Times New Roman" w:eastAsia="Times New Roman" w:hAnsi="Times New Roman"/>
      <w:sz w:val="20"/>
      <w:szCs w:val="20"/>
      <w:lang w:val="it-IT" w:eastAsia="ar-SA"/>
    </w:rPr>
  </w:style>
  <w:style w:type="paragraph" w:styleId="ListContinue3">
    <w:name w:val="List Continue 3"/>
    <w:basedOn w:val="Normal"/>
    <w:uiPriority w:val="99"/>
    <w:semiHidden/>
    <w:unhideWhenUsed/>
    <w:pPr>
      <w:widowControl w:val="0"/>
      <w:suppressAutoHyphens/>
      <w:autoSpaceDE w:val="0"/>
      <w:spacing w:after="120" w:line="240" w:lineRule="auto"/>
      <w:ind w:left="849"/>
      <w:contextualSpacing/>
    </w:pPr>
    <w:rPr>
      <w:rFonts w:ascii="Times New Roman" w:eastAsia="Times New Roman" w:hAnsi="Times New Roman"/>
      <w:sz w:val="20"/>
      <w:szCs w:val="20"/>
      <w:lang w:val="it-IT" w:eastAsia="ar-SA"/>
    </w:rPr>
  </w:style>
  <w:style w:type="paragraph" w:styleId="ListContinue4">
    <w:name w:val="List Continue 4"/>
    <w:basedOn w:val="Normal"/>
    <w:uiPriority w:val="99"/>
    <w:semiHidden/>
    <w:unhideWhenUsed/>
    <w:pPr>
      <w:widowControl w:val="0"/>
      <w:suppressAutoHyphens/>
      <w:autoSpaceDE w:val="0"/>
      <w:spacing w:after="120" w:line="240" w:lineRule="auto"/>
      <w:ind w:left="1132"/>
      <w:contextualSpacing/>
    </w:pPr>
    <w:rPr>
      <w:rFonts w:ascii="Times New Roman" w:eastAsia="Times New Roman" w:hAnsi="Times New Roman"/>
      <w:sz w:val="20"/>
      <w:szCs w:val="20"/>
      <w:lang w:val="it-IT" w:eastAsia="ar-SA"/>
    </w:rPr>
  </w:style>
  <w:style w:type="paragraph" w:styleId="ListContinue5">
    <w:name w:val="List Continue 5"/>
    <w:basedOn w:val="Normal"/>
    <w:uiPriority w:val="99"/>
    <w:semiHidden/>
    <w:unhideWhenUsed/>
    <w:pPr>
      <w:widowControl w:val="0"/>
      <w:suppressAutoHyphens/>
      <w:autoSpaceDE w:val="0"/>
      <w:spacing w:after="120" w:line="240" w:lineRule="auto"/>
      <w:ind w:left="1415"/>
      <w:contextualSpacing/>
    </w:pPr>
    <w:rPr>
      <w:rFonts w:ascii="Times New Roman" w:eastAsia="Times New Roman" w:hAnsi="Times New Roman"/>
      <w:sz w:val="20"/>
      <w:szCs w:val="20"/>
      <w:lang w:val="it-IT" w:eastAsia="ar-SA"/>
    </w:rPr>
  </w:style>
  <w:style w:type="paragraph" w:styleId="List2">
    <w:name w:val="List 2"/>
    <w:basedOn w:val="Normal"/>
    <w:uiPriority w:val="99"/>
    <w:semiHidden/>
    <w:unhideWhenUsed/>
    <w:pPr>
      <w:widowControl w:val="0"/>
      <w:suppressAutoHyphens/>
      <w:autoSpaceDE w:val="0"/>
      <w:spacing w:after="0" w:line="240" w:lineRule="auto"/>
      <w:ind w:left="566" w:hanging="283"/>
      <w:contextualSpacing/>
    </w:pPr>
    <w:rPr>
      <w:rFonts w:ascii="Times New Roman" w:eastAsia="Times New Roman" w:hAnsi="Times New Roman"/>
      <w:sz w:val="20"/>
      <w:szCs w:val="20"/>
      <w:lang w:val="it-IT" w:eastAsia="ar-SA"/>
    </w:rPr>
  </w:style>
  <w:style w:type="paragraph" w:styleId="List3">
    <w:name w:val="List 3"/>
    <w:basedOn w:val="Normal"/>
    <w:uiPriority w:val="99"/>
    <w:semiHidden/>
    <w:unhideWhenUsed/>
    <w:pPr>
      <w:widowControl w:val="0"/>
      <w:suppressAutoHyphens/>
      <w:autoSpaceDE w:val="0"/>
      <w:spacing w:after="0" w:line="240" w:lineRule="auto"/>
      <w:ind w:left="849" w:hanging="283"/>
      <w:contextualSpacing/>
    </w:pPr>
    <w:rPr>
      <w:rFonts w:ascii="Times New Roman" w:eastAsia="Times New Roman" w:hAnsi="Times New Roman"/>
      <w:sz w:val="20"/>
      <w:szCs w:val="20"/>
      <w:lang w:val="it-IT" w:eastAsia="ar-SA"/>
    </w:rPr>
  </w:style>
  <w:style w:type="paragraph" w:styleId="List4">
    <w:name w:val="List 4"/>
    <w:basedOn w:val="Normal"/>
    <w:uiPriority w:val="99"/>
    <w:semiHidden/>
    <w:unhideWhenUsed/>
    <w:pPr>
      <w:widowControl w:val="0"/>
      <w:suppressAutoHyphens/>
      <w:autoSpaceDE w:val="0"/>
      <w:spacing w:after="0" w:line="240" w:lineRule="auto"/>
      <w:ind w:left="1132" w:hanging="283"/>
      <w:contextualSpacing/>
    </w:pPr>
    <w:rPr>
      <w:rFonts w:ascii="Times New Roman" w:eastAsia="Times New Roman" w:hAnsi="Times New Roman"/>
      <w:sz w:val="20"/>
      <w:szCs w:val="20"/>
      <w:lang w:val="it-IT" w:eastAsia="ar-SA"/>
    </w:rPr>
  </w:style>
  <w:style w:type="paragraph" w:styleId="List5">
    <w:name w:val="List 5"/>
    <w:basedOn w:val="Normal"/>
    <w:uiPriority w:val="99"/>
    <w:semiHidden/>
    <w:unhideWhenUsed/>
    <w:pPr>
      <w:widowControl w:val="0"/>
      <w:suppressAutoHyphens/>
      <w:autoSpaceDE w:val="0"/>
      <w:spacing w:after="0" w:line="240" w:lineRule="auto"/>
      <w:ind w:left="1415" w:hanging="283"/>
      <w:contextualSpacing/>
    </w:pPr>
    <w:rPr>
      <w:rFonts w:ascii="Times New Roman" w:eastAsia="Times New Roman" w:hAnsi="Times New Roman"/>
      <w:sz w:val="20"/>
      <w:szCs w:val="20"/>
      <w:lang w:val="it-IT" w:eastAsia="ar-SA"/>
    </w:rPr>
  </w:style>
  <w:style w:type="paragraph" w:styleId="FootnoteText">
    <w:name w:val="footnote text"/>
    <w:basedOn w:val="Normal"/>
    <w:link w:val="FootnoteTextChar"/>
    <w:unhideWhenUsed/>
    <w:pPr>
      <w:widowControl w:val="0"/>
      <w:suppressAutoHyphens/>
      <w:autoSpaceDE w:val="0"/>
      <w:spacing w:after="0" w:line="240" w:lineRule="auto"/>
    </w:pPr>
    <w:rPr>
      <w:rFonts w:ascii="Times New Roman" w:eastAsia="Times New Roman" w:hAnsi="Times New Roman"/>
      <w:sz w:val="20"/>
      <w:szCs w:val="20"/>
      <w:lang w:val="it-IT" w:eastAsia="ar-SA"/>
    </w:rPr>
  </w:style>
  <w:style w:type="character" w:customStyle="1" w:styleId="FootnoteTextChar">
    <w:name w:val="Footnote Text Char"/>
    <w:link w:val="FootnoteText"/>
    <w:rPr>
      <w:rFonts w:ascii="Times New Roman" w:eastAsia="Times New Roman" w:hAnsi="Times New Roman" w:cs="Times New Roman"/>
      <w:sz w:val="20"/>
      <w:szCs w:val="20"/>
      <w:lang w:val="it-IT" w:eastAsia="ar-SA"/>
    </w:rPr>
  </w:style>
  <w:style w:type="paragraph" w:styleId="Index1">
    <w:name w:val="index 1"/>
    <w:basedOn w:val="Normal"/>
    <w:next w:val="Normal"/>
    <w:autoRedefine/>
    <w:uiPriority w:val="99"/>
    <w:semiHidden/>
    <w:unhideWhenUsed/>
    <w:pPr>
      <w:widowControl w:val="0"/>
      <w:suppressAutoHyphens/>
      <w:autoSpaceDE w:val="0"/>
      <w:spacing w:after="0" w:line="240" w:lineRule="auto"/>
      <w:ind w:left="200" w:hanging="200"/>
    </w:pPr>
    <w:rPr>
      <w:rFonts w:ascii="Times New Roman" w:eastAsia="Times New Roman" w:hAnsi="Times New Roman"/>
      <w:sz w:val="20"/>
      <w:szCs w:val="20"/>
      <w:lang w:val="it-IT" w:eastAsia="ar-SA"/>
    </w:rPr>
  </w:style>
  <w:style w:type="paragraph" w:styleId="IndexHeading">
    <w:name w:val="index heading"/>
    <w:basedOn w:val="Normal"/>
    <w:next w:val="Index1"/>
    <w:uiPriority w:val="99"/>
    <w:semiHidden/>
    <w:unhideWhenUsed/>
    <w:pPr>
      <w:widowControl w:val="0"/>
      <w:suppressAutoHyphens/>
      <w:autoSpaceDE w:val="0"/>
      <w:spacing w:after="0" w:line="240" w:lineRule="auto"/>
    </w:pPr>
    <w:rPr>
      <w:rFonts w:ascii="Cambria" w:eastAsia="Times New Roman" w:hAnsi="Cambria"/>
      <w:b/>
      <w:bCs/>
      <w:sz w:val="20"/>
      <w:szCs w:val="20"/>
      <w:lang w:val="it-IT" w:eastAsia="ar-SA"/>
    </w:rPr>
  </w:style>
  <w:style w:type="paragraph" w:styleId="Index2">
    <w:name w:val="index 2"/>
    <w:basedOn w:val="Normal"/>
    <w:next w:val="Normal"/>
    <w:autoRedefine/>
    <w:uiPriority w:val="99"/>
    <w:semiHidden/>
    <w:unhideWhenUsed/>
    <w:pPr>
      <w:widowControl w:val="0"/>
      <w:suppressAutoHyphens/>
      <w:autoSpaceDE w:val="0"/>
      <w:spacing w:after="0" w:line="240" w:lineRule="auto"/>
      <w:ind w:left="400" w:hanging="200"/>
    </w:pPr>
    <w:rPr>
      <w:rFonts w:ascii="Times New Roman" w:eastAsia="Times New Roman" w:hAnsi="Times New Roman"/>
      <w:sz w:val="20"/>
      <w:szCs w:val="20"/>
      <w:lang w:val="it-IT" w:eastAsia="ar-SA"/>
    </w:rPr>
  </w:style>
  <w:style w:type="paragraph" w:styleId="Index3">
    <w:name w:val="index 3"/>
    <w:basedOn w:val="Normal"/>
    <w:next w:val="Normal"/>
    <w:autoRedefine/>
    <w:uiPriority w:val="99"/>
    <w:semiHidden/>
    <w:unhideWhenUsed/>
    <w:pPr>
      <w:widowControl w:val="0"/>
      <w:suppressAutoHyphens/>
      <w:autoSpaceDE w:val="0"/>
      <w:spacing w:after="0" w:line="240" w:lineRule="auto"/>
      <w:ind w:left="600" w:hanging="200"/>
    </w:pPr>
    <w:rPr>
      <w:rFonts w:ascii="Times New Roman" w:eastAsia="Times New Roman" w:hAnsi="Times New Roman"/>
      <w:sz w:val="20"/>
      <w:szCs w:val="20"/>
      <w:lang w:val="it-IT" w:eastAsia="ar-SA"/>
    </w:rPr>
  </w:style>
  <w:style w:type="paragraph" w:styleId="Index4">
    <w:name w:val="index 4"/>
    <w:basedOn w:val="Normal"/>
    <w:next w:val="Normal"/>
    <w:autoRedefine/>
    <w:uiPriority w:val="99"/>
    <w:semiHidden/>
    <w:unhideWhenUsed/>
    <w:pPr>
      <w:widowControl w:val="0"/>
      <w:suppressAutoHyphens/>
      <w:autoSpaceDE w:val="0"/>
      <w:spacing w:after="0" w:line="240" w:lineRule="auto"/>
      <w:ind w:left="800" w:hanging="200"/>
    </w:pPr>
    <w:rPr>
      <w:rFonts w:ascii="Times New Roman" w:eastAsia="Times New Roman" w:hAnsi="Times New Roman"/>
      <w:sz w:val="20"/>
      <w:szCs w:val="20"/>
      <w:lang w:val="it-IT" w:eastAsia="ar-SA"/>
    </w:rPr>
  </w:style>
  <w:style w:type="paragraph" w:styleId="Index5">
    <w:name w:val="index 5"/>
    <w:basedOn w:val="Normal"/>
    <w:next w:val="Normal"/>
    <w:autoRedefine/>
    <w:uiPriority w:val="99"/>
    <w:semiHidden/>
    <w:unhideWhenUsed/>
    <w:pPr>
      <w:widowControl w:val="0"/>
      <w:suppressAutoHyphens/>
      <w:autoSpaceDE w:val="0"/>
      <w:spacing w:after="0" w:line="240" w:lineRule="auto"/>
      <w:ind w:left="1000" w:hanging="200"/>
    </w:pPr>
    <w:rPr>
      <w:rFonts w:ascii="Times New Roman" w:eastAsia="Times New Roman" w:hAnsi="Times New Roman"/>
      <w:sz w:val="20"/>
      <w:szCs w:val="20"/>
      <w:lang w:val="it-IT" w:eastAsia="ar-SA"/>
    </w:rPr>
  </w:style>
  <w:style w:type="paragraph" w:styleId="Index6">
    <w:name w:val="index 6"/>
    <w:basedOn w:val="Normal"/>
    <w:next w:val="Normal"/>
    <w:autoRedefine/>
    <w:uiPriority w:val="99"/>
    <w:semiHidden/>
    <w:unhideWhenUsed/>
    <w:pPr>
      <w:widowControl w:val="0"/>
      <w:suppressAutoHyphens/>
      <w:autoSpaceDE w:val="0"/>
      <w:spacing w:after="0" w:line="240" w:lineRule="auto"/>
      <w:ind w:left="1200" w:hanging="200"/>
    </w:pPr>
    <w:rPr>
      <w:rFonts w:ascii="Times New Roman" w:eastAsia="Times New Roman" w:hAnsi="Times New Roman"/>
      <w:sz w:val="20"/>
      <w:szCs w:val="20"/>
      <w:lang w:val="it-IT" w:eastAsia="ar-SA"/>
    </w:rPr>
  </w:style>
  <w:style w:type="paragraph" w:styleId="Index7">
    <w:name w:val="index 7"/>
    <w:basedOn w:val="Normal"/>
    <w:next w:val="Normal"/>
    <w:autoRedefine/>
    <w:uiPriority w:val="99"/>
    <w:semiHidden/>
    <w:unhideWhenUsed/>
    <w:pPr>
      <w:widowControl w:val="0"/>
      <w:suppressAutoHyphens/>
      <w:autoSpaceDE w:val="0"/>
      <w:spacing w:after="0" w:line="240" w:lineRule="auto"/>
      <w:ind w:left="1400" w:hanging="200"/>
    </w:pPr>
    <w:rPr>
      <w:rFonts w:ascii="Times New Roman" w:eastAsia="Times New Roman" w:hAnsi="Times New Roman"/>
      <w:sz w:val="20"/>
      <w:szCs w:val="20"/>
      <w:lang w:val="it-IT" w:eastAsia="ar-SA"/>
    </w:rPr>
  </w:style>
  <w:style w:type="paragraph" w:styleId="Index8">
    <w:name w:val="index 8"/>
    <w:basedOn w:val="Normal"/>
    <w:next w:val="Normal"/>
    <w:autoRedefine/>
    <w:uiPriority w:val="99"/>
    <w:semiHidden/>
    <w:unhideWhenUsed/>
    <w:pPr>
      <w:widowControl w:val="0"/>
      <w:suppressAutoHyphens/>
      <w:autoSpaceDE w:val="0"/>
      <w:spacing w:after="0" w:line="240" w:lineRule="auto"/>
      <w:ind w:left="1600" w:hanging="200"/>
    </w:pPr>
    <w:rPr>
      <w:rFonts w:ascii="Times New Roman" w:eastAsia="Times New Roman" w:hAnsi="Times New Roman"/>
      <w:sz w:val="20"/>
      <w:szCs w:val="20"/>
      <w:lang w:val="it-IT" w:eastAsia="ar-SA"/>
    </w:rPr>
  </w:style>
  <w:style w:type="paragraph" w:styleId="Index9">
    <w:name w:val="index 9"/>
    <w:basedOn w:val="Normal"/>
    <w:next w:val="Normal"/>
    <w:autoRedefine/>
    <w:uiPriority w:val="99"/>
    <w:semiHidden/>
    <w:unhideWhenUsed/>
    <w:pPr>
      <w:widowControl w:val="0"/>
      <w:suppressAutoHyphens/>
      <w:autoSpaceDE w:val="0"/>
      <w:spacing w:after="0" w:line="240" w:lineRule="auto"/>
      <w:ind w:left="1800" w:hanging="200"/>
    </w:pPr>
    <w:rPr>
      <w:rFonts w:ascii="Times New Roman" w:eastAsia="Times New Roman" w:hAnsi="Times New Roman"/>
      <w:sz w:val="20"/>
      <w:szCs w:val="20"/>
      <w:lang w:val="it-IT" w:eastAsia="ar-SA"/>
    </w:rPr>
  </w:style>
  <w:style w:type="paragraph" w:styleId="BodyTextFirstIndent">
    <w:name w:val="Body Text First Indent"/>
    <w:basedOn w:val="BodyText"/>
    <w:link w:val="BodyTextFirstIndentChar"/>
    <w:uiPriority w:val="99"/>
    <w:semiHidden/>
    <w:unhideWhenUsed/>
    <w:pPr>
      <w:ind w:firstLine="210"/>
    </w:pPr>
  </w:style>
  <w:style w:type="character" w:customStyle="1" w:styleId="BodyTextFirstIndentChar">
    <w:name w:val="Body Text First Indent Char"/>
    <w:basedOn w:val="BodyTextChar"/>
    <w:link w:val="BodyTextFirstIndent"/>
    <w:uiPriority w:val="99"/>
    <w:semiHidden/>
    <w:rPr>
      <w:rFonts w:ascii="Times New Roman" w:eastAsia="Times New Roman" w:hAnsi="Times New Roman" w:cs="Times New Roman"/>
      <w:sz w:val="20"/>
      <w:szCs w:val="20"/>
      <w:lang w:val="it-IT" w:eastAsia="ar-SA"/>
    </w:rPr>
  </w:style>
  <w:style w:type="paragraph" w:styleId="BodyTextIndent">
    <w:name w:val="Body Text Indent"/>
    <w:basedOn w:val="Normal"/>
    <w:link w:val="BodyTextIndentChar"/>
    <w:uiPriority w:val="99"/>
    <w:semiHidden/>
    <w:unhideWhenUsed/>
    <w:pPr>
      <w:widowControl w:val="0"/>
      <w:suppressAutoHyphens/>
      <w:autoSpaceDE w:val="0"/>
      <w:spacing w:after="120" w:line="240" w:lineRule="auto"/>
      <w:ind w:left="283"/>
    </w:pPr>
    <w:rPr>
      <w:rFonts w:ascii="Times New Roman" w:eastAsia="Times New Roman" w:hAnsi="Times New Roman"/>
      <w:sz w:val="20"/>
      <w:szCs w:val="20"/>
      <w:lang w:val="it-IT" w:eastAsia="ar-SA"/>
    </w:rPr>
  </w:style>
  <w:style w:type="character" w:customStyle="1" w:styleId="BodyTextIndentChar">
    <w:name w:val="Body Text Indent Char"/>
    <w:link w:val="BodyTextIndent"/>
    <w:uiPriority w:val="99"/>
    <w:semiHidden/>
    <w:rPr>
      <w:rFonts w:ascii="Times New Roman" w:eastAsia="Times New Roman" w:hAnsi="Times New Roman" w:cs="Times New Roman"/>
      <w:sz w:val="20"/>
      <w:szCs w:val="20"/>
      <w:lang w:val="it-IT" w:eastAsia="ar-SA"/>
    </w:rPr>
  </w:style>
  <w:style w:type="paragraph" w:styleId="BodyTextFirstIndent2">
    <w:name w:val="Body Text First Indent 2"/>
    <w:basedOn w:val="BodyTextIndent"/>
    <w:link w:val="BodyTextFirstIndent2Char"/>
    <w:uiPriority w:val="99"/>
    <w:semiHidden/>
    <w:unhideWhenUsed/>
    <w:pPr>
      <w:ind w:firstLine="210"/>
    </w:pPr>
  </w:style>
  <w:style w:type="character" w:customStyle="1" w:styleId="BodyTextFirstIndent2Char">
    <w:name w:val="Body Text First Indent 2 Char"/>
    <w:basedOn w:val="BodyTextIndentChar"/>
    <w:link w:val="BodyTextFirstIndent2"/>
    <w:uiPriority w:val="99"/>
    <w:semiHidden/>
    <w:rPr>
      <w:rFonts w:ascii="Times New Roman" w:eastAsia="Times New Roman" w:hAnsi="Times New Roman" w:cs="Times New Roman"/>
      <w:sz w:val="20"/>
      <w:szCs w:val="20"/>
      <w:lang w:val="it-IT" w:eastAsia="ar-SA"/>
    </w:rPr>
  </w:style>
  <w:style w:type="paragraph" w:styleId="BodyTextIndent2">
    <w:name w:val="Body Text Indent 2"/>
    <w:basedOn w:val="Normal"/>
    <w:link w:val="BodyTextIndent2Char"/>
    <w:uiPriority w:val="99"/>
    <w:semiHidden/>
    <w:unhideWhenUsed/>
    <w:pPr>
      <w:widowControl w:val="0"/>
      <w:suppressAutoHyphens/>
      <w:autoSpaceDE w:val="0"/>
      <w:spacing w:after="120" w:line="480" w:lineRule="auto"/>
      <w:ind w:left="283"/>
    </w:pPr>
    <w:rPr>
      <w:rFonts w:ascii="Times New Roman" w:eastAsia="Times New Roman" w:hAnsi="Times New Roman"/>
      <w:sz w:val="20"/>
      <w:szCs w:val="20"/>
      <w:lang w:val="it-IT" w:eastAsia="ar-SA"/>
    </w:rPr>
  </w:style>
  <w:style w:type="character" w:customStyle="1" w:styleId="BodyTextIndent2Char">
    <w:name w:val="Body Text Indent 2 Char"/>
    <w:link w:val="BodyTextIndent2"/>
    <w:uiPriority w:val="99"/>
    <w:semiHidden/>
    <w:rPr>
      <w:rFonts w:ascii="Times New Roman" w:eastAsia="Times New Roman" w:hAnsi="Times New Roman" w:cs="Times New Roman"/>
      <w:sz w:val="20"/>
      <w:szCs w:val="20"/>
      <w:lang w:val="it-IT" w:eastAsia="ar-SA"/>
    </w:rPr>
  </w:style>
  <w:style w:type="paragraph" w:styleId="BodyTextIndent3">
    <w:name w:val="Body Text Indent 3"/>
    <w:basedOn w:val="Normal"/>
    <w:link w:val="BodyTextIndent3Char"/>
    <w:uiPriority w:val="99"/>
    <w:semiHidden/>
    <w:unhideWhenUsed/>
    <w:pPr>
      <w:widowControl w:val="0"/>
      <w:suppressAutoHyphens/>
      <w:autoSpaceDE w:val="0"/>
      <w:spacing w:after="120" w:line="240" w:lineRule="auto"/>
      <w:ind w:left="283"/>
    </w:pPr>
    <w:rPr>
      <w:rFonts w:ascii="Times New Roman" w:eastAsia="Times New Roman" w:hAnsi="Times New Roman"/>
      <w:sz w:val="16"/>
      <w:szCs w:val="16"/>
      <w:lang w:val="it-IT" w:eastAsia="ar-SA"/>
    </w:rPr>
  </w:style>
  <w:style w:type="character" w:customStyle="1" w:styleId="BodyTextIndent3Char">
    <w:name w:val="Body Text Indent 3 Char"/>
    <w:link w:val="BodyTextIndent3"/>
    <w:uiPriority w:val="99"/>
    <w:semiHidden/>
    <w:rPr>
      <w:rFonts w:ascii="Times New Roman" w:eastAsia="Times New Roman" w:hAnsi="Times New Roman" w:cs="Times New Roman"/>
      <w:sz w:val="16"/>
      <w:szCs w:val="16"/>
      <w:lang w:val="it-IT" w:eastAsia="ar-SA"/>
    </w:rPr>
  </w:style>
  <w:style w:type="paragraph" w:styleId="BodyText2">
    <w:name w:val="Body Text 2"/>
    <w:basedOn w:val="Normal"/>
    <w:link w:val="BodyText2Char"/>
    <w:uiPriority w:val="99"/>
    <w:semiHidden/>
    <w:unhideWhenUsed/>
    <w:pPr>
      <w:widowControl w:val="0"/>
      <w:suppressAutoHyphens/>
      <w:autoSpaceDE w:val="0"/>
      <w:spacing w:after="120" w:line="480" w:lineRule="auto"/>
    </w:pPr>
    <w:rPr>
      <w:rFonts w:ascii="Times New Roman" w:eastAsia="Times New Roman" w:hAnsi="Times New Roman"/>
      <w:sz w:val="20"/>
      <w:szCs w:val="20"/>
      <w:lang w:val="it-IT" w:eastAsia="ar-SA"/>
    </w:rPr>
  </w:style>
  <w:style w:type="character" w:customStyle="1" w:styleId="BodyText2Char">
    <w:name w:val="Body Text 2 Char"/>
    <w:link w:val="BodyText2"/>
    <w:uiPriority w:val="99"/>
    <w:semiHidden/>
    <w:rPr>
      <w:rFonts w:ascii="Times New Roman" w:eastAsia="Times New Roman" w:hAnsi="Times New Roman" w:cs="Times New Roman"/>
      <w:sz w:val="20"/>
      <w:szCs w:val="20"/>
      <w:lang w:val="it-IT" w:eastAsia="ar-SA"/>
    </w:rPr>
  </w:style>
  <w:style w:type="paragraph" w:styleId="BodyText3">
    <w:name w:val="Body Text 3"/>
    <w:basedOn w:val="Normal"/>
    <w:link w:val="BodyText3Char"/>
    <w:uiPriority w:val="99"/>
    <w:semiHidden/>
    <w:unhideWhenUsed/>
    <w:pPr>
      <w:widowControl w:val="0"/>
      <w:suppressAutoHyphens/>
      <w:autoSpaceDE w:val="0"/>
      <w:spacing w:after="120" w:line="240" w:lineRule="auto"/>
    </w:pPr>
    <w:rPr>
      <w:rFonts w:ascii="Times New Roman" w:eastAsia="Times New Roman" w:hAnsi="Times New Roman"/>
      <w:sz w:val="16"/>
      <w:szCs w:val="16"/>
      <w:lang w:val="it-IT" w:eastAsia="ar-SA"/>
    </w:rPr>
  </w:style>
  <w:style w:type="character" w:customStyle="1" w:styleId="BodyText3Char">
    <w:name w:val="Body Text 3 Char"/>
    <w:link w:val="BodyText3"/>
    <w:uiPriority w:val="99"/>
    <w:semiHidden/>
    <w:rPr>
      <w:rFonts w:ascii="Times New Roman" w:eastAsia="Times New Roman" w:hAnsi="Times New Roman" w:cs="Times New Roman"/>
      <w:sz w:val="16"/>
      <w:szCs w:val="16"/>
      <w:lang w:val="it-IT" w:eastAsia="ar-SA"/>
    </w:rPr>
  </w:style>
  <w:style w:type="paragraph" w:styleId="Salutation">
    <w:name w:val="Salutation"/>
    <w:basedOn w:val="Normal"/>
    <w:next w:val="Normal"/>
    <w:link w:val="SalutationChar"/>
    <w:uiPriority w:val="99"/>
    <w:semiHidden/>
    <w:unhideWhenUsed/>
    <w:pPr>
      <w:widowControl w:val="0"/>
      <w:suppressAutoHyphens/>
      <w:autoSpaceDE w:val="0"/>
      <w:spacing w:after="0" w:line="240" w:lineRule="auto"/>
    </w:pPr>
    <w:rPr>
      <w:rFonts w:ascii="Times New Roman" w:eastAsia="Times New Roman" w:hAnsi="Times New Roman"/>
      <w:sz w:val="20"/>
      <w:szCs w:val="20"/>
      <w:lang w:val="it-IT" w:eastAsia="ar-SA"/>
    </w:rPr>
  </w:style>
  <w:style w:type="character" w:customStyle="1" w:styleId="SalutationChar">
    <w:name w:val="Salutation Char"/>
    <w:link w:val="Salutation"/>
    <w:uiPriority w:val="99"/>
    <w:semiHidden/>
    <w:rPr>
      <w:rFonts w:ascii="Times New Roman" w:eastAsia="Times New Roman" w:hAnsi="Times New Roman" w:cs="Times New Roman"/>
      <w:sz w:val="20"/>
      <w:szCs w:val="20"/>
      <w:lang w:val="it-IT" w:eastAsia="ar-SA"/>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link w:val="CommentSubject"/>
    <w:uiPriority w:val="99"/>
    <w:semiHidden/>
    <w:rPr>
      <w:rFonts w:ascii="Times New Roman" w:eastAsia="Times New Roman" w:hAnsi="Times New Roman" w:cs="Times New Roman"/>
      <w:b/>
      <w:bCs/>
      <w:sz w:val="20"/>
      <w:szCs w:val="20"/>
      <w:lang w:val="it-IT" w:eastAsia="ar-SA"/>
    </w:rPr>
  </w:style>
  <w:style w:type="paragraph" w:styleId="Closing">
    <w:name w:val="Closing"/>
    <w:basedOn w:val="Normal"/>
    <w:link w:val="ClosingChar"/>
    <w:uiPriority w:val="99"/>
    <w:semiHidden/>
    <w:unhideWhenUsed/>
    <w:pPr>
      <w:widowControl w:val="0"/>
      <w:suppressAutoHyphens/>
      <w:autoSpaceDE w:val="0"/>
      <w:spacing w:after="0" w:line="240" w:lineRule="auto"/>
      <w:ind w:left="4252"/>
    </w:pPr>
    <w:rPr>
      <w:rFonts w:ascii="Times New Roman" w:eastAsia="Times New Roman" w:hAnsi="Times New Roman"/>
      <w:sz w:val="20"/>
      <w:szCs w:val="20"/>
      <w:lang w:val="it-IT" w:eastAsia="ar-SA"/>
    </w:rPr>
  </w:style>
  <w:style w:type="character" w:customStyle="1" w:styleId="ClosingChar">
    <w:name w:val="Closing Char"/>
    <w:link w:val="Closing"/>
    <w:uiPriority w:val="99"/>
    <w:semiHidden/>
    <w:rPr>
      <w:rFonts w:ascii="Times New Roman" w:eastAsia="Times New Roman" w:hAnsi="Times New Roman" w:cs="Times New Roman"/>
      <w:sz w:val="20"/>
      <w:szCs w:val="20"/>
      <w:lang w:val="it-IT" w:eastAsia="ar-SA"/>
    </w:rPr>
  </w:style>
  <w:style w:type="paragraph" w:styleId="DocumentMap">
    <w:name w:val="Document Map"/>
    <w:basedOn w:val="Normal"/>
    <w:link w:val="DocumentMapChar"/>
    <w:uiPriority w:val="99"/>
    <w:semiHidden/>
    <w:unhideWhenUsed/>
    <w:pPr>
      <w:widowControl w:val="0"/>
      <w:suppressAutoHyphens/>
      <w:autoSpaceDE w:val="0"/>
      <w:spacing w:after="0" w:line="240" w:lineRule="auto"/>
    </w:pPr>
    <w:rPr>
      <w:rFonts w:ascii="Tahoma" w:eastAsia="Times New Roman" w:hAnsi="Tahoma"/>
      <w:sz w:val="16"/>
      <w:szCs w:val="16"/>
      <w:lang w:val="it-IT" w:eastAsia="ar-SA"/>
    </w:rPr>
  </w:style>
  <w:style w:type="character" w:customStyle="1" w:styleId="DocumentMapChar">
    <w:name w:val="Document Map Char"/>
    <w:link w:val="DocumentMap"/>
    <w:uiPriority w:val="99"/>
    <w:semiHidden/>
    <w:rPr>
      <w:rFonts w:ascii="Tahoma" w:eastAsia="Times New Roman" w:hAnsi="Tahoma" w:cs="Times New Roman"/>
      <w:sz w:val="16"/>
      <w:szCs w:val="16"/>
      <w:lang w:val="it-IT" w:eastAsia="ar-SA"/>
    </w:rPr>
  </w:style>
  <w:style w:type="paragraph" w:customStyle="1" w:styleId="BodyText21">
    <w:name w:val="Body Text 21"/>
    <w:basedOn w:val="Normal"/>
    <w:pPr>
      <w:widowControl w:val="0"/>
      <w:tabs>
        <w:tab w:val="left" w:pos="567"/>
      </w:tabs>
      <w:spacing w:after="0" w:line="240" w:lineRule="auto"/>
    </w:pPr>
    <w:rPr>
      <w:rFonts w:ascii="Times New Roman" w:eastAsia="Times New Roman" w:hAnsi="Times New Roman"/>
      <w:szCs w:val="20"/>
      <w:lang w:val="it-IT"/>
    </w:rPr>
  </w:style>
  <w:style w:type="paragraph" w:customStyle="1" w:styleId="EMEA2">
    <w:name w:val="EMEA 2"/>
    <w:basedOn w:val="Normal"/>
    <w:pPr>
      <w:numPr>
        <w:numId w:val="25"/>
      </w:numPr>
      <w:tabs>
        <w:tab w:val="clear" w:pos="720"/>
        <w:tab w:val="left" w:pos="540"/>
      </w:tabs>
      <w:autoSpaceDE w:val="0"/>
      <w:autoSpaceDN w:val="0"/>
      <w:adjustRightInd w:val="0"/>
      <w:spacing w:after="0" w:line="240" w:lineRule="auto"/>
      <w:ind w:left="540" w:hanging="540"/>
    </w:pPr>
    <w:rPr>
      <w:rFonts w:ascii="Times New Roman" w:eastAsia="Times New Roman" w:hAnsi="Times New Roman"/>
      <w:b/>
      <w:bCs/>
      <w:color w:val="000000"/>
      <w:szCs w:val="20"/>
      <w:lang w:val="it-IT"/>
    </w:rPr>
  </w:style>
  <w:style w:type="character" w:styleId="CommentReference">
    <w:name w:val="annotation reference"/>
    <w:uiPriority w:val="99"/>
    <w:semiHidden/>
    <w:unhideWhenUsed/>
    <w:rPr>
      <w:sz w:val="16"/>
      <w:szCs w:val="16"/>
    </w:rPr>
  </w:style>
  <w:style w:type="paragraph" w:customStyle="1" w:styleId="TitleA">
    <w:name w:val="Title A"/>
    <w:basedOn w:val="Normal"/>
    <w:qFormat/>
    <w:pPr>
      <w:widowControl w:val="0"/>
      <w:shd w:val="clear" w:color="auto" w:fill="FFFFFF"/>
      <w:suppressAutoHyphens/>
      <w:autoSpaceDE w:val="0"/>
      <w:spacing w:after="0" w:line="240" w:lineRule="auto"/>
      <w:jc w:val="center"/>
    </w:pPr>
    <w:rPr>
      <w:rFonts w:ascii="Times New Roman" w:eastAsia="Times New Roman" w:hAnsi="Times New Roman"/>
      <w:b/>
      <w:bCs/>
      <w:color w:val="000000"/>
      <w:spacing w:val="-2"/>
      <w:lang w:val="it-IT" w:eastAsia="ar-SA"/>
    </w:rPr>
  </w:style>
  <w:style w:type="paragraph" w:customStyle="1" w:styleId="TitleB">
    <w:name w:val="Title B"/>
    <w:basedOn w:val="Normal"/>
    <w:qFormat/>
    <w:pPr>
      <w:widowControl w:val="0"/>
      <w:suppressAutoHyphens/>
      <w:autoSpaceDE w:val="0"/>
      <w:spacing w:after="0" w:line="240" w:lineRule="auto"/>
      <w:ind w:left="567" w:hanging="567"/>
    </w:pPr>
    <w:rPr>
      <w:rFonts w:ascii="Times New Roman" w:eastAsia="Times New Roman" w:hAnsi="Times New Roman"/>
      <w:b/>
      <w:lang w:val="it-IT" w:eastAsia="ar-SA"/>
    </w:rPr>
  </w:style>
  <w:style w:type="character" w:styleId="FootnoteReference">
    <w:name w:val="footnote reference"/>
    <w:unhideWhenUsed/>
    <w:rPr>
      <w:vertAlign w:val="superscript"/>
    </w:rPr>
  </w:style>
  <w:style w:type="character" w:customStyle="1" w:styleId="UnresolvedMention">
    <w:name w:val="Unresolved Mention"/>
    <w:basedOn w:val="DefaultParagraphFont"/>
    <w:uiPriority w:val="99"/>
    <w:semiHidden/>
    <w:unhideWhenUsed/>
    <w:rPr>
      <w:color w:val="605E5C"/>
      <w:shd w:val="clear" w:color="auto" w:fill="E1DFDD"/>
    </w:rPr>
  </w:style>
  <w:style w:type="character" w:styleId="FollowedHyperlink">
    <w:name w:val="FollowedHyperlink"/>
    <w:basedOn w:val="DefaultParagraphFont"/>
    <w:uiPriority w:val="99"/>
    <w:semiHidden/>
    <w:unhideWhenUse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064984">
      <w:bodyDiv w:val="1"/>
      <w:marLeft w:val="0"/>
      <w:marRight w:val="0"/>
      <w:marTop w:val="0"/>
      <w:marBottom w:val="0"/>
      <w:divBdr>
        <w:top w:val="none" w:sz="0" w:space="0" w:color="auto"/>
        <w:left w:val="none" w:sz="0" w:space="0" w:color="auto"/>
        <w:bottom w:val="none" w:sz="0" w:space="0" w:color="auto"/>
        <w:right w:val="none" w:sz="0" w:space="0" w:color="auto"/>
      </w:divBdr>
    </w:div>
    <w:div w:id="672993163">
      <w:bodyDiv w:val="1"/>
      <w:marLeft w:val="0"/>
      <w:marRight w:val="0"/>
      <w:marTop w:val="0"/>
      <w:marBottom w:val="0"/>
      <w:divBdr>
        <w:top w:val="none" w:sz="0" w:space="0" w:color="auto"/>
        <w:left w:val="none" w:sz="0" w:space="0" w:color="auto"/>
        <w:bottom w:val="none" w:sz="0" w:space="0" w:color="auto"/>
        <w:right w:val="none" w:sz="0" w:space="0" w:color="auto"/>
      </w:divBdr>
    </w:div>
    <w:div w:id="751968205">
      <w:bodyDiv w:val="1"/>
      <w:marLeft w:val="0"/>
      <w:marRight w:val="0"/>
      <w:marTop w:val="0"/>
      <w:marBottom w:val="0"/>
      <w:divBdr>
        <w:top w:val="none" w:sz="0" w:space="0" w:color="auto"/>
        <w:left w:val="none" w:sz="0" w:space="0" w:color="auto"/>
        <w:bottom w:val="none" w:sz="0" w:space="0" w:color="auto"/>
        <w:right w:val="none" w:sz="0" w:space="0" w:color="auto"/>
      </w:divBdr>
    </w:div>
    <w:div w:id="1194853563">
      <w:bodyDiv w:val="1"/>
      <w:marLeft w:val="0"/>
      <w:marRight w:val="0"/>
      <w:marTop w:val="0"/>
      <w:marBottom w:val="0"/>
      <w:divBdr>
        <w:top w:val="none" w:sz="0" w:space="0" w:color="auto"/>
        <w:left w:val="none" w:sz="0" w:space="0" w:color="auto"/>
        <w:bottom w:val="none" w:sz="0" w:space="0" w:color="auto"/>
        <w:right w:val="none" w:sz="0" w:space="0" w:color="auto"/>
      </w:divBdr>
    </w:div>
    <w:div w:id="1365520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docs/en_GB/document_library/Template_or_form/2013/03/WC500139752.doc" TargetMode="External"/><Relationship Id="rId13" Type="http://schemas.openxmlformats.org/officeDocument/2006/relationships/footer" Target="footer1.xml"/><Relationship Id="rId18" Type="http://schemas.microsoft.com/office/2011/relationships/people" Target="people.xml"/><Relationship Id="rId3" Type="http://schemas.openxmlformats.org/officeDocument/2006/relationships/settings" Target="settings.xml"/><Relationship Id="rId21" Type="http://schemas.openxmlformats.org/officeDocument/2006/relationships/customXml" Target="../customXml/item2.xml"/><Relationship Id="rId7" Type="http://schemas.openxmlformats.org/officeDocument/2006/relationships/hyperlink" Target="https://www.ema.europa.eu/en/medicines/human/EPAR/clopidogrel-krka"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20"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23" Type="http://schemas.openxmlformats.org/officeDocument/2006/relationships/customXml" Target="../customXml/item4.xml"/><Relationship Id="rId10" Type="http://schemas.openxmlformats.org/officeDocument/2006/relationships/hyperlink" Target="http://www.ema.europa.eu/docs/en_GB/document_library/Template_or_form/2013/03/WC500139752.doc"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ema.europa.eu" TargetMode="External"/><Relationship Id="rId14" Type="http://schemas.openxmlformats.org/officeDocument/2006/relationships/footer" Target="footer2.xml"/><Relationship Id="rId22"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29" ma:contentTypeDescription="Create a new document." ma:contentTypeScope="" ma:versionID="66138b7f7a4f89e9702fed06ed113279">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57dd3812f3c64a76921e838272f8c1d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vqsn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EMADOC-1700519818-2135346</_dlc_DocId>
    <_dlc_DocIdUrl xmlns="a034c160-bfb7-45f5-8632-2eb7e0508071">
      <Url>https://euema.sharepoint.com/sites/CRM/_layouts/15/DocIdRedir.aspx?ID=EMADOC-1700519818-2135346</Url>
      <Description>EMADOC-1700519818-2135346</Description>
    </_dlc_DocIdUrl>
  </documentManagement>
</p:properties>
</file>

<file path=customXml/itemProps1.xml><?xml version="1.0" encoding="utf-8"?>
<ds:datastoreItem xmlns:ds="http://schemas.openxmlformats.org/officeDocument/2006/customXml" ds:itemID="{E24888C4-1973-440A-9368-607D4BA7A145}"/>
</file>

<file path=customXml/itemProps2.xml><?xml version="1.0" encoding="utf-8"?>
<ds:datastoreItem xmlns:ds="http://schemas.openxmlformats.org/officeDocument/2006/customXml" ds:itemID="{8AE719E2-4957-4579-998B-45D1ABF472CA}"/>
</file>

<file path=customXml/itemProps3.xml><?xml version="1.0" encoding="utf-8"?>
<ds:datastoreItem xmlns:ds="http://schemas.openxmlformats.org/officeDocument/2006/customXml" ds:itemID="{78E52ECC-E578-4DF0-BB99-2671943E85D5}"/>
</file>

<file path=customXml/itemProps4.xml><?xml version="1.0" encoding="utf-8"?>
<ds:datastoreItem xmlns:ds="http://schemas.openxmlformats.org/officeDocument/2006/customXml" ds:itemID="{504F557F-B84B-48D6-9A86-6F8B4E298A23}"/>
</file>

<file path=docProps/app.xml><?xml version="1.0" encoding="utf-8"?>
<Properties xmlns="http://schemas.openxmlformats.org/officeDocument/2006/extended-properties" xmlns:vt="http://schemas.openxmlformats.org/officeDocument/2006/docPropsVTypes">
  <Template>Normal.dotm</Template>
  <TotalTime>33</TotalTime>
  <Pages>2</Pages>
  <Words>15661</Words>
  <Characters>90865</Characters>
  <Application>Microsoft Office Word</Application>
  <DocSecurity>0</DocSecurity>
  <Lines>2224</Lines>
  <Paragraphs>740</Paragraphs>
  <ScaleCrop>false</ScaleCrop>
  <HeadingPairs>
    <vt:vector size="6" baseType="variant">
      <vt:variant>
        <vt:lpstr>Naslov</vt:lpstr>
      </vt:variant>
      <vt:variant>
        <vt:i4>1</vt:i4>
      </vt:variant>
      <vt:variant>
        <vt:lpstr>Titolo</vt:lpstr>
      </vt:variant>
      <vt:variant>
        <vt:i4>1</vt:i4>
      </vt:variant>
      <vt:variant>
        <vt:lpstr>Title</vt:lpstr>
      </vt:variant>
      <vt:variant>
        <vt:i4>1</vt:i4>
      </vt:variant>
    </vt:vector>
  </HeadingPairs>
  <TitlesOfParts>
    <vt:vector size="3" baseType="lpstr">
      <vt:lpstr>Clopidogrel Krka, INN-clopidogrel</vt:lpstr>
      <vt:lpstr>Clopidogrel Krka, INN-clopidogrel</vt:lpstr>
      <vt:lpstr>Clopidogrel Krka, INN-clopidogrel</vt:lpstr>
    </vt:vector>
  </TitlesOfParts>
  <Company>Krka, d.d.</Company>
  <LinksUpToDate>false</LinksUpToDate>
  <CharactersWithSpaces>105922</CharactersWithSpaces>
  <SharedDoc>false</SharedDoc>
  <HLinks>
    <vt:vector size="18" baseType="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Clopidogrel Krka: EPAR - Product information - tracked changes</dc:title>
  <dc:subject>EPAR</dc:subject>
  <dc:creator>CHMP</dc:creator>
  <cp:keywords>Clopidogrel Krka, INN-clopidogrel</cp:keywords>
  <dc:description/>
  <cp:lastModifiedBy>dmadmin</cp:lastModifiedBy>
  <cp:revision>17</cp:revision>
  <dcterms:created xsi:type="dcterms:W3CDTF">2023-10-14T09:00:00Z</dcterms:created>
  <dcterms:modified xsi:type="dcterms:W3CDTF">2025-05-07T06:57:00Z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0d50beed-1961-4e85-bff7-acf448ecab35</vt:lpwstr>
  </property>
</Properties>
</file>