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szCs w:val="24"/>
        </w:rPr>
      </w:pPr>
      <w:bookmarkStart w:id="0" w:name="_GoBack"/>
      <w:bookmarkEnd w:id="0"/>
      <w:r>
        <w:rPr>
          <w:rFonts w:ascii="Times New Roman" w:hAnsi="Times New Roman"/>
          <w:szCs w:val="24"/>
        </w:rPr>
        <w:t xml:space="preserve">Il presente documento riporta le informazioni sul prodotto approvate relative a </w:t>
      </w:r>
      <w:r>
        <w:rPr>
          <w:rFonts w:ascii="Times New Roman" w:hAnsi="Times New Roman"/>
          <w:noProof/>
          <w:lang w:val="en-US"/>
        </w:rPr>
        <w:t>Clopidogrel TAD</w:t>
      </w:r>
      <w:r>
        <w:rPr>
          <w:rFonts w:ascii="Times New Roman" w:hAnsi="Times New Roman"/>
          <w:szCs w:val="24"/>
        </w:rPr>
        <w:t xml:space="preserve"> con evidenziate le modifiche che vi sono state apportate rispetto alla procedura precedente </w:t>
      </w:r>
    </w:p>
    <w:p>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szCs w:val="24"/>
          <w:lang w:val="bg-BG"/>
        </w:rPr>
      </w:pPr>
      <w:r>
        <w:rPr>
          <w:rFonts w:ascii="Times New Roman" w:hAnsi="Times New Roman"/>
          <w:szCs w:val="24"/>
        </w:rPr>
        <w:t>(</w:t>
      </w:r>
      <w:r>
        <w:rPr>
          <w:rFonts w:ascii="Times New Roman" w:hAnsi="Times New Roman"/>
          <w:lang w:val="en-US"/>
        </w:rPr>
        <w:t>EMEA/H/C/001136/IB/0039/G</w:t>
      </w:r>
      <w:r>
        <w:rPr>
          <w:rFonts w:ascii="Times New Roman" w:hAnsi="Times New Roman"/>
          <w:szCs w:val="24"/>
        </w:rPr>
        <w:t>).</w:t>
      </w:r>
    </w:p>
    <w:p>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szCs w:val="24"/>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en-US"/>
        </w:rPr>
      </w:pPr>
      <w:r>
        <w:rPr>
          <w:rFonts w:ascii="Times New Roman" w:hAnsi="Times New Roman"/>
          <w:bCs/>
          <w:szCs w:val="24"/>
        </w:rPr>
        <w:t xml:space="preserve">Per maggiori informazioni, consultare il sito web dell’Agenzia europea per i medicinali: </w:t>
      </w:r>
      <w:hyperlink r:id="rId7" w:history="1">
        <w:r>
          <w:rPr>
            <w:rStyle w:val="Hyperlink"/>
            <w:rFonts w:ascii="Times New Roman" w:hAnsi="Times New Roman"/>
            <w:noProof/>
            <w:lang w:val="en-US"/>
          </w:rPr>
          <w:t>https://www.ema.europa.eu/en/medicines/human/EPAR/clopidogrel-tad</w:t>
        </w:r>
      </w:hyperlink>
      <w:r>
        <w:rPr>
          <w:rFonts w:ascii="Times New Roman" w:hAnsi="Times New Roman"/>
          <w:b/>
          <w:noProof/>
          <w:lang w:val="en-US"/>
        </w:rPr>
        <w:t xml:space="preserve"> </w:t>
      </w: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Cs/>
          <w:color w:val="000000"/>
          <w:spacing w:val="-1"/>
          <w:lang w:eastAsia="ar-SA"/>
        </w:rPr>
      </w:pPr>
    </w:p>
    <w:p>
      <w:pPr>
        <w:widowControl w:val="0"/>
        <w:shd w:val="clear" w:color="auto" w:fill="FFFFFF"/>
        <w:suppressAutoHyphens/>
        <w:autoSpaceDE w:val="0"/>
        <w:spacing w:after="0" w:line="240" w:lineRule="auto"/>
        <w:jc w:val="center"/>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ALLEGATO I</w:t>
      </w:r>
    </w:p>
    <w:p>
      <w:pPr>
        <w:widowControl w:val="0"/>
        <w:shd w:val="clear" w:color="auto" w:fill="FFFFFF"/>
        <w:suppressAutoHyphens/>
        <w:autoSpaceDE w:val="0"/>
        <w:spacing w:after="0" w:line="240" w:lineRule="auto"/>
        <w:jc w:val="center"/>
        <w:rPr>
          <w:rFonts w:ascii="Times New Roman" w:eastAsia="Times New Roman" w:hAnsi="Times New Roman"/>
          <w:b/>
          <w:bCs/>
          <w:color w:val="000000"/>
          <w:spacing w:val="-1"/>
          <w:lang w:eastAsia="ar-SA"/>
        </w:rPr>
      </w:pPr>
    </w:p>
    <w:p>
      <w:pPr>
        <w:pStyle w:val="TitleA"/>
      </w:pPr>
      <w:r>
        <w:t>RIASSUNTO DELLE CARATTERISTICHE DEL PRODOTTO</w:t>
      </w:r>
    </w:p>
    <w:p>
      <w:pPr>
        <w:widowControl w:val="0"/>
        <w:shd w:val="clear" w:color="auto" w:fill="FFFFFF"/>
        <w:suppressAutoHyphens/>
        <w:autoSpaceDE w:val="0"/>
        <w:spacing w:after="0" w:line="240" w:lineRule="auto"/>
        <w:rPr>
          <w:rFonts w:ascii="Times New Roman" w:eastAsia="Times New Roman" w:hAnsi="Times New Roman"/>
          <w:b/>
          <w:bCs/>
          <w:color w:val="000000"/>
          <w:spacing w:val="-2"/>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b/>
          <w:bCs/>
          <w:color w:val="000000"/>
          <w:spacing w:val="-2"/>
          <w:lang w:eastAsia="ar-SA"/>
        </w:rPr>
        <w:br w:type="page"/>
      </w:r>
      <w:r>
        <w:rPr>
          <w:rFonts w:ascii="Times New Roman" w:eastAsia="Times New Roman" w:hAnsi="Times New Roman"/>
          <w:b/>
          <w:lang w:eastAsia="ar-SA"/>
        </w:rPr>
        <w:lastRenderedPageBreak/>
        <w:t>1.</w:t>
      </w:r>
      <w:r>
        <w:rPr>
          <w:rFonts w:ascii="Times New Roman" w:eastAsia="Times New Roman" w:hAnsi="Times New Roman"/>
          <w:b/>
          <w:lang w:eastAsia="ar-SA"/>
        </w:rPr>
        <w:tab/>
        <w:t>DENOMINAZIONE DEL MEDICINALE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Clopidogrel TAD 75 mg compresse rivestite con film</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7"/>
          <w:lang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7"/>
          <w:lang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7"/>
          <w:lang w:eastAsia="ar-SA"/>
        </w:rPr>
        <w:t>2.</w:t>
      </w:r>
      <w:r>
        <w:rPr>
          <w:rFonts w:ascii="Times New Roman" w:eastAsia="Times New Roman" w:hAnsi="Times New Roman"/>
          <w:b/>
          <w:bCs/>
          <w:color w:val="000000"/>
          <w:lang w:eastAsia="ar-SA"/>
        </w:rPr>
        <w:tab/>
        <w:t>COMPOSIZIONE QUALITATIVA E QUANTITATIVA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Ogni compressa rivestita con film contiene 75 mg di clopidogrel (come cloridrato).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Per l'elenco completo degli eccipienti, vedere paragrafo 6.1.</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7"/>
          <w:lang w:eastAsia="ar-SA"/>
        </w:rPr>
        <w:t>3.</w:t>
      </w:r>
      <w:r>
        <w:rPr>
          <w:rFonts w:ascii="Times New Roman" w:eastAsia="Times New Roman" w:hAnsi="Times New Roman"/>
          <w:b/>
          <w:bCs/>
          <w:color w:val="000000"/>
          <w:lang w:eastAsia="ar-SA"/>
        </w:rPr>
        <w:tab/>
        <w:t>FORMA FARMACEUTICA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Compressa rivestita con film.</w:t>
      </w:r>
    </w:p>
    <w:p>
      <w:pPr>
        <w:widowControl w:val="0"/>
        <w:shd w:val="clear" w:color="auto" w:fill="FFFFFF"/>
        <w:suppressAutoHyphens/>
        <w:autoSpaceDE w:val="0"/>
        <w:spacing w:after="0" w:line="240" w:lineRule="auto"/>
        <w:rPr>
          <w:rFonts w:ascii="Times New Roman" w:hAnsi="Times New Roman"/>
          <w:color w:val="000000"/>
          <w:spacing w:val="1"/>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Compresse rivestite con film rosa, rotonde e leggermente convesse.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8"/>
          <w:lang w:eastAsia="ar-SA"/>
        </w:rPr>
        <w:t>4.</w:t>
      </w:r>
      <w:r>
        <w:rPr>
          <w:rFonts w:ascii="Times New Roman" w:eastAsia="Times New Roman" w:hAnsi="Times New Roman"/>
          <w:b/>
          <w:bCs/>
          <w:color w:val="000000"/>
          <w:lang w:eastAsia="ar-SA"/>
        </w:rPr>
        <w:tab/>
      </w:r>
      <w:r>
        <w:rPr>
          <w:rFonts w:ascii="Times New Roman" w:eastAsia="Times New Roman" w:hAnsi="Times New Roman"/>
          <w:b/>
          <w:bCs/>
          <w:color w:val="000000"/>
          <w:spacing w:val="-1"/>
          <w:lang w:eastAsia="ar-SA"/>
        </w:rPr>
        <w:t>INFORMAZIONI CLINICHE</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8"/>
          <w:lang w:eastAsia="ar-SA"/>
        </w:rPr>
        <w:t>4.1</w:t>
      </w:r>
      <w:r>
        <w:rPr>
          <w:rFonts w:ascii="Times New Roman" w:eastAsia="Times New Roman" w:hAnsi="Times New Roman"/>
          <w:b/>
          <w:bCs/>
          <w:color w:val="000000"/>
          <w:lang w:eastAsia="ar-SA"/>
        </w:rPr>
        <w:tab/>
        <w:t>Indicazioni terapeutiche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i/>
          <w:color w:val="000000"/>
          <w:lang w:eastAsia="ar-SA"/>
        </w:rPr>
      </w:pPr>
      <w:r>
        <w:rPr>
          <w:rFonts w:ascii="Times New Roman" w:eastAsia="Times New Roman" w:hAnsi="Times New Roman"/>
          <w:i/>
          <w:color w:val="000000"/>
          <w:lang w:eastAsia="ar-SA"/>
        </w:rPr>
        <w:t>Prevenzione secondaria di eventi di origine aterotrombotica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Clopidogrel è indicato nei: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numPr>
          <w:ilvl w:val="0"/>
          <w:numId w:val="9"/>
        </w:numPr>
        <w:shd w:val="clear" w:color="auto" w:fill="FFFFFF"/>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Pazienti adulti affetti da infarto miocardico (da pochi giorni fino a meno di 35), ictus ischemico (da 7 </w:t>
      </w:r>
      <w:r>
        <w:rPr>
          <w:rFonts w:ascii="Times New Roman" w:eastAsia="Times New Roman" w:hAnsi="Times New Roman"/>
          <w:color w:val="000000"/>
          <w:lang w:eastAsia="ar-SA"/>
        </w:rPr>
        <w:t>giorni fino a meno di 6 mesi) o arteriopatia obliterante periferica comprovata.</w:t>
      </w:r>
    </w:p>
    <w:p>
      <w:pPr>
        <w:widowControl w:val="0"/>
        <w:shd w:val="clear" w:color="auto" w:fill="FFFFFF"/>
        <w:suppressAutoHyphens/>
        <w:autoSpaceDE w:val="0"/>
        <w:spacing w:after="0" w:line="240" w:lineRule="auto"/>
        <w:ind w:left="567"/>
        <w:rPr>
          <w:rFonts w:ascii="Times New Roman" w:eastAsia="Times New Roman" w:hAnsi="Times New Roman"/>
          <w:color w:val="000000"/>
          <w:lang w:eastAsia="ar-SA"/>
        </w:rPr>
      </w:pPr>
    </w:p>
    <w:p>
      <w:pPr>
        <w:pStyle w:val="BodyText"/>
        <w:tabs>
          <w:tab w:val="left" w:pos="540"/>
        </w:tabs>
        <w:spacing w:after="0"/>
        <w:ind w:left="540" w:hanging="540"/>
        <w:rPr>
          <w:color w:val="000000"/>
          <w:spacing w:val="-1"/>
          <w:sz w:val="22"/>
          <w:szCs w:val="22"/>
        </w:rPr>
      </w:pPr>
      <w:r>
        <w:rPr>
          <w:color w:val="000000"/>
          <w:spacing w:val="-1"/>
          <w:sz w:val="22"/>
          <w:szCs w:val="22"/>
        </w:rPr>
        <w:tab/>
      </w:r>
    </w:p>
    <w:p>
      <w:pPr>
        <w:pStyle w:val="BodyText"/>
        <w:tabs>
          <w:tab w:val="left" w:pos="540"/>
        </w:tabs>
        <w:spacing w:after="0"/>
        <w:ind w:left="540" w:hanging="540"/>
        <w:rPr>
          <w:color w:val="000000"/>
          <w:spacing w:val="-1"/>
          <w:sz w:val="22"/>
          <w:szCs w:val="22"/>
        </w:rPr>
      </w:pPr>
    </w:p>
    <w:p>
      <w:pPr>
        <w:pStyle w:val="BodyText"/>
        <w:tabs>
          <w:tab w:val="left" w:pos="540"/>
        </w:tabs>
        <w:spacing w:after="0"/>
        <w:ind w:left="540" w:hanging="540"/>
        <w:rPr>
          <w:color w:val="000000"/>
          <w:spacing w:val="-1"/>
          <w:sz w:val="22"/>
          <w:szCs w:val="22"/>
        </w:rPr>
      </w:pPr>
      <w:r>
        <w:rPr>
          <w:color w:val="000000"/>
          <w:spacing w:val="-1"/>
          <w:sz w:val="22"/>
          <w:szCs w:val="22"/>
        </w:rPr>
        <w:sym w:font="Symbol" w:char="F0B7"/>
      </w:r>
      <w:r>
        <w:rPr>
          <w:color w:val="000000"/>
          <w:spacing w:val="-1"/>
          <w:sz w:val="22"/>
          <w:szCs w:val="22"/>
        </w:rPr>
        <w:tab/>
        <w:t>Pazienti adulti affetti da sindrome coronarica acuta:</w:t>
      </w:r>
    </w:p>
    <w:p>
      <w:pPr>
        <w:pStyle w:val="BodyText"/>
        <w:widowControl/>
        <w:numPr>
          <w:ilvl w:val="0"/>
          <w:numId w:val="28"/>
        </w:numPr>
        <w:tabs>
          <w:tab w:val="clear" w:pos="720"/>
          <w:tab w:val="num" w:pos="900"/>
        </w:tabs>
        <w:suppressAutoHyphens w:val="0"/>
        <w:autoSpaceDE/>
        <w:spacing w:after="0"/>
        <w:ind w:left="900"/>
        <w:rPr>
          <w:color w:val="000000"/>
          <w:spacing w:val="-1"/>
          <w:sz w:val="22"/>
          <w:szCs w:val="22"/>
        </w:rPr>
      </w:pPr>
      <w:r>
        <w:rPr>
          <w:color w:val="000000"/>
          <w:spacing w:val="-1"/>
          <w:sz w:val="22"/>
          <w:szCs w:val="22"/>
        </w:rPr>
        <w:t>sindrome coronarica acuta senza innalzamento del tratto ST (angina instabile o infarto miocardico senza onde Q), inclusi pazienti sottoposti a posizionamento di stent in seguito a intervento coronarico percutaneo, in associazione con acido acetilsalicilico (ASA).</w:t>
      </w:r>
    </w:p>
    <w:p>
      <w:pPr>
        <w:pStyle w:val="BodyText"/>
        <w:widowControl/>
        <w:numPr>
          <w:ilvl w:val="0"/>
          <w:numId w:val="28"/>
        </w:numPr>
        <w:tabs>
          <w:tab w:val="clear" w:pos="720"/>
          <w:tab w:val="num" w:pos="900"/>
        </w:tabs>
        <w:suppressAutoHyphens w:val="0"/>
        <w:autoSpaceDE/>
        <w:spacing w:after="0"/>
        <w:ind w:left="900"/>
        <w:rPr>
          <w:color w:val="000000"/>
          <w:spacing w:val="-1"/>
          <w:sz w:val="22"/>
          <w:szCs w:val="22"/>
        </w:rPr>
      </w:pPr>
      <w:r>
        <w:rPr>
          <w:color w:val="000000"/>
          <w:spacing w:val="-1"/>
          <w:sz w:val="22"/>
          <w:szCs w:val="22"/>
        </w:rPr>
        <w:t>sindrome coronarica acuta con innalzamento del tratto ST in associazione con ASA in pazienti sottoposti a intervento coronarico percutaneo (compresi i pazienti sottoposti a posizionamento di stent) o nei pazienti in terapia farmacologica candidati alla terapia trombolitica/fibrinolitica.</w:t>
      </w:r>
    </w:p>
    <w:p>
      <w:pPr>
        <w:pStyle w:val="BodyText"/>
        <w:widowControl/>
        <w:suppressAutoHyphens w:val="0"/>
        <w:autoSpaceDE/>
        <w:spacing w:after="0"/>
        <w:ind w:left="360"/>
        <w:rPr>
          <w:color w:val="000000"/>
          <w:spacing w:val="-1"/>
          <w:sz w:val="22"/>
          <w:szCs w:val="22"/>
        </w:rPr>
      </w:pPr>
    </w:p>
    <w:p>
      <w:pPr>
        <w:pStyle w:val="BodyText"/>
        <w:tabs>
          <w:tab w:val="left" w:pos="0"/>
        </w:tabs>
        <w:spacing w:after="0"/>
        <w:ind w:left="360" w:hanging="360"/>
        <w:rPr>
          <w:i/>
          <w:sz w:val="22"/>
          <w:szCs w:val="22"/>
        </w:rPr>
      </w:pPr>
      <w:r>
        <w:rPr>
          <w:i/>
          <w:sz w:val="22"/>
          <w:szCs w:val="22"/>
        </w:rPr>
        <w:t>In pazienti con attacco ischemico transitorio (TIA) a rischio da moderato ad alto o ictus ischemico minore (IS)</w:t>
      </w:r>
    </w:p>
    <w:p>
      <w:pPr>
        <w:pStyle w:val="BodyText"/>
        <w:tabs>
          <w:tab w:val="left" w:pos="540"/>
        </w:tabs>
        <w:spacing w:after="0"/>
        <w:ind w:left="360" w:hanging="360"/>
        <w:rPr>
          <w:i/>
          <w:sz w:val="22"/>
          <w:szCs w:val="22"/>
        </w:rPr>
      </w:pPr>
      <w:r>
        <w:rPr>
          <w:i/>
          <w:sz w:val="22"/>
          <w:szCs w:val="22"/>
        </w:rPr>
        <w:t>Clopidogrel in associazione con ASA è indicato in:</w:t>
      </w:r>
    </w:p>
    <w:p>
      <w:pPr>
        <w:pStyle w:val="BodyText"/>
        <w:tabs>
          <w:tab w:val="left" w:pos="540"/>
        </w:tabs>
        <w:spacing w:after="0"/>
        <w:ind w:left="360" w:hanging="360"/>
        <w:rPr>
          <w:sz w:val="22"/>
          <w:szCs w:val="22"/>
        </w:rPr>
      </w:pPr>
      <w:r>
        <w:rPr>
          <w:sz w:val="22"/>
          <w:szCs w:val="22"/>
        </w:rPr>
        <w:t xml:space="preserve">- </w:t>
      </w:r>
      <w:r>
        <w:rPr>
          <w:sz w:val="22"/>
          <w:szCs w:val="22"/>
        </w:rPr>
        <w:tab/>
        <w:t>Pazienti adulti con TIA a rischio da moderato ad alto (punteggio ABCD2</w:t>
      </w:r>
      <w:r>
        <w:rPr>
          <w:rStyle w:val="FootnoteReference"/>
          <w:sz w:val="22"/>
          <w:szCs w:val="22"/>
        </w:rPr>
        <w:footnoteReference w:id="2"/>
      </w:r>
      <w:r>
        <w:rPr>
          <w:sz w:val="22"/>
          <w:szCs w:val="22"/>
        </w:rPr>
        <w:t xml:space="preserve"> ≥4) o IS minore (NIHSS</w:t>
      </w:r>
      <w:r>
        <w:rPr>
          <w:rStyle w:val="FootnoteReference"/>
          <w:sz w:val="22"/>
          <w:szCs w:val="22"/>
        </w:rPr>
        <w:footnoteReference w:id="3"/>
      </w:r>
      <w:r>
        <w:rPr>
          <w:sz w:val="22"/>
          <w:szCs w:val="22"/>
        </w:rPr>
        <w:t xml:space="preserve"> ≤3) entro 24 ore dall'evento TIA o IS.</w:t>
      </w:r>
    </w:p>
    <w:p>
      <w:pPr>
        <w:pStyle w:val="BodyText"/>
        <w:widowControl/>
        <w:suppressAutoHyphens w:val="0"/>
        <w:autoSpaceDE/>
        <w:spacing w:after="0"/>
        <w:ind w:left="540" w:hanging="540"/>
        <w:rPr>
          <w:color w:val="000000"/>
          <w:spacing w:val="-1"/>
          <w:sz w:val="22"/>
          <w:szCs w:val="22"/>
        </w:rPr>
      </w:pPr>
    </w:p>
    <w:p>
      <w:pPr>
        <w:pStyle w:val="BodyText"/>
        <w:tabs>
          <w:tab w:val="left" w:pos="540"/>
        </w:tabs>
        <w:spacing w:after="0"/>
        <w:rPr>
          <w:color w:val="000000"/>
          <w:spacing w:val="-1"/>
          <w:sz w:val="22"/>
          <w:szCs w:val="22"/>
        </w:rPr>
      </w:pPr>
    </w:p>
    <w:p>
      <w:pPr>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Prevenzione di eventi di origine aterotrombotica e tromboembolica nella fibrillazione atriale</w:t>
      </w:r>
    </w:p>
    <w:p>
      <w:pPr>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Clopidogrel in associazione con ASA è indicato nella prevenzione di eventi di origine aterotrombotica e tromboembolica, incluso l’ictus nei pazienti adulti con fibrillazione atriale che possiedono almeno un fattore di rischio per eventi vascolari, non idonei ad un trattamento a base di antagonisti della vitamina K (AVK) e che possiedono un basso rischio di sanguinamento.</w:t>
      </w:r>
    </w:p>
    <w:p>
      <w:pPr>
        <w:widowControl w:val="0"/>
        <w:shd w:val="clear" w:color="auto" w:fill="FFFFFF"/>
        <w:tabs>
          <w:tab w:val="left" w:pos="569"/>
        </w:tabs>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tabs>
          <w:tab w:val="left" w:pos="578"/>
        </w:tabs>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Per ulteriori informazioni vedere paragrafo 5.1.</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5"/>
          <w:lang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5"/>
          <w:lang w:eastAsia="ar-SA"/>
        </w:rPr>
        <w:t>4.2</w:t>
      </w:r>
      <w:r>
        <w:rPr>
          <w:rFonts w:ascii="Times New Roman" w:eastAsia="Times New Roman" w:hAnsi="Times New Roman"/>
          <w:b/>
          <w:bCs/>
          <w:color w:val="000000"/>
          <w:lang w:eastAsia="ar-SA"/>
        </w:rPr>
        <w:tab/>
        <w:t>Posologia e modo di somministrazione</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eastAsia="ar-SA"/>
        </w:rPr>
      </w:pPr>
    </w:p>
    <w:p>
      <w:pPr>
        <w:widowControl w:val="0"/>
        <w:suppressAutoHyphens/>
        <w:autoSpaceDE w:val="0"/>
        <w:spacing w:after="0" w:line="240" w:lineRule="auto"/>
        <w:rPr>
          <w:rFonts w:ascii="Times New Roman" w:eastAsia="Times New Roman" w:hAnsi="Times New Roman"/>
          <w:u w:val="single"/>
          <w:lang w:eastAsia="ar-SA"/>
        </w:rPr>
      </w:pPr>
      <w:r>
        <w:rPr>
          <w:rFonts w:ascii="Times New Roman" w:eastAsia="Times New Roman" w:hAnsi="Times New Roman"/>
          <w:u w:val="single"/>
          <w:lang w:eastAsia="ar-SA"/>
        </w:rPr>
        <w:t>Posologia</w:t>
      </w:r>
    </w:p>
    <w:p>
      <w:pPr>
        <w:widowControl w:val="0"/>
        <w:numPr>
          <w:ilvl w:val="0"/>
          <w:numId w:val="2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 xml:space="preserve">Adulti </w:t>
      </w:r>
      <w:r>
        <w:rPr>
          <w:rFonts w:ascii="Times New Roman" w:hAnsi="Times New Roman"/>
        </w:rPr>
        <w:t>e popolazione anziana</w:t>
      </w:r>
    </w:p>
    <w:p>
      <w:pPr>
        <w:widowControl w:val="0"/>
        <w:shd w:val="clear" w:color="auto" w:fill="FFFFFF"/>
        <w:suppressAutoHyphens/>
        <w:autoSpaceDE w:val="0"/>
        <w:spacing w:after="0" w:line="240" w:lineRule="auto"/>
        <w:ind w:left="567"/>
        <w:rPr>
          <w:rFonts w:ascii="Times New Roman" w:eastAsia="Times New Roman" w:hAnsi="Times New Roman"/>
          <w:color w:val="000000"/>
          <w:lang w:eastAsia="ar-SA"/>
        </w:rPr>
      </w:pPr>
      <w:r>
        <w:rPr>
          <w:rFonts w:ascii="Times New Roman" w:eastAsia="Times New Roman" w:hAnsi="Times New Roman"/>
          <w:color w:val="000000"/>
          <w:lang w:eastAsia="ar-SA"/>
        </w:rPr>
        <w:t>Clopidogrel va somministrato in dose giornaliera singola di 75 mg.</w:t>
      </w:r>
    </w:p>
    <w:p>
      <w:pPr>
        <w:widowControl w:val="0"/>
        <w:shd w:val="clear" w:color="auto" w:fill="FFFFFF"/>
        <w:suppressAutoHyphens/>
        <w:autoSpaceDE w:val="0"/>
        <w:spacing w:after="0" w:line="240" w:lineRule="auto"/>
        <w:ind w:left="567"/>
        <w:rPr>
          <w:rFonts w:ascii="Times New Roman" w:eastAsia="Times New Roman" w:hAnsi="Times New Roman"/>
          <w:color w:val="000000"/>
          <w:lang w:eastAsia="ar-SA"/>
        </w:rPr>
      </w:pPr>
    </w:p>
    <w:p>
      <w:pPr>
        <w:spacing w:after="0" w:line="240" w:lineRule="auto"/>
        <w:ind w:left="540"/>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Nei pazienti affetti da sindrome coronarica acuta:</w:t>
      </w:r>
    </w:p>
    <w:p>
      <w:pPr>
        <w:numPr>
          <w:ilvl w:val="0"/>
          <w:numId w:val="28"/>
        </w:numPr>
        <w:tabs>
          <w:tab w:val="clear" w:pos="720"/>
          <w:tab w:val="num" w:pos="900"/>
        </w:tabs>
        <w:spacing w:after="0" w:line="240" w:lineRule="auto"/>
        <w:ind w:left="900"/>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sindrome coronarica acuta senza innalzamento del tratto ST (angina instabile o infarto miocardico senza onde Q): il trattamento con clopidogrel deve essere iniziato con una singola dose di carico di 300 mg o 600 mg. Una dose di carico di 600 mg può essere presa in considerazione nei pazienti di età &lt;75 anni quando è previsto un intervento coronarico percutaneo (vedere paragrafo 4.4). Il trattamento con clopidogrel deve continuare con 75 mg una volta al giorno (in associazione ad acido acetilsalicilico (ASA) 75 mg -325 mg al giorno). Dato che dosi superiori di ASA sono state correlate con un più alto rischio di sanguinamento, si consiglia che la dose di ASA non sia superiore a 100 mg. La durata ottimale del trattamento non è stata formalmente stabilita. I dati degli studi clinici sostengono l’uso fino a 12 mesi e il beneficio massimo è stato osservato a 3 mesi (vedere paragrafo 5.1).</w:t>
      </w:r>
    </w:p>
    <w:p>
      <w:pPr>
        <w:keepNext/>
        <w:keepLines/>
        <w:numPr>
          <w:ilvl w:val="0"/>
          <w:numId w:val="28"/>
        </w:numPr>
        <w:tabs>
          <w:tab w:val="clear" w:pos="720"/>
          <w:tab w:val="num" w:pos="900"/>
        </w:tabs>
        <w:spacing w:after="0" w:line="240" w:lineRule="auto"/>
        <w:ind w:left="896" w:hanging="35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infarto miocardico acuto con innalzamento del tratto ST: </w:t>
      </w:r>
    </w:p>
    <w:p>
      <w:pPr>
        <w:keepNext/>
        <w:keepLines/>
        <w:numPr>
          <w:ilvl w:val="0"/>
          <w:numId w:val="28"/>
        </w:numPr>
        <w:tabs>
          <w:tab w:val="clear" w:pos="720"/>
          <w:tab w:val="num" w:pos="1276"/>
        </w:tabs>
        <w:spacing w:after="0" w:line="240" w:lineRule="auto"/>
        <w:ind w:left="1276" w:hanging="283"/>
        <w:rPr>
          <w:rFonts w:ascii="Times New Roman" w:eastAsia="Times New Roman" w:hAnsi="Times New Roman"/>
          <w:color w:val="000000"/>
          <w:spacing w:val="-1"/>
          <w:lang w:eastAsia="ar-SA"/>
        </w:rPr>
      </w:pPr>
      <w:r>
        <w:rPr>
          <w:rFonts w:ascii="Times New Roman" w:hAnsi="Times New Roman"/>
        </w:rPr>
        <w:t>per i pazienti trattati con terapia medica, idonei alla terapia trombolitica/fibrinolitica:</w:t>
      </w:r>
      <w:r>
        <w:t xml:space="preserve"> </w:t>
      </w:r>
      <w:r>
        <w:rPr>
          <w:rFonts w:ascii="Times New Roman" w:eastAsia="Times New Roman" w:hAnsi="Times New Roman"/>
          <w:color w:val="000000"/>
        </w:rPr>
        <w:t xml:space="preserve"> </w:t>
      </w:r>
      <w:r>
        <w:rPr>
          <w:rFonts w:ascii="Times New Roman" w:eastAsia="Times New Roman" w:hAnsi="Times New Roman"/>
          <w:color w:val="000000"/>
          <w:spacing w:val="-1"/>
          <w:lang w:eastAsia="ar-SA"/>
        </w:rPr>
        <w:t>clopidogrel deve essere somministrato in dose singola giornaliera di 75 mg iniziando con una dose di carico di 300 mg in associazione ad ASA, con o senza trombolitici. Nei pazienti</w:t>
      </w:r>
      <w:r>
        <w:t xml:space="preserve"> </w:t>
      </w:r>
      <w:r>
        <w:rPr>
          <w:rFonts w:ascii="Times New Roman" w:eastAsia="Times New Roman" w:hAnsi="Times New Roman"/>
          <w:color w:val="000000"/>
          <w:spacing w:val="-1"/>
          <w:lang w:eastAsia="ar-SA"/>
        </w:rPr>
        <w:t>trattati con sola terapia farmacologica di età superiore ai 75 anni clopidogrel deve essere iniziato senza dose di carico. La terapia combinata deve essere iniziata prima possibile dal momento della comparsa dei sintomi e continuata per almeno 4 settimane. Il beneficio dell’associazione di clopidogrel con ASA oltre le quattro settimane non è stato studiato in questo contesto (vedere paragrafo 5.1).</w:t>
      </w:r>
    </w:p>
    <w:p>
      <w:pPr>
        <w:numPr>
          <w:ilvl w:val="0"/>
          <w:numId w:val="28"/>
        </w:numPr>
        <w:tabs>
          <w:tab w:val="clear" w:pos="720"/>
          <w:tab w:val="num" w:pos="567"/>
          <w:tab w:val="num" w:pos="1530"/>
        </w:tabs>
        <w:spacing w:after="0" w:line="240" w:lineRule="auto"/>
        <w:ind w:left="1134" w:hanging="425"/>
        <w:rPr>
          <w:rFonts w:ascii="Times New Roman" w:hAnsi="Times New Roman"/>
        </w:rPr>
      </w:pPr>
      <w:r>
        <w:rPr>
          <w:rFonts w:ascii="Times New Roman" w:hAnsi="Times New Roman"/>
        </w:rPr>
        <w:t>Quando è previsto un intervento coronarico percutaneo (PCI)</w:t>
      </w:r>
    </w:p>
    <w:p>
      <w:pPr>
        <w:numPr>
          <w:ilvl w:val="1"/>
          <w:numId w:val="36"/>
        </w:numPr>
        <w:tabs>
          <w:tab w:val="clear" w:pos="1440"/>
          <w:tab w:val="num" w:pos="1560"/>
        </w:tabs>
        <w:spacing w:after="0" w:line="240" w:lineRule="auto"/>
        <w:ind w:left="1560" w:hanging="426"/>
        <w:rPr>
          <w:rFonts w:ascii="Times New Roman" w:hAnsi="Times New Roman"/>
        </w:rPr>
      </w:pPr>
      <w:r>
        <w:rPr>
          <w:rFonts w:ascii="Times New Roman" w:hAnsi="Times New Roman"/>
        </w:rPr>
        <w:t>Clopidogrel deve essere iniziato a una dose di carico di 600 mg in pazienti sottoposti a PCI primaria e in pazienti sottoposti a PCI più di 24 ore dopo aver ricevuto la terapia fibrinolitica. Nei pazienti di età ≥75 anni, la dose di carico di 600 mg deve essere somministrata con cautela (vedere paragrafo 4.4).</w:t>
      </w:r>
    </w:p>
    <w:p>
      <w:pPr>
        <w:numPr>
          <w:ilvl w:val="1"/>
          <w:numId w:val="36"/>
        </w:numPr>
        <w:tabs>
          <w:tab w:val="clear" w:pos="1440"/>
          <w:tab w:val="num" w:pos="1560"/>
        </w:tabs>
        <w:spacing w:after="0" w:line="240" w:lineRule="auto"/>
        <w:ind w:left="1560" w:hanging="426"/>
        <w:rPr>
          <w:rFonts w:ascii="Times New Roman" w:hAnsi="Times New Roman"/>
        </w:rPr>
      </w:pPr>
      <w:r>
        <w:rPr>
          <w:rFonts w:ascii="Times New Roman" w:hAnsi="Times New Roman"/>
        </w:rPr>
        <w:t xml:space="preserve">La dose di carico di clopidogrel 300 mg deve essere somministrata nei pazienti sottoposti a PCI entro 24 ore dalla somministrazione della terapia fibrinolitica. </w:t>
      </w:r>
    </w:p>
    <w:p>
      <w:pPr>
        <w:keepNext/>
        <w:keepLines/>
        <w:spacing w:after="0" w:line="240" w:lineRule="auto"/>
        <w:ind w:left="993"/>
        <w:rPr>
          <w:rFonts w:ascii="Times New Roman" w:eastAsia="Times New Roman" w:hAnsi="Times New Roman"/>
          <w:color w:val="000000"/>
          <w:spacing w:val="-1"/>
          <w:lang w:eastAsia="ar-SA"/>
        </w:rPr>
      </w:pPr>
      <w:r>
        <w:rPr>
          <w:rFonts w:ascii="Times New Roman" w:hAnsi="Times New Roman"/>
        </w:rPr>
        <w:t>Il trattamento con clopidogrel deve essere continuato alla dose di 75 mg una volta al giorno in associazione a ASA 75 mg -100 mg al giorno. La terapia combinata deve essere iniziata il prima possibile dopo l’inizio dei sintomi e continuata fino a 12 mesi (vedere paragrafo 5.1)</w:t>
      </w:r>
    </w:p>
    <w:p>
      <w:pPr>
        <w:keepNext/>
        <w:keepLines/>
        <w:spacing w:after="0" w:line="240" w:lineRule="auto"/>
        <w:ind w:left="896"/>
        <w:rPr>
          <w:rFonts w:ascii="Times New Roman" w:eastAsia="Times New Roman" w:hAnsi="Times New Roman"/>
          <w:color w:val="000000"/>
          <w:spacing w:val="-1"/>
          <w:lang w:eastAsia="ar-SA"/>
        </w:rPr>
      </w:pPr>
    </w:p>
    <w:p>
      <w:pPr>
        <w:spacing w:after="0" w:line="240" w:lineRule="auto"/>
        <w:ind w:left="357"/>
        <w:jc w:val="both"/>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Pazienti adulti con TIA a rischio da moderato ad alto o IS minore:</w:t>
      </w:r>
    </w:p>
    <w:p>
      <w:pPr>
        <w:spacing w:after="0" w:line="240" w:lineRule="auto"/>
        <w:ind w:left="357"/>
        <w:jc w:val="both"/>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Ai pazienti adulti con TIA a rischio da moderato ad alto (punteggio ABCD2 ≥4) o IS minore (NIHSS ≤3) deve essere somministrata una dose di carico di clopidogrel 300 mg seguita da clopidogrel 75 mg una volta al giorno in combinazione con ASA (75 mg -100 mg una volta al giorno). Il trattamento con clopidogrel e ASA deve essere iniziato entro 24 ore dall'evento e continuato per 21 giorni, seguito da una singola terapia antipiastrinica.</w:t>
      </w:r>
    </w:p>
    <w:p>
      <w:pPr>
        <w:keepNext/>
        <w:keepLines/>
        <w:spacing w:after="0" w:line="240" w:lineRule="auto"/>
        <w:ind w:left="539"/>
        <w:rPr>
          <w:rFonts w:ascii="Times New Roman" w:eastAsia="Times New Roman" w:hAnsi="Times New Roman"/>
          <w:color w:val="000000"/>
          <w:spacing w:val="-1"/>
          <w:lang w:eastAsia="ar-SA"/>
        </w:rPr>
      </w:pPr>
    </w:p>
    <w:p>
      <w:pPr>
        <w:spacing w:after="0" w:line="240" w:lineRule="auto"/>
        <w:rPr>
          <w:rFonts w:ascii="Times New Roman" w:eastAsia="Times New Roman" w:hAnsi="Times New Roman"/>
          <w:color w:val="000000"/>
          <w:spacing w:val="-1"/>
          <w:lang w:eastAsia="ar-SA"/>
        </w:rPr>
      </w:pPr>
    </w:p>
    <w:p>
      <w:pPr>
        <w:spacing w:after="0" w:line="240" w:lineRule="auto"/>
        <w:ind w:left="540"/>
        <w:jc w:val="both"/>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Nei pazienti con fibrillazione atriale, clopidogrel può essere somministrato in dose singola giornaliera di 75 mg. Il trattamento con ASA (75-100 mg al giorno) deve essere iniziato e continuato in associazione con clopidogrel (vedere paragrafo 5.1).</w:t>
      </w:r>
    </w:p>
    <w:p>
      <w:pPr>
        <w:widowControl w:val="0"/>
        <w:shd w:val="clear" w:color="auto" w:fill="FFFFFF"/>
        <w:suppressAutoHyphens/>
        <w:autoSpaceDE w:val="0"/>
        <w:spacing w:after="0" w:line="240" w:lineRule="auto"/>
        <w:ind w:left="567"/>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Se viene omessa una dose:</w:t>
      </w:r>
    </w:p>
    <w:p>
      <w:pPr>
        <w:widowControl w:val="0"/>
        <w:numPr>
          <w:ilvl w:val="1"/>
          <w:numId w:val="12"/>
        </w:numPr>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entro 12 ore dall’</w:t>
      </w:r>
      <w:r>
        <w:rPr>
          <w:rFonts w:ascii="Times New Roman" w:eastAsia="Times New Roman" w:hAnsi="Times New Roman"/>
          <w:bCs/>
          <w:lang w:eastAsia="ar-SA"/>
        </w:rPr>
        <w:t xml:space="preserve">assunzione programmata: il paziente deve assumere immediatamente la dose e prendere la dose successiva </w:t>
      </w:r>
      <w:r>
        <w:rPr>
          <w:rFonts w:ascii="Times New Roman" w:eastAsia="Times New Roman" w:hAnsi="Times New Roman"/>
          <w:lang w:eastAsia="ar-SA"/>
        </w:rPr>
        <w:t>all’orario abituale.</w:t>
      </w:r>
    </w:p>
    <w:p>
      <w:pPr>
        <w:widowControl w:val="0"/>
        <w:numPr>
          <w:ilvl w:val="1"/>
          <w:numId w:val="12"/>
        </w:numPr>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se sono trascorse più di 12 ore: il paziente deve prendere la dose successiva all’orario abituale e non deve prendere una dose doppia.</w:t>
      </w:r>
    </w:p>
    <w:p>
      <w:pPr>
        <w:spacing w:after="0" w:line="240" w:lineRule="auto"/>
        <w:jc w:val="both"/>
        <w:rPr>
          <w:rFonts w:ascii="Times New Roman" w:eastAsia="Times New Roman" w:hAnsi="Times New Roman"/>
          <w:lang w:eastAsia="ar-SA"/>
        </w:rPr>
      </w:pPr>
    </w:p>
    <w:p>
      <w:pPr>
        <w:spacing w:after="0" w:line="240" w:lineRule="auto"/>
        <w:jc w:val="both"/>
        <w:rPr>
          <w:rFonts w:ascii="Times New Roman" w:eastAsia="Times New Roman" w:hAnsi="Times New Roman"/>
          <w:lang w:eastAsia="ar-SA"/>
        </w:rPr>
      </w:pPr>
      <w:r>
        <w:rPr>
          <w:rFonts w:ascii="Times New Roman" w:eastAsia="Times New Roman" w:hAnsi="Times New Roman"/>
          <w:lang w:eastAsia="ar-SA"/>
        </w:rPr>
        <w:lastRenderedPageBreak/>
        <w:t>Popolazioni speciali</w:t>
      </w:r>
    </w:p>
    <w:p>
      <w:pPr>
        <w:widowControl w:val="0"/>
        <w:suppressAutoHyphens/>
        <w:autoSpaceDE w:val="0"/>
        <w:spacing w:after="0" w:line="240" w:lineRule="auto"/>
        <w:rPr>
          <w:rFonts w:ascii="Times New Roman" w:eastAsia="Times New Roman" w:hAnsi="Times New Roman"/>
          <w:lang w:eastAsia="ar-SA"/>
        </w:rPr>
      </w:pPr>
    </w:p>
    <w:p>
      <w:pPr>
        <w:numPr>
          <w:ilvl w:val="0"/>
          <w:numId w:val="37"/>
        </w:numPr>
        <w:tabs>
          <w:tab w:val="clear" w:pos="360"/>
          <w:tab w:val="num" w:pos="540"/>
        </w:tabs>
        <w:spacing w:after="0" w:line="240" w:lineRule="auto"/>
        <w:jc w:val="both"/>
        <w:rPr>
          <w:rFonts w:ascii="Times New Roman" w:hAnsi="Times New Roman"/>
        </w:rPr>
      </w:pPr>
      <w:r>
        <w:rPr>
          <w:rFonts w:ascii="Times New Roman" w:hAnsi="Times New Roman"/>
        </w:rPr>
        <w:t>Pazienti anziani</w:t>
      </w:r>
    </w:p>
    <w:p>
      <w:pPr>
        <w:spacing w:after="0" w:line="240" w:lineRule="auto"/>
        <w:ind w:left="900"/>
        <w:jc w:val="both"/>
        <w:rPr>
          <w:rFonts w:ascii="Times New Roman" w:hAnsi="Times New Roman"/>
        </w:rPr>
      </w:pPr>
    </w:p>
    <w:p>
      <w:pPr>
        <w:spacing w:after="0" w:line="240" w:lineRule="auto"/>
        <w:ind w:left="540"/>
        <w:rPr>
          <w:rFonts w:ascii="Times New Roman" w:hAnsi="Times New Roman"/>
        </w:rPr>
      </w:pPr>
      <w:r>
        <w:rPr>
          <w:rFonts w:ascii="Times New Roman" w:hAnsi="Times New Roman"/>
        </w:rPr>
        <w:t>Sindrome coronarica acuta senza sopraslivellamento del tratto ST (angina instabile o infarto miocardico senza onde Q):</w:t>
      </w:r>
    </w:p>
    <w:p>
      <w:pPr>
        <w:spacing w:after="0" w:line="240" w:lineRule="auto"/>
        <w:ind w:left="540"/>
        <w:rPr>
          <w:rFonts w:ascii="Times New Roman" w:hAnsi="Times New Roman"/>
        </w:rPr>
      </w:pPr>
      <w:r>
        <w:rPr>
          <w:rFonts w:ascii="Times New Roman" w:hAnsi="Times New Roman"/>
        </w:rPr>
        <w:t>- Una dose di carico di 600 mg può essere presa in considerazione nei pazienti di età &lt;75 anni quando è previsto un intervento coronarico percutaneo (vedere paragrafo 4.4).</w:t>
      </w:r>
    </w:p>
    <w:p>
      <w:pPr>
        <w:spacing w:after="0" w:line="240" w:lineRule="auto"/>
        <w:ind w:left="540"/>
        <w:rPr>
          <w:rFonts w:ascii="Times New Roman" w:hAnsi="Times New Roman"/>
        </w:rPr>
      </w:pPr>
    </w:p>
    <w:p>
      <w:pPr>
        <w:spacing w:after="0" w:line="240" w:lineRule="auto"/>
        <w:ind w:left="540"/>
        <w:rPr>
          <w:rFonts w:ascii="Times New Roman" w:hAnsi="Times New Roman"/>
        </w:rPr>
      </w:pPr>
      <w:r>
        <w:rPr>
          <w:rFonts w:ascii="Times New Roman" w:hAnsi="Times New Roman"/>
        </w:rPr>
        <w:t xml:space="preserve">Infarto miocardico acuto con sopraslivellamento del tratto ST: </w:t>
      </w:r>
    </w:p>
    <w:p>
      <w:pPr>
        <w:spacing w:after="0" w:line="240" w:lineRule="auto"/>
        <w:ind w:left="540"/>
        <w:rPr>
          <w:rFonts w:ascii="Times New Roman" w:hAnsi="Times New Roman"/>
        </w:rPr>
      </w:pPr>
      <w:r>
        <w:rPr>
          <w:rFonts w:ascii="Times New Roman" w:hAnsi="Times New Roman"/>
        </w:rPr>
        <w:t>- Per i pazienti trattati con terapia medica idonei alla terapia trombolitica/fibrinolitica: nei pazienti di età superiore a 75 anni clopidogrel deve essere iniziato senza una dose di carico.</w:t>
      </w:r>
    </w:p>
    <w:p>
      <w:pPr>
        <w:spacing w:after="0" w:line="240" w:lineRule="auto"/>
        <w:ind w:left="540"/>
        <w:rPr>
          <w:rFonts w:ascii="Times New Roman" w:hAnsi="Times New Roman"/>
        </w:rPr>
      </w:pPr>
    </w:p>
    <w:p>
      <w:pPr>
        <w:spacing w:after="0" w:line="240" w:lineRule="auto"/>
        <w:ind w:left="540"/>
        <w:rPr>
          <w:rFonts w:ascii="Times New Roman" w:hAnsi="Times New Roman"/>
        </w:rPr>
      </w:pPr>
      <w:r>
        <w:rPr>
          <w:rFonts w:ascii="Times New Roman" w:hAnsi="Times New Roman"/>
        </w:rPr>
        <w:t xml:space="preserve">Per i pazienti sottoposti a PCI primaria e per i pazienti sottoposti a PCI più di 24 ore dopo aver ricevuto la terapia fibrinolitica: </w:t>
      </w:r>
    </w:p>
    <w:p>
      <w:pPr>
        <w:spacing w:after="0" w:line="240" w:lineRule="auto"/>
        <w:ind w:left="540"/>
        <w:rPr>
          <w:rFonts w:ascii="Times New Roman" w:hAnsi="Times New Roman"/>
        </w:rPr>
      </w:pPr>
      <w:r>
        <w:rPr>
          <w:rFonts w:ascii="Times New Roman" w:hAnsi="Times New Roman"/>
        </w:rPr>
        <w:t>- Nei pazienti di età ≥75 anni, la dose di carico di 600 mg deve essere somministrata con cautela (vedere paragrafo 4.4).</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numPr>
          <w:ilvl w:val="0"/>
          <w:numId w:val="2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P</w:t>
      </w:r>
      <w:r>
        <w:rPr>
          <w:rFonts w:ascii="Times New Roman" w:eastAsia="Times New Roman" w:hAnsi="Times New Roman"/>
          <w:lang w:eastAsia="ar-SA"/>
        </w:rPr>
        <w:t>opolazione</w:t>
      </w:r>
      <w:r>
        <w:rPr>
          <w:rFonts w:ascii="Times New Roman" w:eastAsia="Times New Roman" w:hAnsi="Times New Roman"/>
          <w:color w:val="000000"/>
          <w:lang w:eastAsia="ar-SA"/>
        </w:rPr>
        <w:t xml:space="preserve"> pediatrica</w:t>
      </w:r>
    </w:p>
    <w:p>
      <w:pPr>
        <w:widowControl w:val="0"/>
        <w:suppressAutoHyphens/>
        <w:autoSpaceDE w:val="0"/>
        <w:spacing w:after="0" w:line="240" w:lineRule="auto"/>
        <w:ind w:left="567"/>
        <w:rPr>
          <w:rFonts w:ascii="Times New Roman" w:eastAsia="Times New Roman" w:hAnsi="Times New Roman"/>
          <w:lang w:eastAsia="ar-SA"/>
        </w:rPr>
      </w:pPr>
      <w:r>
        <w:rPr>
          <w:rFonts w:ascii="Times New Roman" w:eastAsia="Times New Roman" w:hAnsi="Times New Roman"/>
          <w:lang w:eastAsia="ar-SA"/>
        </w:rPr>
        <w:t>Clopidogrel non deve essere usato nei bambini a causa di problematiche di efficacia. (vedere paragrafo 5.1)</w:t>
      </w:r>
    </w:p>
    <w:p>
      <w:pPr>
        <w:widowControl w:val="0"/>
        <w:shd w:val="clear" w:color="auto" w:fill="FFFFFF"/>
        <w:suppressAutoHyphens/>
        <w:autoSpaceDE w:val="0"/>
        <w:spacing w:after="0" w:line="240" w:lineRule="auto"/>
        <w:rPr>
          <w:rFonts w:ascii="Times New Roman" w:eastAsia="Times New Roman" w:hAnsi="Times New Roman"/>
          <w:color w:val="000000"/>
          <w:spacing w:val="-2"/>
          <w:lang w:eastAsia="ar-SA"/>
        </w:rPr>
      </w:pPr>
    </w:p>
    <w:p>
      <w:pPr>
        <w:widowControl w:val="0"/>
        <w:numPr>
          <w:ilvl w:val="0"/>
          <w:numId w:val="2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Insufficienza renale</w:t>
      </w:r>
    </w:p>
    <w:p>
      <w:pPr>
        <w:widowControl w:val="0"/>
        <w:shd w:val="clear" w:color="auto" w:fill="FFFFFF"/>
        <w:suppressAutoHyphens/>
        <w:autoSpaceDE w:val="0"/>
        <w:spacing w:after="0" w:line="240" w:lineRule="auto"/>
        <w:ind w:left="567"/>
        <w:rPr>
          <w:rFonts w:ascii="Times New Roman" w:eastAsia="Times New Roman" w:hAnsi="Times New Roman"/>
          <w:color w:val="000000"/>
          <w:lang w:eastAsia="ar-SA"/>
        </w:rPr>
      </w:pPr>
      <w:r>
        <w:rPr>
          <w:rFonts w:ascii="Times New Roman" w:eastAsia="Times New Roman" w:hAnsi="Times New Roman"/>
          <w:color w:val="000000"/>
          <w:lang w:eastAsia="ar-SA"/>
        </w:rPr>
        <w:t>L'esperienza terapeutica in pazienti con insufficienza renale è limitata (vedere paragrafo 4.4).</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numPr>
          <w:ilvl w:val="0"/>
          <w:numId w:val="2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Insufficienza epatica</w:t>
      </w:r>
    </w:p>
    <w:p>
      <w:pPr>
        <w:widowControl w:val="0"/>
        <w:shd w:val="clear" w:color="auto" w:fill="FFFFFF"/>
        <w:suppressAutoHyphens/>
        <w:autoSpaceDE w:val="0"/>
        <w:spacing w:after="0" w:line="240" w:lineRule="auto"/>
        <w:ind w:left="567"/>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L'esperienza terapeutica in pazienti con moderata disfunzione epatica che possono avere una </w:t>
      </w:r>
      <w:r>
        <w:rPr>
          <w:rFonts w:ascii="Times New Roman" w:eastAsia="Times New Roman" w:hAnsi="Times New Roman"/>
          <w:color w:val="000000"/>
          <w:lang w:eastAsia="ar-SA"/>
        </w:rPr>
        <w:t>diatesi emorragica è limitata (vedere paragrafo 4.4).</w:t>
      </w:r>
    </w:p>
    <w:p>
      <w:pPr>
        <w:widowControl w:val="0"/>
        <w:shd w:val="clear" w:color="auto" w:fill="FFFFFF"/>
        <w:suppressAutoHyphens/>
        <w:autoSpaceDE w:val="0"/>
        <w:spacing w:after="0" w:line="240" w:lineRule="auto"/>
        <w:ind w:left="567"/>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u w:val="single"/>
          <w:lang w:eastAsia="ar-SA"/>
        </w:rPr>
      </w:pPr>
    </w:p>
    <w:p>
      <w:pPr>
        <w:widowControl w:val="0"/>
        <w:suppressAutoHyphens/>
        <w:autoSpaceDE w:val="0"/>
        <w:spacing w:after="0" w:line="240" w:lineRule="auto"/>
        <w:rPr>
          <w:rFonts w:ascii="Times New Roman" w:eastAsia="Times New Roman" w:hAnsi="Times New Roman"/>
          <w:u w:val="single"/>
          <w:lang w:eastAsia="ar-SA"/>
        </w:rPr>
      </w:pPr>
      <w:r>
        <w:rPr>
          <w:rFonts w:ascii="Times New Roman" w:eastAsia="Times New Roman" w:hAnsi="Times New Roman"/>
          <w:u w:val="single"/>
          <w:lang w:eastAsia="ar-SA"/>
        </w:rPr>
        <w:t>Modo di somministrazione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Uso orale.</w:t>
      </w:r>
    </w:p>
    <w:p>
      <w:pPr>
        <w:widowControl w:val="0"/>
        <w:shd w:val="clear" w:color="auto" w:fill="FFFFFF"/>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La compressa può essere presa durante o lontano dai pasti.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6"/>
          <w:lang w:eastAsia="ar-SA"/>
        </w:rPr>
        <w:t>4.3</w:t>
      </w:r>
      <w:r>
        <w:rPr>
          <w:rFonts w:ascii="Times New Roman" w:eastAsia="Times New Roman" w:hAnsi="Times New Roman"/>
          <w:b/>
          <w:bCs/>
          <w:color w:val="000000"/>
          <w:lang w:eastAsia="ar-SA"/>
        </w:rPr>
        <w:tab/>
        <w:t>Controindicazioni</w:t>
      </w: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eastAsia="ar-SA"/>
        </w:rPr>
      </w:pPr>
    </w:p>
    <w:p>
      <w:pPr>
        <w:widowControl w:val="0"/>
        <w:numPr>
          <w:ilvl w:val="0"/>
          <w:numId w:val="9"/>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Ipersensibilità al principio attivo o ad uno qualsiasi degli eccipienti</w:t>
      </w:r>
      <w:r>
        <w:rPr>
          <w:rFonts w:ascii="Times New Roman" w:eastAsia="Times New Roman" w:hAnsi="Times New Roman"/>
          <w:lang w:eastAsia="ar-SA"/>
        </w:rPr>
        <w:t xml:space="preserve"> elencati al paragrafo 2 o al paragrafo 6.1</w:t>
      </w:r>
      <w:r>
        <w:rPr>
          <w:rFonts w:ascii="Times New Roman" w:eastAsia="Times New Roman" w:hAnsi="Times New Roman"/>
          <w:color w:val="000000"/>
          <w:lang w:eastAsia="ar-SA"/>
        </w:rPr>
        <w:t>.</w:t>
      </w:r>
    </w:p>
    <w:p>
      <w:pPr>
        <w:widowControl w:val="0"/>
        <w:numPr>
          <w:ilvl w:val="0"/>
          <w:numId w:val="9"/>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Insufficienza epatica grave.</w:t>
      </w:r>
    </w:p>
    <w:p>
      <w:pPr>
        <w:widowControl w:val="0"/>
        <w:numPr>
          <w:ilvl w:val="0"/>
          <w:numId w:val="9"/>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Sanguinamento patologico in atto come ad es. in presenza di ulcera peptica o di emorragia intracranica.</w:t>
      </w:r>
    </w:p>
    <w:p>
      <w:pPr>
        <w:widowControl w:val="0"/>
        <w:shd w:val="clear" w:color="auto" w:fill="FFFFFF"/>
        <w:tabs>
          <w:tab w:val="left" w:pos="584"/>
        </w:tabs>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5"/>
          <w:lang w:eastAsia="ar-SA"/>
        </w:rPr>
        <w:t>4.4</w:t>
      </w:r>
      <w:r>
        <w:rPr>
          <w:rFonts w:ascii="Times New Roman" w:eastAsia="Times New Roman" w:hAnsi="Times New Roman"/>
          <w:b/>
          <w:bCs/>
          <w:color w:val="000000"/>
          <w:lang w:eastAsia="ar-SA"/>
        </w:rPr>
        <w:tab/>
        <w:t>Avvertenze speciali e precauzioni d'impiego</w:t>
      </w: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Sanguinamenti e patologie di tipo ematologico</w:t>
      </w:r>
    </w:p>
    <w:p>
      <w:pPr>
        <w:spacing w:after="0" w:line="240" w:lineRule="auto"/>
        <w:rPr>
          <w:rFonts w:ascii="Times New Roman" w:eastAsia="Times New Roman" w:hAnsi="Times New Roman"/>
          <w:color w:val="000000"/>
        </w:rPr>
      </w:pPr>
      <w:r>
        <w:rPr>
          <w:rFonts w:ascii="Times New Roman" w:eastAsia="Times New Roman" w:hAnsi="Times New Roman"/>
          <w:color w:val="000000"/>
          <w:lang w:eastAsia="ar-SA"/>
        </w:rPr>
        <w:t xml:space="preserve">A causa del rischio di sanguinamento e di </w:t>
      </w:r>
      <w:r>
        <w:rPr>
          <w:rFonts w:ascii="Times New Roman" w:eastAsia="Times New Roman" w:hAnsi="Times New Roman"/>
          <w:lang w:eastAsia="ar-SA"/>
        </w:rPr>
        <w:t>reazioni avverse</w:t>
      </w:r>
      <w:r>
        <w:rPr>
          <w:rFonts w:ascii="Times New Roman" w:eastAsia="Times New Roman" w:hAnsi="Times New Roman"/>
          <w:color w:val="000000"/>
          <w:lang w:eastAsia="ar-SA"/>
        </w:rPr>
        <w:t xml:space="preserve"> di tipo ematologico, l'esecuzione di un </w:t>
      </w:r>
      <w:r>
        <w:rPr>
          <w:rFonts w:ascii="Times New Roman" w:eastAsia="Times New Roman" w:hAnsi="Times New Roman"/>
          <w:color w:val="000000"/>
          <w:spacing w:val="-1"/>
          <w:lang w:eastAsia="ar-SA"/>
        </w:rPr>
        <w:t xml:space="preserve">esame emocromocitometrico e/o di altri esami appropriati, deve subito essere presa in considerazione ogni volta che si presentano sintomi clinici che suggeriscono sanguinamento durante il trattamento (vedere </w:t>
      </w:r>
      <w:r>
        <w:rPr>
          <w:rFonts w:ascii="Times New Roman" w:eastAsia="Times New Roman" w:hAnsi="Times New Roman"/>
          <w:color w:val="000000"/>
          <w:lang w:eastAsia="ar-SA"/>
        </w:rPr>
        <w:t xml:space="preserve">paragrafo 4.8). Così come per altri farmaci antiaggreganti piastrinici, clopidogrel deve essere usato </w:t>
      </w:r>
      <w:r>
        <w:rPr>
          <w:rFonts w:ascii="Times New Roman" w:eastAsia="Times New Roman" w:hAnsi="Times New Roman"/>
          <w:color w:val="000000"/>
          <w:spacing w:val="-1"/>
          <w:lang w:eastAsia="ar-SA"/>
        </w:rPr>
        <w:t xml:space="preserve">con cautela nei pazienti che possono essere a rischio di aumentato sanguinamento in seguito a trauma, chirurgia o altre condizioni patologiche e nei pazienti in trattamento con ASA, eparina, inibitori della </w:t>
      </w:r>
      <w:r>
        <w:rPr>
          <w:rFonts w:ascii="Times New Roman" w:eastAsia="Times New Roman" w:hAnsi="Times New Roman"/>
          <w:color w:val="000000"/>
          <w:lang w:eastAsia="ar-SA"/>
        </w:rPr>
        <w:t xml:space="preserve">glicoproteina IIb/IIIa o farmaci antinfiammatori non steroidei </w:t>
      </w:r>
      <w:r>
        <w:rPr>
          <w:rFonts w:ascii="Times New Roman" w:eastAsia="Times New Roman" w:hAnsi="Times New Roman"/>
          <w:lang w:eastAsia="ar-SA"/>
        </w:rPr>
        <w:t xml:space="preserve">(FANS) </w:t>
      </w:r>
      <w:r>
        <w:rPr>
          <w:rFonts w:ascii="Times New Roman" w:eastAsia="Times New Roman" w:hAnsi="Times New Roman"/>
          <w:color w:val="000000"/>
          <w:lang w:eastAsia="ar-SA"/>
        </w:rPr>
        <w:t>compresi gli inibitori della COX-2</w:t>
      </w:r>
      <w:r>
        <w:rPr>
          <w:rFonts w:ascii="Times New Roman" w:hAnsi="Times New Roman"/>
        </w:rPr>
        <w:t xml:space="preserve">, o gli inibitori selettivi della ricaptazione della serotonina (SSRI), </w:t>
      </w:r>
      <w:r>
        <w:t xml:space="preserve">o </w:t>
      </w:r>
      <w:r>
        <w:rPr>
          <w:rFonts w:ascii="Times New Roman" w:hAnsi="Times New Roman"/>
        </w:rPr>
        <w:t>forti induttori del CYP2C19 o altri farmaci associati a rischio di sanguinamento come la pentossifillina (vedere paragrafo 4.5)</w:t>
      </w:r>
      <w:r>
        <w:rPr>
          <w:rFonts w:ascii="Times New Roman" w:eastAsia="Times New Roman" w:hAnsi="Times New Roman"/>
          <w:color w:val="000000"/>
          <w:lang w:eastAsia="ar-SA"/>
        </w:rPr>
        <w:t xml:space="preserve">. </w:t>
      </w:r>
      <w:r>
        <w:rPr>
          <w:rFonts w:ascii="Times New Roman" w:eastAsia="Times New Roman" w:hAnsi="Times New Roman"/>
          <w:color w:val="000000"/>
        </w:rPr>
        <w:t>A causa dell’aumentato rischio di emorragia, la triplice terapia antiaggregante (clopidogrel + ASA + dipiridamolo) per la prevenzione secondaria dell’ictus non è raccomandata nei pazienti con ictus ischemico acuto non cardioembolico o TIA (vedere paragrafo 4.5 e paragrafo 4.8).</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lang w:eastAsia="ar-SA"/>
        </w:rPr>
        <w:lastRenderedPageBreak/>
        <w:t xml:space="preserve">I </w:t>
      </w:r>
      <w:r>
        <w:rPr>
          <w:rFonts w:ascii="Times New Roman" w:eastAsia="Times New Roman" w:hAnsi="Times New Roman"/>
          <w:color w:val="000000"/>
          <w:spacing w:val="-1"/>
          <w:lang w:eastAsia="ar-SA"/>
        </w:rPr>
        <w:t xml:space="preserve">pazienti devono essere accuratamente seguiti per individuare ogni segno di sanguinamento, compreso il sanguinamento occulto, in particolare durante le prime settimane di trattamento e/o dopo procedure </w:t>
      </w:r>
      <w:r>
        <w:rPr>
          <w:rFonts w:ascii="Times New Roman" w:eastAsia="Times New Roman" w:hAnsi="Times New Roman"/>
          <w:color w:val="000000"/>
          <w:lang w:eastAsia="ar-SA"/>
        </w:rPr>
        <w:t xml:space="preserve">cardiache invasive o interventi chirurgici. La somministrazione contemporanea di clopidogrel e </w:t>
      </w:r>
      <w:r>
        <w:rPr>
          <w:rFonts w:ascii="Times New Roman" w:eastAsia="Times New Roman" w:hAnsi="Times New Roman"/>
          <w:color w:val="000000"/>
          <w:spacing w:val="1"/>
          <w:lang w:eastAsia="ar-SA"/>
        </w:rPr>
        <w:t xml:space="preserve">anticoagulanti orali non è consigliata dato che può determinare l'aumento dell'intensità dei </w:t>
      </w:r>
      <w:r>
        <w:rPr>
          <w:rFonts w:ascii="Times New Roman" w:eastAsia="Times New Roman" w:hAnsi="Times New Roman"/>
          <w:color w:val="000000"/>
          <w:spacing w:val="-1"/>
          <w:lang w:eastAsia="ar-SA"/>
        </w:rPr>
        <w:t>sanguinamenti (vedere paragrafo 4.5).</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 xml:space="preserve">Se un paziente deve sottoporsi ad intervento chirurgico elettivo per il quale un'attività antiaggregante piastrinica è temporaneamente non consigliabile, occorre interrompere l'uso di clopidogrel 7 giorni prima dell'intervento. Prima di essere sottoposti ad eventuale intervento chirurgico e prima di </w:t>
      </w:r>
      <w:r>
        <w:rPr>
          <w:rFonts w:ascii="Times New Roman" w:eastAsia="Times New Roman" w:hAnsi="Times New Roman"/>
          <w:color w:val="000000"/>
          <w:spacing w:val="-1"/>
          <w:lang w:eastAsia="ar-SA"/>
        </w:rPr>
        <w:t xml:space="preserve">assumere un nuovo farmaco i pazienti devono avvisare il medico ed il dentista che sono in trattamento </w:t>
      </w:r>
      <w:r>
        <w:rPr>
          <w:rFonts w:ascii="Times New Roman" w:eastAsia="Times New Roman" w:hAnsi="Times New Roman"/>
          <w:color w:val="000000"/>
          <w:lang w:eastAsia="ar-SA"/>
        </w:rPr>
        <w:t>con clopidogrel. Clopidogrel prolunga il tempo di sanguinamento e va usato con cautela in pazienti che presentino lesioni a tendenza emorragica (particolarmente gastrointestinali e intraoculari).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 xml:space="preserve">I pazienti devono essere avvertiti che l'uso di clopidogrel (da solo o in associazione con ASA) </w:t>
      </w:r>
      <w:r>
        <w:rPr>
          <w:rFonts w:ascii="Times New Roman" w:eastAsia="Times New Roman" w:hAnsi="Times New Roman"/>
          <w:color w:val="000000"/>
          <w:spacing w:val="-1"/>
          <w:lang w:eastAsia="ar-SA"/>
        </w:rPr>
        <w:t xml:space="preserve">potrebbe prolungare un eventuale sanguinamento e che devono informare il medico di ogni emorragia </w:t>
      </w:r>
      <w:r>
        <w:rPr>
          <w:rFonts w:ascii="Times New Roman" w:eastAsia="Times New Roman" w:hAnsi="Times New Roman"/>
          <w:color w:val="000000"/>
          <w:lang w:eastAsia="ar-SA"/>
        </w:rPr>
        <w:t>anomala (localizzazione o durata) che si possa manifestare.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L’uso della dose di carico di clopidogrel 600 mg non è raccomandato nei pazienti con sindrome coronarica acuta senza innalzamento del tratto ST e di età ≥75 anni a causa dell'aumentato rischio di sanguinamento in questa popolazione.</w:t>
      </w:r>
    </w:p>
    <w:p>
      <w:pPr>
        <w:spacing w:after="0" w:line="240" w:lineRule="auto"/>
        <w:rPr>
          <w:rFonts w:ascii="Times New Roman" w:eastAsia="Times New Roman" w:hAnsi="Times New Roman"/>
          <w:color w:val="000000"/>
          <w:lang w:eastAsia="ar-SA"/>
        </w:rPr>
      </w:pPr>
    </w:p>
    <w:p>
      <w:pPr>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A causa dei dati clinici limitati nei pazienti di età ≥75 anni con STEMI sottoposti a PCI e dell’aumentato rischio di sanguinamento, l’uso della dose di carico di clopidogrel 600 mg deve essere preso in considerazione solo dopo una valutazione individuale del rischio di sanguinamento del paziente da parte del medico.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Porpora trombotica trombocitopenica (PTT)</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Molto raramente, in seguito all'uso di clopidogrel, talvolta dopo una breve esposizione, è stata segnalata porpora trombotica trombocitopenica (PTT). Questa è caratterizzata da trombocitopenia e </w:t>
      </w:r>
      <w:r>
        <w:rPr>
          <w:rFonts w:ascii="Times New Roman" w:eastAsia="Times New Roman" w:hAnsi="Times New Roman"/>
          <w:color w:val="000000"/>
          <w:spacing w:val="-1"/>
          <w:lang w:eastAsia="ar-SA"/>
        </w:rPr>
        <w:t xml:space="preserve">anemia emolitica microangiopatica associata o a problemi neurologici, disfunzione renale o a febbre. </w:t>
      </w:r>
      <w:r>
        <w:rPr>
          <w:rFonts w:ascii="Times New Roman" w:eastAsia="Times New Roman" w:hAnsi="Times New Roman"/>
          <w:color w:val="000000"/>
          <w:lang w:eastAsia="ar-SA"/>
        </w:rPr>
        <w:t xml:space="preserve">La PTT è una condizione potenzialmente fatale che richiede un trattamento immediato compresa la </w:t>
      </w:r>
      <w:r>
        <w:rPr>
          <w:rFonts w:ascii="Times New Roman" w:eastAsia="Times New Roman" w:hAnsi="Times New Roman"/>
          <w:color w:val="000000"/>
          <w:spacing w:val="-1"/>
          <w:lang w:eastAsia="ar-SA"/>
        </w:rPr>
        <w:t>plasmaferesi.</w:t>
      </w:r>
    </w:p>
    <w:p>
      <w:pPr>
        <w:spacing w:after="0" w:line="240" w:lineRule="auto"/>
        <w:rPr>
          <w:rFonts w:ascii="Times New Roman" w:eastAsia="Times New Roman" w:hAnsi="Times New Roman"/>
          <w:i/>
        </w:rPr>
      </w:pPr>
    </w:p>
    <w:p>
      <w:pPr>
        <w:spacing w:after="0" w:line="240" w:lineRule="auto"/>
        <w:rPr>
          <w:rFonts w:ascii="Times New Roman" w:eastAsia="Times New Roman" w:hAnsi="Times New Roman"/>
          <w:i/>
        </w:rPr>
      </w:pPr>
      <w:r>
        <w:rPr>
          <w:rFonts w:ascii="Times New Roman" w:eastAsia="Times New Roman" w:hAnsi="Times New Roman"/>
          <w:i/>
        </w:rPr>
        <w:t>Emofilia acquisita</w:t>
      </w:r>
    </w:p>
    <w:p>
      <w:pPr>
        <w:spacing w:after="0" w:line="240" w:lineRule="auto"/>
        <w:rPr>
          <w:rFonts w:ascii="Times New Roman" w:eastAsia="Times New Roman" w:hAnsi="Times New Roman"/>
        </w:rPr>
      </w:pPr>
      <w:r>
        <w:rPr>
          <w:rFonts w:ascii="Times New Roman" w:eastAsia="Times New Roman" w:hAnsi="Times New Roman"/>
        </w:rPr>
        <w:t>L’emofilia acquisita è stata riportata in seguito all’uso di clopidogrel. In caso di isolato prolungamento del Tempo di Tromboplastina Parziale attivata (aPTT) con o senza emorragia in atto, l’emofilia acquisita dovrebbe essere presa in considerazione. Pazienti con una diagnosi confermata di emofilia acquisita dovrebbero essere gestiti e trattati da medici specialisti. Il trattamento con clopidogrel deve essere interrotto.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Ictus ischemico recente</w:t>
      </w:r>
    </w:p>
    <w:p>
      <w:pPr>
        <w:spacing w:after="0" w:line="240" w:lineRule="auto"/>
        <w:ind w:left="360"/>
        <w:rPr>
          <w:i/>
        </w:rPr>
      </w:pPr>
    </w:p>
    <w:p>
      <w:pPr>
        <w:numPr>
          <w:ilvl w:val="0"/>
          <w:numId w:val="29"/>
        </w:numPr>
        <w:spacing w:after="0" w:line="240" w:lineRule="auto"/>
        <w:rPr>
          <w:rFonts w:ascii="Times New Roman" w:eastAsia="Times New Roman" w:hAnsi="Times New Roman"/>
          <w:i/>
        </w:rPr>
      </w:pPr>
      <w:r>
        <w:rPr>
          <w:rFonts w:ascii="Times New Roman" w:eastAsia="Times New Roman" w:hAnsi="Times New Roman"/>
        </w:rPr>
        <w:t xml:space="preserve"> </w:t>
      </w:r>
      <w:r>
        <w:rPr>
          <w:rFonts w:ascii="Times New Roman" w:eastAsia="Times New Roman" w:hAnsi="Times New Roman"/>
          <w:i/>
        </w:rPr>
        <w:t>Inizio della terapia</w:t>
      </w:r>
    </w:p>
    <w:p>
      <w:pPr>
        <w:numPr>
          <w:ilvl w:val="0"/>
          <w:numId w:val="35"/>
        </w:numPr>
        <w:tabs>
          <w:tab w:val="left" w:pos="851"/>
        </w:tabs>
        <w:spacing w:after="0" w:line="240" w:lineRule="auto"/>
        <w:rPr>
          <w:rFonts w:ascii="Times New Roman" w:eastAsia="Times New Roman" w:hAnsi="Times New Roman"/>
        </w:rPr>
      </w:pPr>
      <w:r>
        <w:rPr>
          <w:rFonts w:ascii="Times New Roman" w:eastAsia="Times New Roman" w:hAnsi="Times New Roman"/>
        </w:rPr>
        <w:t>Nei pazienti con IS acuto minore o con TIA a rischio da moderato ad alto, la doppia terapia antipiastrinica (clopidogrel e ASA) deve essere iniziata entro 24 ore dall'insorgenza dell'evento.</w:t>
      </w:r>
    </w:p>
    <w:p>
      <w:pPr>
        <w:numPr>
          <w:ilvl w:val="0"/>
          <w:numId w:val="35"/>
        </w:numPr>
        <w:tabs>
          <w:tab w:val="left" w:pos="851"/>
        </w:tabs>
        <w:spacing w:after="0" w:line="240" w:lineRule="auto"/>
        <w:rPr>
          <w:rFonts w:ascii="Times New Roman" w:eastAsia="Times New Roman" w:hAnsi="Times New Roman"/>
        </w:rPr>
      </w:pPr>
      <w:r>
        <w:rPr>
          <w:rFonts w:ascii="Times New Roman" w:eastAsia="Times New Roman" w:hAnsi="Times New Roman"/>
        </w:rPr>
        <w:t>Non sono disponibili dati sul rapporto rischio-beneficio della doppia terapia antipiastrinica a breve termine nei pazienti con IS acuto minore o TIA a rischio da moderato ad alto, con una storia di emorragia intracranica (non traumatica).</w:t>
      </w:r>
    </w:p>
    <w:p>
      <w:pPr>
        <w:numPr>
          <w:ilvl w:val="0"/>
          <w:numId w:val="35"/>
        </w:numPr>
        <w:tabs>
          <w:tab w:val="left" w:pos="851"/>
        </w:tabs>
        <w:spacing w:after="0" w:line="240" w:lineRule="auto"/>
        <w:rPr>
          <w:rFonts w:ascii="Times New Roman" w:eastAsia="Times New Roman" w:hAnsi="Times New Roman"/>
        </w:rPr>
      </w:pPr>
      <w:r>
        <w:rPr>
          <w:rFonts w:ascii="Times New Roman" w:eastAsia="Times New Roman" w:hAnsi="Times New Roman"/>
        </w:rPr>
        <w:t>Nei pazienti con IS non minore, la monoterapia con clopidogrel deve essere iniziata solo dopo i primi 7 giorni dall'evento.</w:t>
      </w:r>
    </w:p>
    <w:p>
      <w:pPr>
        <w:numPr>
          <w:ilvl w:val="0"/>
          <w:numId w:val="29"/>
        </w:numPr>
        <w:spacing w:after="0" w:line="240" w:lineRule="auto"/>
        <w:rPr>
          <w:rFonts w:ascii="Times New Roman" w:eastAsia="Times New Roman" w:hAnsi="Times New Roman"/>
          <w:i/>
        </w:rPr>
      </w:pPr>
      <w:r>
        <w:rPr>
          <w:rFonts w:ascii="Times New Roman" w:eastAsia="Times New Roman" w:hAnsi="Times New Roman"/>
          <w:i/>
        </w:rPr>
        <w:t>Pazienti con IS non minore (NIHSS&gt; 4)</w:t>
      </w:r>
    </w:p>
    <w:p>
      <w:pPr>
        <w:tabs>
          <w:tab w:val="left" w:pos="426"/>
        </w:tabs>
        <w:spacing w:after="0" w:line="240" w:lineRule="auto"/>
        <w:ind w:left="426"/>
        <w:rPr>
          <w:rFonts w:ascii="Times New Roman" w:eastAsia="Times New Roman" w:hAnsi="Times New Roman"/>
        </w:rPr>
      </w:pPr>
      <w:r>
        <w:rPr>
          <w:rFonts w:ascii="Times New Roman" w:eastAsia="Times New Roman" w:hAnsi="Times New Roman"/>
        </w:rPr>
        <w:t>Data la mancanza di dati, l'uso della doppia terapia antipiastrinica non è raccomandato (vedere paragrafo 4.1).</w:t>
      </w:r>
    </w:p>
    <w:p>
      <w:pPr>
        <w:numPr>
          <w:ilvl w:val="0"/>
          <w:numId w:val="29"/>
        </w:numPr>
        <w:spacing w:after="0" w:line="240" w:lineRule="auto"/>
        <w:rPr>
          <w:rFonts w:ascii="Times New Roman" w:eastAsia="Times New Roman" w:hAnsi="Times New Roman"/>
          <w:i/>
        </w:rPr>
      </w:pPr>
      <w:r>
        <w:rPr>
          <w:rFonts w:ascii="Times New Roman" w:eastAsia="Times New Roman" w:hAnsi="Times New Roman"/>
          <w:i/>
        </w:rPr>
        <w:t>IS minore recente o TIA a rischio da moderato ad alto in pazienti per i quali è indicato o pianificato l'intervento</w:t>
      </w:r>
    </w:p>
    <w:p>
      <w:pPr>
        <w:shd w:val="clear" w:color="auto" w:fill="FFFFFF"/>
        <w:tabs>
          <w:tab w:val="left" w:pos="567"/>
        </w:tabs>
        <w:spacing w:after="0" w:line="240" w:lineRule="auto"/>
        <w:ind w:left="284"/>
        <w:rPr>
          <w:rFonts w:ascii="Times New Roman" w:eastAsia="Times New Roman" w:hAnsi="Times New Roman"/>
        </w:rPr>
      </w:pPr>
      <w:r>
        <w:rPr>
          <w:rFonts w:ascii="Times New Roman" w:eastAsia="Times New Roman" w:hAnsi="Times New Roman"/>
        </w:rPr>
        <w:t>Non ci sono dati a supporto dell'uso della doppia terapia antipiastrinica in pazienti per i quali è indicato il trattamento con endoarteriectomia carotidea o trombectomia intravascolare, o in pazienti in attesa di trombolisi o terapia anticoagulante. La doppia terapia antipiastrinica non è raccomandata in queste situazioni.</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Citocromo P450 2C19 (CYP2C19)</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Farmacogenetica: Quando clopidogrel viene somministrato al dosaggio raccomandato nei pazienti metabolizzatori lenti del CYP2C19, la formazione del metabolita attivo di clopidogrel è ridotta e l’effetto sulla funzionalità piastrinica è minore. Sono disponibili dei test per identificare il genotipo CYP2C19 di un paziente.</w:t>
      </w:r>
    </w:p>
    <w:p>
      <w:pPr>
        <w:widowControl w:val="0"/>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Poiché clopidogrel è trasformato nel suo metabolita attivo in parte dal CYP2C19, ci si attende che l’uso di medicinali che inibiscono l’attività di questo enzima porti ad una riduzione dei livelli farmacologici del metabolita attivo di clopidogrel. La rilevanza clinica di questa interazione non è certa. Per precauzione, l’uso concomitante di inibitori forti o moderati del CYP2C19 deve essere scoraggiato (vedere paragrafo 4.5 per un elenco degli inibitori del CYP2C19; vedere anche paragrafo 5.2).</w:t>
      </w:r>
    </w:p>
    <w:p>
      <w:pPr>
        <w:widowControl w:val="0"/>
        <w:shd w:val="clear" w:color="auto" w:fill="FFFFFF"/>
        <w:suppressAutoHyphens/>
        <w:autoSpaceDE w:val="0"/>
        <w:spacing w:after="0" w:line="240" w:lineRule="auto"/>
        <w:rPr>
          <w:rFonts w:ascii="Times New Roman" w:hAnsi="Times New Roman"/>
        </w:rPr>
      </w:pPr>
    </w:p>
    <w:p>
      <w:pPr>
        <w:widowControl w:val="0"/>
        <w:shd w:val="clear" w:color="auto" w:fill="FFFFFF"/>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Ci si attende che l'uso di medicinali che inducono l'attività di CYP2C19 porti un aumento dei livelli farmacologici del metabolita attivo di clopidogrel, e questo può potenziare il rischio di sanguinamento. A titolo precauzionale, l'uso concomitante di forti induttori del CYP2C19 deve essere scoraggiato (vedere paragrafo 4.5).</w:t>
      </w:r>
    </w:p>
    <w:p>
      <w:pPr>
        <w:spacing w:after="0" w:line="240" w:lineRule="auto"/>
        <w:rPr>
          <w:rFonts w:ascii="Times New Roman" w:eastAsia="Times New Roman" w:hAnsi="Times New Roman"/>
          <w:i/>
        </w:rPr>
      </w:pPr>
    </w:p>
    <w:p>
      <w:pPr>
        <w:spacing w:after="0" w:line="240" w:lineRule="auto"/>
        <w:rPr>
          <w:rFonts w:ascii="Times New Roman" w:hAnsi="Times New Roman"/>
          <w:i/>
        </w:rPr>
      </w:pPr>
      <w:r>
        <w:rPr>
          <w:rFonts w:ascii="Times New Roman" w:hAnsi="Times New Roman"/>
          <w:i/>
        </w:rPr>
        <w:t>Substrati del CYP2C8</w:t>
      </w:r>
    </w:p>
    <w:p>
      <w:pPr>
        <w:spacing w:after="0" w:line="240" w:lineRule="auto"/>
        <w:rPr>
          <w:rFonts w:ascii="Times New Roman" w:hAnsi="Times New Roman"/>
        </w:rPr>
      </w:pPr>
      <w:r>
        <w:rPr>
          <w:rFonts w:ascii="Times New Roman" w:hAnsi="Times New Roman"/>
        </w:rPr>
        <w:t>Si richiede cautela nei pazienti trattati in maniera concomitante con clopidogrel e medicinali che sono substrati del CYP2C8 (vedere paragrafo 4.5).</w:t>
      </w:r>
    </w:p>
    <w:p>
      <w:pPr>
        <w:spacing w:after="0" w:line="240" w:lineRule="auto"/>
        <w:rPr>
          <w:rFonts w:ascii="Times New Roman" w:eastAsia="Times New Roman" w:hAnsi="Times New Roman"/>
          <w:i/>
        </w:rPr>
      </w:pPr>
    </w:p>
    <w:p>
      <w:pPr>
        <w:spacing w:after="0" w:line="240" w:lineRule="auto"/>
        <w:rPr>
          <w:rFonts w:ascii="Times New Roman" w:eastAsia="Times New Roman" w:hAnsi="Times New Roman"/>
          <w:i/>
        </w:rPr>
      </w:pPr>
      <w:r>
        <w:rPr>
          <w:rFonts w:ascii="Times New Roman" w:eastAsia="Times New Roman" w:hAnsi="Times New Roman"/>
          <w:i/>
        </w:rPr>
        <w:t>Reazioni crociate tra le tienopiridine</w:t>
      </w:r>
    </w:p>
    <w:p>
      <w:pPr>
        <w:spacing w:after="0" w:line="240" w:lineRule="auto"/>
        <w:rPr>
          <w:rFonts w:ascii="Times New Roman" w:eastAsia="Times New Roman" w:hAnsi="Times New Roman"/>
        </w:rPr>
      </w:pPr>
      <w:r>
        <w:rPr>
          <w:rFonts w:ascii="Times New Roman" w:eastAsia="Times New Roman" w:hAnsi="Times New Roman"/>
        </w:rPr>
        <w:t>I pazienti devono essere valutati per la storia clinica di ipersensibilità alle tienopiridine (come clopidogrel, ticlopidina, prasugrel) dal momento che una reattività crociata è stata riportata tra le tienopiridine (vedere paragrafo 4.8 “Effetti indesiderati”). Le tienopiridine possono provocare reazioni allergiche da moderate a gravi come rash, angioedema o reazioni ematologiche crociate quali trombocitopenia e neutropenia. I pazienti che hanno manifestato una precedente reazione allergica e/o ematologica ad una tienopiridina possono avere un aumentato rischio di sviluppare la stessa o un’altra reazione ad un’altra tienopiridina. Si consiglia di monitorare i segni di ipersensibilità in pazienti con un’allergia nota alle tienopiridine.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Insufficienza renale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L'esperienza terapeutica con clopidogrel è limitata in pazienti con insufficienza renale. Clopidogrel </w:t>
      </w:r>
      <w:r>
        <w:rPr>
          <w:rFonts w:ascii="Times New Roman" w:eastAsia="Times New Roman" w:hAnsi="Times New Roman"/>
          <w:color w:val="000000"/>
          <w:lang w:eastAsia="ar-SA"/>
        </w:rPr>
        <w:t>deve quindi essere usato con cautela in questi pazienti (vedere paragrafo 4.2).</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Insufficienza epatica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L'esperienza terapeutica con clopidogrel è limitata in pazienti con moderata disfunzione epatica che </w:t>
      </w:r>
      <w:r>
        <w:rPr>
          <w:rFonts w:ascii="Times New Roman" w:eastAsia="Times New Roman" w:hAnsi="Times New Roman"/>
          <w:color w:val="000000"/>
          <w:lang w:eastAsia="ar-SA"/>
        </w:rPr>
        <w:t>possono avere una diatesi emorragica. Clopidogrel deve quindi essere usato con cautela in questi pazienti (vedere paragrafo 4.2).</w:t>
      </w:r>
    </w:p>
    <w:p>
      <w:pPr>
        <w:widowControl w:val="0"/>
        <w:shd w:val="clear" w:color="auto" w:fill="FFFFFF"/>
        <w:suppressAutoHyphens/>
        <w:autoSpaceDE w:val="0"/>
        <w:spacing w:after="0" w:line="240" w:lineRule="auto"/>
        <w:rPr>
          <w:rFonts w:ascii="Times New Roman" w:hAnsi="Times New Roman"/>
          <w:color w:val="000000"/>
          <w:spacing w:val="-1"/>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4.5</w:t>
      </w:r>
      <w:r>
        <w:rPr>
          <w:rFonts w:ascii="Times New Roman" w:eastAsia="Times New Roman" w:hAnsi="Times New Roman"/>
          <w:b/>
          <w:bCs/>
          <w:color w:val="000000"/>
          <w:spacing w:val="1"/>
          <w:lang w:eastAsia="ar-SA"/>
        </w:rPr>
        <w:tab/>
        <w:t>Interazioni con altri medicinali ed altre forme di interazione</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eastAsia="ar-SA"/>
        </w:rPr>
      </w:pPr>
    </w:p>
    <w:p>
      <w:pPr>
        <w:spacing w:after="0" w:line="240" w:lineRule="auto"/>
        <w:rPr>
          <w:rFonts w:ascii="Times New Roman" w:hAnsi="Times New Roman"/>
          <w:bCs/>
        </w:rPr>
      </w:pPr>
      <w:r>
        <w:rPr>
          <w:rFonts w:ascii="Times New Roman" w:hAnsi="Times New Roman"/>
          <w:bCs/>
          <w:i/>
        </w:rPr>
        <w:t>Medicinali associati a rischio di sanguinamento</w:t>
      </w:r>
      <w:r>
        <w:rPr>
          <w:rFonts w:ascii="Times New Roman" w:hAnsi="Times New Roman"/>
          <w:bCs/>
        </w:rPr>
        <w:t>: esiste un aumentato rischio di sanguinamento a causa del potenziale effetto additivo. La somministrazione concomitante di medicinali associati a rischio di sanguinamento deve essere intrapresa con cautela(vedere paragrafo 4.4).</w:t>
      </w:r>
    </w:p>
    <w:p>
      <w:pPr>
        <w:spacing w:after="0" w:line="240" w:lineRule="auto"/>
        <w:rPr>
          <w:rFonts w:ascii="Times New Roman" w:hAnsi="Times New Roman"/>
          <w:bCs/>
        </w:rPr>
      </w:pPr>
    </w:p>
    <w:p>
      <w:pPr>
        <w:widowControl w:val="0"/>
        <w:shd w:val="clear" w:color="auto" w:fill="FFFFFF"/>
        <w:suppressAutoHyphens/>
        <w:autoSpaceDE w:val="0"/>
        <w:spacing w:after="0" w:line="240" w:lineRule="auto"/>
        <w:rPr>
          <w:rFonts w:ascii="Times New Roman" w:eastAsia="Times New Roman" w:hAnsi="Times New Roman"/>
          <w:color w:val="000000"/>
          <w:spacing w:val="-3"/>
          <w:lang w:eastAsia="ar-SA"/>
        </w:rPr>
      </w:pPr>
      <w:r>
        <w:rPr>
          <w:rFonts w:ascii="Times New Roman" w:eastAsia="Times New Roman" w:hAnsi="Times New Roman"/>
          <w:i/>
          <w:iCs/>
          <w:color w:val="000000"/>
          <w:spacing w:val="-1"/>
          <w:lang w:eastAsia="ar-SA"/>
        </w:rPr>
        <w:t xml:space="preserve">Anticoagulanti orali: </w:t>
      </w:r>
      <w:r>
        <w:rPr>
          <w:rFonts w:ascii="Times New Roman" w:eastAsia="Times New Roman" w:hAnsi="Times New Roman"/>
          <w:color w:val="000000"/>
          <w:spacing w:val="-1"/>
          <w:lang w:eastAsia="ar-SA"/>
        </w:rPr>
        <w:t xml:space="preserve">la somministrazione contemporanea di clopidogrel e anticoagulanti orali non è </w:t>
      </w:r>
      <w:r>
        <w:rPr>
          <w:rFonts w:ascii="Times New Roman" w:eastAsia="Times New Roman" w:hAnsi="Times New Roman"/>
          <w:color w:val="000000"/>
          <w:spacing w:val="1"/>
          <w:lang w:eastAsia="ar-SA"/>
        </w:rPr>
        <w:t xml:space="preserve">consigliata </w:t>
      </w:r>
      <w:r>
        <w:rPr>
          <w:rFonts w:ascii="Times New Roman" w:eastAsia="Times New Roman" w:hAnsi="Times New Roman"/>
          <w:lang w:eastAsia="ar-SA"/>
        </w:rPr>
        <w:t>dato che può determinare l’aumento dell’intensità</w:t>
      </w:r>
      <w:r>
        <w:rPr>
          <w:rFonts w:ascii="Times New Roman" w:eastAsia="Times New Roman" w:hAnsi="Times New Roman"/>
          <w:color w:val="000000"/>
          <w:spacing w:val="1"/>
          <w:lang w:eastAsia="ar-SA"/>
        </w:rPr>
        <w:t xml:space="preserve"> dei sanguinamenti (vedere paragrafo </w:t>
      </w:r>
      <w:r>
        <w:rPr>
          <w:rFonts w:ascii="Times New Roman" w:eastAsia="Times New Roman" w:hAnsi="Times New Roman"/>
          <w:color w:val="000000"/>
          <w:spacing w:val="-3"/>
          <w:lang w:eastAsia="ar-SA"/>
        </w:rPr>
        <w:t>4.4).</w:t>
      </w:r>
      <w:r>
        <w:rPr>
          <w:rFonts w:ascii="Times New Roman" w:eastAsia="Times New Roman" w:hAnsi="Times New Roman"/>
          <w:lang w:eastAsia="ar-SA"/>
        </w:rPr>
        <w:t xml:space="preserve"> Anche se la somministrazione di clopidogrel 75 mg/die non ha modificato la farmacocinetica di S-warfarin o l’International Normalised Ratio (INR) nei pazienti in trattamento a lungo termine con warfarin, la co-somministrazione di clopidogrel e warfarin aumenta il rischio di sanguinamento a causa degli effetti indipendenti sull’emostasi.</w:t>
      </w:r>
    </w:p>
    <w:p>
      <w:pPr>
        <w:widowControl w:val="0"/>
        <w:shd w:val="clear" w:color="auto" w:fill="FFFFFF"/>
        <w:suppressAutoHyphens/>
        <w:autoSpaceDE w:val="0"/>
        <w:spacing w:after="0" w:line="240" w:lineRule="auto"/>
        <w:rPr>
          <w:rFonts w:ascii="Times New Roman" w:eastAsia="Times New Roman" w:hAnsi="Times New Roman"/>
          <w:i/>
          <w:i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3"/>
          <w:lang w:eastAsia="ar-SA"/>
        </w:rPr>
      </w:pPr>
      <w:r>
        <w:rPr>
          <w:rFonts w:ascii="Times New Roman" w:eastAsia="Times New Roman" w:hAnsi="Times New Roman"/>
          <w:i/>
          <w:iCs/>
          <w:color w:val="000000"/>
          <w:lang w:eastAsia="ar-SA"/>
        </w:rPr>
        <w:t xml:space="preserve">Inibitori della glicoproteina IIb/IIIa: </w:t>
      </w:r>
      <w:r>
        <w:rPr>
          <w:rFonts w:ascii="Times New Roman" w:eastAsia="Times New Roman" w:hAnsi="Times New Roman"/>
          <w:color w:val="000000"/>
          <w:lang w:eastAsia="ar-SA"/>
        </w:rPr>
        <w:t xml:space="preserve">clopidogrel deve essere usato con cautela nei pazienti che ricevono in concomitanza inibitori della glicoproteina IIb/IIIa (vedere paragrafo </w:t>
      </w:r>
      <w:r>
        <w:rPr>
          <w:rFonts w:ascii="Times New Roman" w:eastAsia="Times New Roman" w:hAnsi="Times New Roman"/>
          <w:color w:val="000000"/>
          <w:spacing w:val="-3"/>
          <w:lang w:eastAsia="ar-SA"/>
        </w:rPr>
        <w:t>4.4).</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i/>
          <w:iCs/>
          <w:color w:val="000000"/>
          <w:spacing w:val="-1"/>
          <w:lang w:eastAsia="ar-SA"/>
        </w:rPr>
        <w:t xml:space="preserve">Acido acetilsalicilico (ASA): </w:t>
      </w:r>
      <w:r>
        <w:rPr>
          <w:rFonts w:ascii="Times New Roman" w:eastAsia="Times New Roman" w:hAnsi="Times New Roman"/>
          <w:color w:val="000000"/>
          <w:spacing w:val="-1"/>
          <w:lang w:eastAsia="ar-SA"/>
        </w:rPr>
        <w:t xml:space="preserve">ASA non modifica l'inibizione, mediata da clopidogrel, dell'aggregazione </w:t>
      </w:r>
      <w:r>
        <w:rPr>
          <w:rFonts w:ascii="Times New Roman" w:eastAsia="Times New Roman" w:hAnsi="Times New Roman"/>
          <w:color w:val="000000"/>
          <w:lang w:eastAsia="ar-SA"/>
        </w:rPr>
        <w:t>piastrinica ADP-indotta; clopidogrel però potenzia l'effetto di ASA sull'aggregazione piastrinica indotta dal collagene. Tuttavia, la somministrazione contemporanea di 500 mg di ASA due volte die per un giorno, non ha ulteriormente prolungato in modo significativo il tempo di sanguinamento indotto da clopidogrel. Tra clopidogrel e acido acetilsalicilico è possibile un'interazione farmacodinamica, con un aumento del rischio di sanguinamento. Quindi l'uso concomitante deve essere effettuato con cautela (vedere paragrafo 4.4). Tuttavia, clopidogrel e ASA sono stati somministrati insieme per periodi fino a 1 anno (vedere paragrafo 5.1).</w:t>
      </w:r>
    </w:p>
    <w:p>
      <w:pPr>
        <w:widowControl w:val="0"/>
        <w:shd w:val="clear" w:color="auto" w:fill="FFFFFF"/>
        <w:suppressAutoHyphens/>
        <w:autoSpaceDE w:val="0"/>
        <w:spacing w:after="0" w:line="240" w:lineRule="auto"/>
        <w:rPr>
          <w:rFonts w:ascii="Times New Roman" w:eastAsia="Times New Roman" w:hAnsi="Times New Roman"/>
          <w:i/>
          <w:i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i/>
          <w:iCs/>
          <w:color w:val="000000"/>
          <w:lang w:eastAsia="ar-SA"/>
        </w:rPr>
        <w:t xml:space="preserve">Eparina: </w:t>
      </w:r>
      <w:r>
        <w:rPr>
          <w:rFonts w:ascii="Times New Roman" w:eastAsia="Times New Roman" w:hAnsi="Times New Roman"/>
          <w:color w:val="000000"/>
          <w:lang w:eastAsia="ar-SA"/>
        </w:rPr>
        <w:t xml:space="preserve">in uno studio clinico condotto su soggetti sani, in seguito a somministrazione di clopidogrel </w:t>
      </w:r>
      <w:r>
        <w:rPr>
          <w:rFonts w:ascii="Times New Roman" w:eastAsia="Times New Roman" w:hAnsi="Times New Roman"/>
          <w:color w:val="000000"/>
          <w:spacing w:val="-1"/>
          <w:lang w:eastAsia="ar-SA"/>
        </w:rPr>
        <w:t xml:space="preserve">non si è resa necessaria nessuna modifica della dose di eparina né è stato alterato l'effetto dell'eparina </w:t>
      </w:r>
      <w:r>
        <w:rPr>
          <w:rFonts w:ascii="Times New Roman" w:eastAsia="Times New Roman" w:hAnsi="Times New Roman"/>
          <w:color w:val="000000"/>
          <w:lang w:eastAsia="ar-SA"/>
        </w:rPr>
        <w:t>sulla coagulazione. La somministrazione contemporanea di eparina non ha avuto alcun effetto sull'inibizione dell'aggregazione piastrinica indotta da clopidogrel. Tra clopidogrel e eparina è possibile un'interazione farmacodinamica, con un aumento del rischio di sanguinamento. Quindi l'uso concomitante deve essere effettuato con cautela (vedere paragrafo 4.4).</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i/>
          <w:iCs/>
          <w:color w:val="000000"/>
          <w:spacing w:val="-1"/>
          <w:lang w:eastAsia="ar-SA"/>
        </w:rPr>
        <w:t xml:space="preserve">Trombolitici: </w:t>
      </w:r>
      <w:r>
        <w:rPr>
          <w:rFonts w:ascii="Times New Roman" w:eastAsia="Times New Roman" w:hAnsi="Times New Roman"/>
          <w:color w:val="000000"/>
          <w:spacing w:val="-1"/>
          <w:lang w:eastAsia="ar-SA"/>
        </w:rPr>
        <w:t xml:space="preserve">la sicurezza della somministrazione contemporanea di clopidogrel, farmaci trombolitici </w:t>
      </w:r>
      <w:r>
        <w:rPr>
          <w:rFonts w:ascii="Times New Roman" w:eastAsia="Times New Roman" w:hAnsi="Times New Roman"/>
          <w:color w:val="000000"/>
          <w:lang w:eastAsia="ar-SA"/>
        </w:rPr>
        <w:t xml:space="preserve">fibrino o non-fibrino specifici ed eparine è stata studiata in pazienti con infarto miocardico acuto. </w:t>
      </w:r>
      <w:r>
        <w:rPr>
          <w:rFonts w:ascii="Times New Roman" w:eastAsia="Times New Roman" w:hAnsi="Times New Roman"/>
          <w:color w:val="000000"/>
          <w:spacing w:val="-1"/>
          <w:lang w:eastAsia="ar-SA"/>
        </w:rPr>
        <w:t xml:space="preserve">L'incidenza di sanguinamento clinicamente significativo era simile a quella osservata quando farmaci </w:t>
      </w:r>
      <w:r>
        <w:rPr>
          <w:rFonts w:ascii="Times New Roman" w:eastAsia="Times New Roman" w:hAnsi="Times New Roman"/>
          <w:color w:val="000000"/>
          <w:lang w:eastAsia="ar-SA"/>
        </w:rPr>
        <w:t>trombolitici ed eparina erano somministrati insieme con ASA (vedere paragrafo 4.8).</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bCs/>
          <w:i/>
          <w:lang w:eastAsia="ar-SA"/>
        </w:rPr>
        <w:t>FANS:</w:t>
      </w:r>
      <w:r>
        <w:rPr>
          <w:rFonts w:ascii="Times New Roman" w:eastAsia="Times New Roman" w:hAnsi="Times New Roman"/>
          <w:lang w:eastAsia="ar-SA"/>
        </w:rPr>
        <w:t xml:space="preserve"> </w:t>
      </w:r>
      <w:r>
        <w:rPr>
          <w:rFonts w:ascii="Times New Roman" w:eastAsia="Times New Roman" w:hAnsi="Times New Roman"/>
          <w:color w:val="000000"/>
          <w:spacing w:val="-1"/>
          <w:lang w:eastAsia="ar-SA"/>
        </w:rPr>
        <w:t xml:space="preserve">in uno studio clinico condotto su volontari sani, la </w:t>
      </w:r>
      <w:r>
        <w:rPr>
          <w:rFonts w:ascii="Times New Roman" w:eastAsia="Times New Roman" w:hAnsi="Times New Roman"/>
          <w:color w:val="000000"/>
          <w:lang w:eastAsia="ar-SA"/>
        </w:rPr>
        <w:t>somministrazione contemporanea di clopidogrel e naproxene ha determinato un aumento del sanguinamento gastrointestinale occulto. Tuttavia per la mancanza di studi di interazione con altri FANS, attualmente non risulta chiaro se esiste un aumento di rischio di sanguinamento gastrointestinale con tutti i FANS. Di conseguenza, la somministrazione contemporanea di FANS compresi gli inibitori della COX-2 e clopidogrel va eseguita con cautela (vedere paragrafo 4.4).</w:t>
      </w:r>
    </w:p>
    <w:p>
      <w:pPr>
        <w:spacing w:after="0" w:line="240" w:lineRule="auto"/>
        <w:rPr>
          <w:rFonts w:ascii="Times New Roman" w:eastAsia="Times New Roman" w:hAnsi="Times New Roman"/>
        </w:rPr>
      </w:pPr>
    </w:p>
    <w:p>
      <w:pPr>
        <w:spacing w:after="0" w:line="240" w:lineRule="auto"/>
        <w:rPr>
          <w:rFonts w:ascii="Times New Roman" w:eastAsia="Times New Roman" w:hAnsi="Times New Roman"/>
        </w:rPr>
      </w:pPr>
      <w:r>
        <w:rPr>
          <w:rFonts w:ascii="Times New Roman" w:eastAsia="Times New Roman" w:hAnsi="Times New Roman"/>
          <w:i/>
        </w:rPr>
        <w:t>Inibitori selettivi della ricaptazione della serotonina (SSRI):</w:t>
      </w:r>
      <w:r>
        <w:rPr>
          <w:rFonts w:ascii="Times New Roman" w:eastAsia="Times New Roman" w:hAnsi="Times New Roman"/>
        </w:rPr>
        <w:t xml:space="preserve"> dal momento che gli SSRI influenzano l'attivazione piastrinica e aumentano il rischio di sanguinamento, la somministrazione concomitante di SSRI con clopidogrel deve essere effettuata con cautela.</w:t>
      </w:r>
    </w:p>
    <w:p>
      <w:pPr>
        <w:widowControl w:val="0"/>
        <w:shd w:val="clear" w:color="auto" w:fill="FFFFFF"/>
        <w:suppressAutoHyphens/>
        <w:autoSpaceDE w:val="0"/>
        <w:spacing w:after="0" w:line="240" w:lineRule="auto"/>
        <w:rPr>
          <w:rFonts w:ascii="Times New Roman" w:eastAsia="Times New Roman" w:hAnsi="Times New Roman"/>
          <w:i/>
          <w:i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i/>
          <w:iCs/>
          <w:color w:val="000000"/>
          <w:lang w:eastAsia="ar-SA"/>
        </w:rPr>
      </w:pPr>
      <w:r>
        <w:rPr>
          <w:rFonts w:ascii="Times New Roman" w:eastAsia="Times New Roman" w:hAnsi="Times New Roman"/>
          <w:i/>
          <w:iCs/>
          <w:color w:val="000000"/>
          <w:lang w:eastAsia="ar-SA"/>
        </w:rPr>
        <w:t>Altre terapie concomitanti:</w:t>
      </w:r>
    </w:p>
    <w:p>
      <w:pPr>
        <w:widowControl w:val="0"/>
        <w:shd w:val="clear" w:color="auto" w:fill="FFFFFF"/>
        <w:suppressAutoHyphens/>
        <w:autoSpaceDE w:val="0"/>
        <w:spacing w:after="0" w:line="240" w:lineRule="auto"/>
        <w:rPr>
          <w:rFonts w:ascii="Times New Roman" w:eastAsia="Times New Roman" w:hAnsi="Times New Roman"/>
          <w:i/>
          <w:iCs/>
          <w:color w:val="000000"/>
          <w:lang w:eastAsia="ar-SA"/>
        </w:rPr>
      </w:pPr>
    </w:p>
    <w:p>
      <w:pPr>
        <w:spacing w:after="0" w:line="240" w:lineRule="auto"/>
        <w:rPr>
          <w:rFonts w:ascii="(Tipo di carattere testo asiati" w:hAnsi="(Tipo di carattere testo asiati"/>
          <w:bCs/>
          <w:i/>
        </w:rPr>
      </w:pPr>
      <w:r>
        <w:rPr>
          <w:rFonts w:ascii="Times New Roman" w:eastAsia="Times New Roman" w:hAnsi="Times New Roman"/>
        </w:rPr>
        <w:t>Induttori del CYP2C19</w:t>
      </w:r>
      <w:r>
        <w:rPr>
          <w:rFonts w:ascii="Times New Roman" w:eastAsia="Times New Roman" w:hAnsi="Times New Roman"/>
        </w:rPr>
        <w:br/>
        <w:t>Poiché clopidogrel è metabolizzato nel suo metabolita attivo in parte dal CYP2C19, ci si attende che l'uso di medicinali che inducono l'attività di questo enzima porti un aumento dei livelli farmacologici del metabolita attivo di clopidogrel.</w:t>
      </w:r>
      <w:r>
        <w:rPr>
          <w:rFonts w:ascii="Times New Roman" w:eastAsia="Times New Roman" w:hAnsi="Times New Roman"/>
        </w:rPr>
        <w:br/>
      </w:r>
      <w:r>
        <w:rPr>
          <w:rFonts w:ascii="Times New Roman" w:eastAsia="Times New Roman" w:hAnsi="Times New Roman"/>
        </w:rPr>
        <w:br/>
        <w:t>La rifampicina induce fortemente il CYP2C19, determinando sia un aumento del livello del metabolita attivo di clopidogrel sia un'inibizione piastrinica, che in particolare può potenziare il rischio di sanguinamento. A titolo precauzionale, l'uso concomitante di forti induttori del CYP2C19 deve essere scoraggiato (vedere paragrafo 4.4).</w:t>
      </w:r>
      <w:r>
        <w:rPr>
          <w:rFonts w:ascii="Times New Roman" w:eastAsia="Times New Roman" w:hAnsi="Times New Roman"/>
        </w:rPr>
        <w:br/>
      </w:r>
      <w:r>
        <w:rPr>
          <w:rFonts w:ascii="(Tipo di carattere testo asiati" w:hAnsi="(Tipo di carattere testo asiati"/>
          <w:bCs/>
          <w:i/>
        </w:rPr>
        <w:br/>
        <w:t>Inibitori del CYP2C19</w:t>
      </w:r>
    </w:p>
    <w:p>
      <w:pPr>
        <w:widowControl w:val="0"/>
        <w:shd w:val="clear" w:color="auto" w:fill="FFFFFF"/>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Poiché clopidogrel è trasformato nel suo metabolita attivo in parte dal CYP2C19, ci si attende che l’uso di medicinali che inibiscono l’attività di questo enzima porti ad una riduzione dei livelli farmacologici del metabolita attivo di clopidogrel. La rilevanza clinica di questa interazione non è certa. Per precauzione l’uso concomitante di inibitori forti o moderati del CYP2C19 deve essere scoraggiato (vedere paragrafi 4.4 e 5.2).</w:t>
      </w:r>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Medicinali che sono inibitori forti o moderati del CYP2C19 includono per esempio omeprazolo ed esomeprazolo, fluvoxamina, fluoxetina, moclobemide, voriconazolo, fluconazolo, ticlopidina, carbamazepina ed efavirenz.</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Inibitori della Pompa Protonica (IPP)</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La somministrazione di omeprazolo, alla dose singola di 80 mg/die, e di clopidogrel sia contemporanea che a distanza di 12 ore l’una dall’altro, ha diminuito l’esposizione al metabolita attivo del 45% (dose di carico) e del 40% (dose di mantenimento). La diminuzione era associata alla riduzione dell’inibizione dell’aggregazione piastrinica del 39% (dose di carico) e del 21% (dose di mantenimento). Ci si attende che con clopidogrel l’esomeprazolo dia una simile interazione.</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Dati contradditori sulle implicazioni cliniche di questa interazione farmacocinetica (PK)/farmacodinamica (PD) in termini di eventi cardiovascolari maggiori sono stati riportati sia in studi clinici che osservazionali. Per precauzione, l’uso concomitante di omeprazolo e esomeprazolo deve essere scoraggiato (vedere paragrafo 4.4).</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Riduzioni meno marcate dell’esposizione al metabolita sono state osservate con pantoprazolo o lansoprazolo.</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Le concentrazioni plasmatiche del metabolita attivo erano ridotte del 20% (dose di carico) e del 14% (dose di mantenimento) durante il trattamento contemporaneo con pantoprazolo 80 mg in mono somministrazione giornaliera. Ciò era associato ad una riduzione dell’inibizione media dell’aggregazione piastrinica del 15% e 11% rispettivamente. Questi risultati indicano che clopidogrel può essere somministrato con pantoprazolo.</w:t>
      </w:r>
    </w:p>
    <w:p>
      <w:pPr>
        <w:widowControl w:val="0"/>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Non c’è dimostrazione che altri medicinali che riducono l’acidità gastrica quali gli anti H2 o gli antiacidi interferiscano con l’attività antiaggregante piastrinica di clopidogrel.</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Terapia anti-retrovirale potenziata (ART): i pazienti affetti da HIV trattati con terapie anti-retrovirali potenziate (ART) sono ad alto rischio di eventi vascolari. </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Un'inibizione piastrinica significativamente ridotta è stata dimostrata nei pazienti con HIV trattati con ART potenziata con ritonavir o cobicistat. Sebbene la rilevanza clinica di questi risultati sia incerta, ci sono state segnalazioni spontanee di pazienti con infezione da HIV trattati con ART potenziata con ritonavir, che hanno avuto eventi ri-occlusivi dopo la disostruzione o hanno subito eventi trombotici in un programma di trattamento con clopidogrel utilizzando la dose di carico. L'inibizione piastrinica media può essere ridotta con l'uso concomitante di clopidogrel e ritonavir. Pertanto, l'uso concomitante di clopidogrel con terapie ART potenziate dovrebbe essere scoraggiato.</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Altri medicinali:</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Parecchi altri studi clinici sono stati condotti con clopidogrel ed altre terapie concomitanti per studiare potenziali interazioni di tipo farmacodinamico e farmacocinetico.</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Non si sono osservate interazioni farmacodinamiche di rilievo quando clopidogrel veniva somministrato con atenololo o nifedipina da soli o in associazione. Inoltre, l'attività farmacodinamica di clopidogrel non era influenzata in modo significativo dalla somministrazione contemporanea di fenobarbital o estrogeno.</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120" w:line="240" w:lineRule="auto"/>
        <w:rPr>
          <w:rFonts w:ascii="Times New Roman" w:eastAsia="Times New Roman" w:hAnsi="Times New Roman"/>
          <w:lang w:eastAsia="ar-SA"/>
        </w:rPr>
      </w:pPr>
      <w:r>
        <w:rPr>
          <w:rFonts w:ascii="Times New Roman" w:eastAsia="Times New Roman" w:hAnsi="Times New Roman"/>
          <w:lang w:eastAsia="ar-SA"/>
        </w:rPr>
        <w:t>La farmacocinetica della digossina e della teofillina non era modificata dalla somministrazione contemporanea di clopidogrel. Gli antiacidi non alteravano l'assorbimento di clopidogrel.</w:t>
      </w:r>
    </w:p>
    <w:p>
      <w:pPr>
        <w:widowControl w:val="0"/>
        <w:suppressAutoHyphens/>
        <w:autoSpaceDE w:val="0"/>
        <w:spacing w:after="0" w:line="240" w:lineRule="auto"/>
        <w:rPr>
          <w:rFonts w:ascii="Times New Roman" w:eastAsia="Times New Roman" w:hAnsi="Times New Roman"/>
          <w:lang w:eastAsia="ar-SA"/>
        </w:rPr>
      </w:pPr>
    </w:p>
    <w:p>
      <w:pPr>
        <w:keepNext/>
        <w:keepLines/>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I dati dello studio CAPRIE indicano che fenitoina e tolbutamide che sono metabolizzati dal CYP2C9 possono essere somministrati contemporaneamente a clopidogrel con sicurezza.</w:t>
      </w:r>
    </w:p>
    <w:p>
      <w:pPr>
        <w:keepNext/>
        <w:keepLines/>
        <w:widowControl w:val="0"/>
        <w:suppressAutoHyphens/>
        <w:autoSpaceDE w:val="0"/>
        <w:spacing w:after="0" w:line="240" w:lineRule="auto"/>
        <w:rPr>
          <w:rFonts w:ascii="Times New Roman" w:eastAsia="Times New Roman" w:hAnsi="Times New Roman"/>
          <w:lang w:eastAsia="ar-SA"/>
        </w:rPr>
      </w:pPr>
    </w:p>
    <w:p>
      <w:pPr>
        <w:spacing w:after="0" w:line="240" w:lineRule="auto"/>
        <w:rPr>
          <w:rFonts w:ascii="Times New Roman" w:hAnsi="Times New Roman"/>
        </w:rPr>
      </w:pPr>
      <w:r>
        <w:rPr>
          <w:rFonts w:ascii="Times New Roman" w:hAnsi="Times New Roman"/>
          <w:i/>
        </w:rPr>
        <w:t>Medicinali substrati del CYP2C8</w:t>
      </w:r>
      <w:r>
        <w:rPr>
          <w:rFonts w:ascii="Times New Roman" w:hAnsi="Times New Roman"/>
        </w:rPr>
        <w:t>:</w:t>
      </w:r>
    </w:p>
    <w:p>
      <w:pPr>
        <w:spacing w:after="0" w:line="240" w:lineRule="auto"/>
        <w:rPr>
          <w:rFonts w:ascii="Times New Roman" w:hAnsi="Times New Roman"/>
        </w:rPr>
      </w:pPr>
      <w:r>
        <w:rPr>
          <w:rFonts w:ascii="Times New Roman" w:hAnsi="Times New Roman"/>
        </w:rPr>
        <w:t>Clopidogrel ha dimostrato di aumentare l'esposizione alla repaglinide nei volontari sani. Studi in vitro hanno mostrato che l'aumento dell'esposizione a repaglinide è dovuto all’ inibizione del CYP2C8 da parte del metabolita glucuronide di clopidogrel. A causa del rischio di un aumento delle concentrazioni plasmatiche, la somministrazione concomitante di clopidogrel e medicinali eliminati principalmente attraverso il metabolismo del CYP2C8 (ad esempio, repaglinide, paclitaxel) deve essere intrapresa con cautela (vedere paragrafo 4.4).</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Oltre alle informazioni descritte sopra sulle specifiche interazioni con farmaci, non sono stati condotti studi di interazione con clopidogrel e alcuni farmaci comunemente somministrati ai pazienti affetti da patologia aterotrombotica. Tuttavia, i pazienti inclusi negli studi clinici con clopidogrel hanno ricevuto diverse terapie concomitanti inclusi diuretici, beta bloccanti, ACE inibitori, calcio antagonisti, ipocolesterolemizzanti, vasodilatatori coronarici, antidiabetici (inclusa insulina), farmaci antiepilettici e antagonisti della glicoproteina IIb/IIIa senza evidenza di interazioni negative clinicamente significative.</w:t>
      </w:r>
    </w:p>
    <w:p>
      <w:pPr>
        <w:widowControl w:val="0"/>
        <w:suppressAutoHyphens/>
        <w:autoSpaceDE w:val="0"/>
        <w:spacing w:after="0" w:line="240" w:lineRule="auto"/>
        <w:rPr>
          <w:rFonts w:ascii="Times New Roman" w:eastAsia="Times New Roman" w:hAnsi="Times New Roman"/>
          <w:lang w:eastAsia="ar-SA"/>
        </w:rPr>
      </w:pPr>
    </w:p>
    <w:p>
      <w:pPr>
        <w:widowControl w:val="0"/>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Come con altri inibitori orali del P2Y12, la co-somministrazione di agonisti degli oppioidi potrebbe ritardare e ridurre l'assorbimento di clopidogrel presumibilmente a causa di uno svuotamento gastrico rallentato. La rilevanza clinica non è nota. Considerare l'uso di un antiaggregante piastrinico parenterale nei pazienti con sindrome coronarica acuta che richiedono la co-somministrazione di morfina o altri agonisti degli oppioidi.</w:t>
      </w:r>
    </w:p>
    <w:p>
      <w:pPr>
        <w:widowControl w:val="0"/>
        <w:autoSpaceDE w:val="0"/>
        <w:spacing w:after="0" w:line="240" w:lineRule="auto"/>
        <w:rPr>
          <w:rFonts w:ascii="Times New Roman" w:eastAsia="Times New Roman" w:hAnsi="Times New Roman"/>
          <w:lang w:eastAsia="ar-SA"/>
        </w:rPr>
      </w:pPr>
    </w:p>
    <w:p>
      <w:pPr>
        <w:widowControl w:val="0"/>
        <w:autoSpaceDE w:val="0"/>
        <w:spacing w:after="0" w:line="240" w:lineRule="auto"/>
        <w:rPr>
          <w:rFonts w:ascii="Times New Roman" w:eastAsia="Times New Roman" w:hAnsi="Times New Roman"/>
          <w:lang w:eastAsia="ar-SA"/>
        </w:rPr>
      </w:pPr>
      <w:r>
        <w:rPr>
          <w:rFonts w:ascii="Times New Roman" w:eastAsia="Times New Roman" w:hAnsi="Times New Roman"/>
          <w:i/>
          <w:lang w:eastAsia="ar-SA"/>
        </w:rPr>
        <w:t>Rosuvastatina</w:t>
      </w:r>
      <w:r>
        <w:rPr>
          <w:rFonts w:ascii="Times New Roman" w:eastAsia="Times New Roman" w:hAnsi="Times New Roman"/>
          <w:lang w:eastAsia="ar-SA"/>
        </w:rPr>
        <w:t>: è stato dimostrato che il clopidogrel aumenta l'esposizione a rosuvastatina nei pazienti di 2 volte (AUC) e 1,3 volte (C</w:t>
      </w:r>
      <w:r>
        <w:rPr>
          <w:rFonts w:ascii="Times New Roman" w:eastAsia="Times New Roman" w:hAnsi="Times New Roman"/>
          <w:vertAlign w:val="subscript"/>
          <w:lang w:eastAsia="ar-SA"/>
        </w:rPr>
        <w:t>max</w:t>
      </w:r>
      <w:r>
        <w:rPr>
          <w:rFonts w:ascii="Times New Roman" w:eastAsia="Times New Roman" w:hAnsi="Times New Roman"/>
          <w:lang w:eastAsia="ar-SA"/>
        </w:rPr>
        <w:t>) dopo la somministrazione di una dose di 300 mg di clopidogrel e di 1,4 volte (AUC) senza effetti sulla C</w:t>
      </w:r>
      <w:r>
        <w:rPr>
          <w:rFonts w:ascii="Times New Roman" w:eastAsia="Times New Roman" w:hAnsi="Times New Roman"/>
          <w:vertAlign w:val="subscript"/>
          <w:lang w:eastAsia="ar-SA"/>
        </w:rPr>
        <w:t>max</w:t>
      </w:r>
      <w:r>
        <w:rPr>
          <w:rFonts w:ascii="Times New Roman" w:eastAsia="Times New Roman" w:hAnsi="Times New Roman"/>
          <w:lang w:eastAsia="ar-SA"/>
        </w:rPr>
        <w:t xml:space="preserve"> dopo somministrazione </w:t>
      </w:r>
      <w:r>
        <w:rPr>
          <w:rFonts w:ascii="Times New Roman" w:hAnsi="Times New Roman"/>
        </w:rPr>
        <w:t>ripetuta</w:t>
      </w:r>
      <w:r>
        <w:rPr>
          <w:rFonts w:ascii="Times New Roman" w:eastAsia="Times New Roman" w:hAnsi="Times New Roman"/>
          <w:lang w:eastAsia="ar-SA"/>
        </w:rPr>
        <w:t xml:space="preserve"> di una dose di 75 mg di clopidogrel.</w:t>
      </w:r>
    </w:p>
    <w:p>
      <w:pPr>
        <w:widowControl w:val="0"/>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b/>
          <w:bCs/>
          <w:lang w:eastAsia="ar-SA"/>
        </w:rPr>
      </w:pPr>
      <w:r>
        <w:rPr>
          <w:rFonts w:ascii="Times New Roman" w:eastAsia="Times New Roman" w:hAnsi="Times New Roman"/>
          <w:b/>
          <w:bCs/>
          <w:lang w:eastAsia="ar-SA"/>
        </w:rPr>
        <w:t>4.6</w:t>
      </w:r>
      <w:r>
        <w:rPr>
          <w:rFonts w:ascii="Times New Roman" w:eastAsia="Times New Roman" w:hAnsi="Times New Roman"/>
          <w:b/>
          <w:bCs/>
          <w:lang w:eastAsia="ar-SA"/>
        </w:rPr>
        <w:tab/>
        <w:t>Fertilità, gravidanza e allattamento</w:t>
      </w:r>
    </w:p>
    <w:p>
      <w:pPr>
        <w:widowControl w:val="0"/>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Gravidanza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Poichè non sono disponibili dati clinici relativi all'esposizione a clopidogrel in gravidanza, come </w:t>
      </w:r>
      <w:r>
        <w:rPr>
          <w:rFonts w:ascii="Times New Roman" w:eastAsia="Times New Roman" w:hAnsi="Times New Roman"/>
          <w:color w:val="000000"/>
          <w:lang w:eastAsia="ar-SA"/>
        </w:rPr>
        <w:t>misura precauzionale è preferibile non usare clopidogrel durante la gravidanza.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Gli studi su animali non indicano effetti dannosi diretti o indiretti su gravidanza, sviluppo </w:t>
      </w:r>
      <w:r>
        <w:rPr>
          <w:rFonts w:ascii="Times New Roman" w:eastAsia="Times New Roman" w:hAnsi="Times New Roman"/>
          <w:color w:val="000000"/>
          <w:lang w:eastAsia="ar-SA"/>
        </w:rPr>
        <w:t>embrionale/fetale, parto o sviluppo post-natale (vedere paragrafo 5.3).</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Allattamento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 xml:space="preserve">Non è noto se clopidogrel sia escreto nel latte umano. Gli studi su animali hanno dimostrato che </w:t>
      </w:r>
      <w:r>
        <w:rPr>
          <w:rFonts w:ascii="Times New Roman" w:eastAsia="Times New Roman" w:hAnsi="Times New Roman"/>
          <w:color w:val="000000"/>
          <w:spacing w:val="-1"/>
          <w:lang w:eastAsia="ar-SA"/>
        </w:rPr>
        <w:t xml:space="preserve">clopidogrel viene escreto nel latte. Come misura precauzionale, non si deve continuare l'allattamento </w:t>
      </w:r>
      <w:r>
        <w:rPr>
          <w:rFonts w:ascii="Times New Roman" w:eastAsia="Times New Roman" w:hAnsi="Times New Roman"/>
          <w:color w:val="000000"/>
          <w:lang w:eastAsia="ar-SA"/>
        </w:rPr>
        <w:t>durante il trattamento con Clopidogrel TAD.</w:t>
      </w:r>
    </w:p>
    <w:p>
      <w:pPr>
        <w:widowControl w:val="0"/>
        <w:suppressAutoHyphens/>
        <w:autoSpaceDE w:val="0"/>
        <w:spacing w:after="0" w:line="240" w:lineRule="auto"/>
        <w:rPr>
          <w:rFonts w:ascii="Times New Roman" w:eastAsia="Times New Roman" w:hAnsi="Times New Roman"/>
          <w:i/>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Fertilità</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Negli studi su animali, clopidogrel non ha mostrato alterazioni della fertilità.</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tabs>
          <w:tab w:val="left" w:pos="589"/>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5"/>
          <w:lang w:eastAsia="ar-SA"/>
        </w:rPr>
        <w:t>4.7</w:t>
      </w:r>
      <w:r>
        <w:rPr>
          <w:rFonts w:ascii="Times New Roman" w:eastAsia="Times New Roman" w:hAnsi="Times New Roman"/>
          <w:b/>
          <w:bCs/>
          <w:color w:val="000000"/>
          <w:lang w:eastAsia="ar-SA"/>
        </w:rPr>
        <w:tab/>
        <w:t>Effetti sulla capacità di guidare veicoli e sull'uso di macchinari</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Clopidogrel non altera o altera in modo trascurabile la capacità di guidare veicoli o di usare macchinari.</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tabs>
          <w:tab w:val="left" w:pos="589"/>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5"/>
          <w:lang w:eastAsia="ar-SA"/>
        </w:rPr>
        <w:t>4.8</w:t>
      </w:r>
      <w:r>
        <w:rPr>
          <w:rFonts w:ascii="Times New Roman" w:eastAsia="Times New Roman" w:hAnsi="Times New Roman"/>
          <w:b/>
          <w:bCs/>
          <w:color w:val="000000"/>
          <w:lang w:eastAsia="ar-SA"/>
        </w:rPr>
        <w:tab/>
        <w:t>Effetti indesiderati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spacing w:after="0" w:line="240" w:lineRule="auto"/>
        <w:rPr>
          <w:rFonts w:ascii="Times New Roman" w:eastAsia="Times New Roman" w:hAnsi="Times New Roman"/>
          <w:i/>
        </w:rPr>
      </w:pPr>
      <w:r>
        <w:rPr>
          <w:rFonts w:ascii="Times New Roman" w:eastAsia="Times New Roman" w:hAnsi="Times New Roman"/>
          <w:i/>
        </w:rPr>
        <w:t>Riassunto del profilo di sicurezza</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La sicurezza di clopidogrel è stata valutata in più di 44.000 pazienti che hanno partecipato agli studi clinici, di cui oltre 12.000 trattati per 1 anno o più. Nello studio CAPRIE clopidogrel, alla dose di 75 mg/die, è risultato, nel complesso, comparabile a ASA 325 mg/die indipendentemente dall’età, sesso e razza dei pazienti. Le reazioni avverse clinicamente rilevanti osservate negli studi CAPRIE, CURE, CLARITY, COMMIT e ACTIVE-A sono discusse di seguito.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In aggiunta all'esperienza degli studi clinici, sono state segnalate spontaneamente reazioni avverse.</w:t>
      </w:r>
    </w:p>
    <w:p>
      <w:pPr>
        <w:widowControl w:val="0"/>
        <w:shd w:val="clear" w:color="auto" w:fill="FFFFFF"/>
        <w:tabs>
          <w:tab w:val="left" w:pos="226"/>
        </w:tabs>
        <w:suppressAutoHyphens/>
        <w:autoSpaceDE w:val="0"/>
        <w:spacing w:after="0" w:line="240" w:lineRule="auto"/>
        <w:rPr>
          <w:rFonts w:ascii="Times New Roman" w:eastAsia="Times New Roman" w:hAnsi="Times New Roman"/>
          <w:color w:val="000000"/>
          <w:spacing w:val="-11"/>
          <w:lang w:eastAsia="ar-SA"/>
        </w:rPr>
      </w:pPr>
    </w:p>
    <w:p>
      <w:pPr>
        <w:widowControl w:val="0"/>
        <w:shd w:val="clear" w:color="auto" w:fill="FFFFFF"/>
        <w:tabs>
          <w:tab w:val="left" w:pos="226"/>
        </w:tabs>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1"/>
          <w:lang w:eastAsia="ar-SA"/>
        </w:rPr>
        <w:t>Il</w:t>
      </w:r>
      <w:r>
        <w:rPr>
          <w:rFonts w:ascii="Times New Roman" w:eastAsia="Times New Roman" w:hAnsi="Times New Roman"/>
          <w:color w:val="000000"/>
          <w:lang w:eastAsia="ar-SA"/>
        </w:rPr>
        <w:tab/>
      </w:r>
      <w:r>
        <w:rPr>
          <w:rFonts w:ascii="Times New Roman" w:eastAsia="Times New Roman" w:hAnsi="Times New Roman"/>
          <w:color w:val="000000"/>
          <w:spacing w:val="-1"/>
          <w:lang w:eastAsia="ar-SA"/>
        </w:rPr>
        <w:t xml:space="preserve">sanguinamento è la reazione più comunemente segnalata sia negli studi clinici che nell'esperienza </w:t>
      </w:r>
      <w:r>
        <w:rPr>
          <w:rFonts w:ascii="Times New Roman" w:eastAsia="Times New Roman" w:hAnsi="Times New Roman"/>
          <w:color w:val="000000"/>
          <w:lang w:eastAsia="ar-SA"/>
        </w:rPr>
        <w:t xml:space="preserve">post-marketing, in cui è stato </w:t>
      </w:r>
      <w:r>
        <w:rPr>
          <w:rFonts w:ascii="Times New Roman" w:eastAsia="Times New Roman" w:hAnsi="Times New Roman"/>
          <w:lang w:eastAsia="ar-SA"/>
        </w:rPr>
        <w:t xml:space="preserve">segnalato principalmente </w:t>
      </w:r>
      <w:r>
        <w:rPr>
          <w:rFonts w:ascii="Times New Roman" w:eastAsia="Times New Roman" w:hAnsi="Times New Roman"/>
          <w:color w:val="000000"/>
          <w:lang w:eastAsia="ar-SA"/>
        </w:rPr>
        <w:t>durante il primo mese di trattamento.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Nello studio CAPRIE tanto nei pazienti trattati con clopidogrel che in quelli trattati con ASA, l’incidenza complessiva di ogni tipo di sanguinamento è stata del 9,3%. L’incidenza dei casi gravi è stata simile per clopidogrel e per ASA.</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Nello studio CURE,</w:t>
      </w:r>
      <w:r>
        <w:rPr>
          <w:rFonts w:ascii="Times New Roman" w:eastAsia="Times New Roman" w:hAnsi="Times New Roman"/>
          <w:u w:val="single"/>
          <w:lang w:eastAsia="ar-SA"/>
        </w:rPr>
        <w:t xml:space="preserve"> </w:t>
      </w:r>
      <w:r>
        <w:rPr>
          <w:rFonts w:ascii="Times New Roman" w:eastAsia="Times New Roman" w:hAnsi="Times New Roman"/>
          <w:lang w:eastAsia="ar-SA"/>
        </w:rPr>
        <w:t>non si è verificato eccesso di sanguinamenti maggiori con clopidogrel più ASA nei 7 giorni successivi ad intervento di bypass coronarico nei pazienti che hanno interrotto la terapia per più di 5 giorni prima dell’intervento. Nei pazienti invece che sono rimasti in terapia nei 5 giorni precedenti l’intervento di bypass, l’incidenza è stata del 9,6% per clopidogrel più ASA e del 6,3% per placebo più ASA.</w:t>
      </w:r>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Nello studio CLARITY, si è verificato un aumento complessivo di sanguinamenti nel gruppo trattato con clopidogrel più ASA rispetto al gruppo placebo più ASA. L’incidenza di sanguinamenti maggiori è risultata simile nei gruppi. Questo risultato è stato coerente nei sottogruppi di pazienti definiti sulla base delle caratteristiche al basale e per tipo di terapia fibrinolitica o eparinica.</w:t>
      </w:r>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rPr>
          <w:rFonts w:ascii="Times New Roman" w:eastAsia="Times New Roman" w:hAnsi="Times New Roman"/>
          <w:position w:val="6"/>
          <w:lang w:eastAsia="ar-SA"/>
        </w:rPr>
      </w:pPr>
      <w:r>
        <w:rPr>
          <w:rFonts w:ascii="Times New Roman" w:eastAsia="Times New Roman" w:hAnsi="Times New Roman"/>
          <w:lang w:eastAsia="ar-SA"/>
        </w:rPr>
        <w:t>Nello studio COMMIT, il tasso complessivo di sanguinamenti maggiori non cerebrali o di sanguinamenti cerebrali è risultato basso e simile nei due gruppi.</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lang w:eastAsia="ar-SA"/>
        </w:rPr>
        <w:t>Nello studio ACTIVE-A, il tasso complessivo di sanguinamenti maggiori è risultato superiore nel gruppo trattato con clopidogrel + ASA rispetto al gruppo in trattamento con placebo + ASA (6.7% vs 4.3%). I sanguinamenti maggiori erano principalmente di origine extracraniale in entrambi i gruppi (5.3% nel gruppo clopidogrel + ASA; 3.5% nel gruppo placebo + ASA), manifestatisi per lo più nel tratto gastrointestinale (3.5% vs 1.8%). Nel gruppo trattato con clopidogrel + ASA è stato osservato un eccesso di sanguinamenti intracranici rispetto al gruppo trattato con placebo + ASA (1.4% vs 0.8% rispettivamente). Non sono state riscontrate differenze statisticamente significative tra i gruppi relativamente al tasso di emorragia fatale (1.1% nel gruppo clopidogrel + ASA e 0.7% nel gruppo placebo + ASA) e di ictus emorragico (0.8% e 0.6% rispettivamente).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spacing w:after="0" w:line="240" w:lineRule="auto"/>
        <w:rPr>
          <w:rFonts w:ascii="Times New Roman" w:eastAsia="Times New Roman" w:hAnsi="Times New Roman"/>
          <w:color w:val="000000"/>
        </w:rPr>
      </w:pPr>
      <w:r>
        <w:rPr>
          <w:rFonts w:ascii="Times New Roman" w:eastAsia="Times New Roman" w:hAnsi="Times New Roman"/>
          <w:color w:val="000000"/>
        </w:rPr>
        <w:t>Nello studio TARDIS, i pazienti con recente ictus ischemico sottoposti a terapia antipiastrinica intensiva con tre farmaci (ASA + clopidogrel + dipiridamolo) hanno manifestato più sanguinamenti e sanguinamenti di severità maggiore rispetto a clopidogrel in monoterapia o ASA e dipiridamolo combinati (OR comune aggiustato 2,54, IC al 95% 2,05-3,16, p&lt;0,0001).</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spacing w:after="0" w:line="240" w:lineRule="auto"/>
        <w:rPr>
          <w:rFonts w:ascii="Times New Roman" w:eastAsia="Times New Roman" w:hAnsi="Times New Roman"/>
          <w:i/>
        </w:rPr>
      </w:pPr>
      <w:r>
        <w:rPr>
          <w:rFonts w:ascii="Times New Roman" w:eastAsia="Times New Roman" w:hAnsi="Times New Roman"/>
          <w:i/>
        </w:rPr>
        <w:t>Tabella delle reazioni avverse</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Reazioni avverse osservate negli studi clinici o che sono state segnalate spontaneamente sono riportate </w:t>
      </w:r>
      <w:r>
        <w:rPr>
          <w:rFonts w:ascii="Times New Roman" w:eastAsia="Times New Roman" w:hAnsi="Times New Roman"/>
          <w:color w:val="000000"/>
        </w:rPr>
        <w:t>nella tabella sottostante. La loro frequenza è definita utilizzando le seguenti convenzioni:</w:t>
      </w:r>
    </w:p>
    <w:p>
      <w:pPr>
        <w:tabs>
          <w:tab w:val="left" w:pos="567"/>
        </w:tabs>
        <w:spacing w:after="0" w:line="240" w:lineRule="auto"/>
        <w:rPr>
          <w:rFonts w:ascii="Times New Roman" w:eastAsia="Times New Roman" w:hAnsi="Times New Roman"/>
          <w:b/>
          <w:color w:val="000000"/>
          <w:spacing w:val="-1"/>
        </w:rPr>
      </w:pPr>
      <w:r>
        <w:rPr>
          <w:rFonts w:ascii="Times New Roman" w:eastAsia="Times New Roman" w:hAnsi="Times New Roman"/>
        </w:rPr>
        <w:t>comune (≥1/100, &lt;1/10); non comune (≥1/1.000, &lt;1/100); raro (≥1/10.000, &lt;1/1.000); molto raro (&lt;1/10.000); non nota (la frequenza non può essere definita sulla base dei dati disponibili).</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All'interno di ciascuna classe di frequenza, gli effetti indesiderati sono riportati in ordine decrescente </w:t>
      </w:r>
      <w:r>
        <w:rPr>
          <w:rFonts w:ascii="Times New Roman" w:eastAsia="Times New Roman" w:hAnsi="Times New Roman"/>
          <w:color w:val="000000"/>
          <w:spacing w:val="-1"/>
        </w:rPr>
        <w:t>di gravità.</w:t>
      </w:r>
    </w:p>
    <w:p>
      <w:pPr>
        <w:widowControl w:val="0"/>
        <w:suppressAutoHyphens/>
        <w:autoSpaceDE w:val="0"/>
        <w:spacing w:after="0" w:line="240" w:lineRule="auto"/>
        <w:rPr>
          <w:rFonts w:ascii="Times New Roman" w:hAnsi="Times New Roman"/>
        </w:rPr>
      </w:pPr>
    </w:p>
    <w:tbl>
      <w:tblPr>
        <w:tblW w:w="9437" w:type="dxa"/>
        <w:tblLayout w:type="fixed"/>
        <w:tblCellMar>
          <w:left w:w="40" w:type="dxa"/>
          <w:right w:w="40" w:type="dxa"/>
        </w:tblCellMar>
        <w:tblLook w:val="0000" w:firstRow="0" w:lastRow="0" w:firstColumn="0" w:lastColumn="0" w:noHBand="0" w:noVBand="0"/>
      </w:tblPr>
      <w:tblGrid>
        <w:gridCol w:w="1460"/>
        <w:gridCol w:w="1699"/>
        <w:gridCol w:w="1624"/>
        <w:gridCol w:w="1603"/>
        <w:gridCol w:w="3051"/>
      </w:tblGrid>
      <w:tr>
        <w:trPr>
          <w:trHeight w:hRule="exact" w:val="886"/>
        </w:trPr>
        <w:tc>
          <w:tcPr>
            <w:tcW w:w="146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1"/>
                <w:lang w:eastAsia="ar-SA"/>
              </w:rPr>
              <w:t xml:space="preserve">Classificazione </w:t>
            </w:r>
            <w:r>
              <w:rPr>
                <w:rFonts w:ascii="Times New Roman" w:eastAsia="Times New Roman" w:hAnsi="Times New Roman"/>
                <w:b/>
                <w:bCs/>
                <w:color w:val="000000"/>
                <w:lang w:eastAsia="ar-SA"/>
              </w:rPr>
              <w:t>per Sistemi e Organi</w:t>
            </w:r>
          </w:p>
        </w:tc>
        <w:tc>
          <w:tcPr>
            <w:tcW w:w="169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3"/>
                <w:lang w:eastAsia="ar-SA"/>
              </w:rPr>
            </w:pPr>
            <w:r>
              <w:rPr>
                <w:rFonts w:ascii="Times New Roman" w:eastAsia="Times New Roman" w:hAnsi="Times New Roman"/>
                <w:b/>
                <w:bCs/>
                <w:color w:val="000000"/>
                <w:spacing w:val="-3"/>
                <w:lang w:eastAsia="ar-SA"/>
              </w:rPr>
              <w:t>Comune</w:t>
            </w:r>
          </w:p>
        </w:tc>
        <w:tc>
          <w:tcPr>
            <w:tcW w:w="1624"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2"/>
                <w:lang w:eastAsia="ar-SA"/>
              </w:rPr>
            </w:pPr>
            <w:r>
              <w:rPr>
                <w:rFonts w:ascii="Times New Roman" w:eastAsia="Times New Roman" w:hAnsi="Times New Roman"/>
                <w:b/>
                <w:bCs/>
                <w:color w:val="000000"/>
                <w:spacing w:val="-2"/>
                <w:lang w:eastAsia="ar-SA"/>
              </w:rPr>
              <w:t>Non comune</w:t>
            </w: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2"/>
                <w:lang w:eastAsia="ar-SA"/>
              </w:rPr>
            </w:pPr>
            <w:r>
              <w:rPr>
                <w:rFonts w:ascii="Times New Roman" w:eastAsia="Times New Roman" w:hAnsi="Times New Roman"/>
                <w:b/>
                <w:bCs/>
                <w:color w:val="000000"/>
                <w:spacing w:val="-2"/>
                <w:lang w:eastAsia="ar-SA"/>
              </w:rPr>
              <w:t>Raro</w:t>
            </w:r>
          </w:p>
        </w:tc>
        <w:tc>
          <w:tcPr>
            <w:tcW w:w="305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3"/>
                <w:lang w:eastAsia="ar-SA"/>
              </w:rPr>
            </w:pPr>
            <w:r>
              <w:rPr>
                <w:rFonts w:ascii="Times New Roman" w:eastAsia="Times New Roman" w:hAnsi="Times New Roman"/>
                <w:b/>
                <w:bCs/>
                <w:color w:val="000000"/>
                <w:spacing w:val="-3"/>
                <w:lang w:eastAsia="ar-SA"/>
              </w:rPr>
              <w:t>Molto raro</w:t>
            </w:r>
            <w:r>
              <w:rPr>
                <w:rFonts w:ascii="Times New Roman" w:eastAsia="Times New Roman" w:hAnsi="Times New Roman"/>
                <w:b/>
                <w:bCs/>
                <w:color w:val="000000"/>
                <w:lang w:eastAsia="ar-SA"/>
              </w:rPr>
              <w:t>, non nota*</w:t>
            </w:r>
          </w:p>
        </w:tc>
      </w:tr>
      <w:tr>
        <w:trPr>
          <w:trHeight w:hRule="exact" w:val="2105"/>
        </w:trPr>
        <w:tc>
          <w:tcPr>
            <w:tcW w:w="1460"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Patologie del </w:t>
            </w:r>
            <w:r>
              <w:rPr>
                <w:rFonts w:ascii="Times New Roman" w:eastAsia="Times New Roman" w:hAnsi="Times New Roman"/>
                <w:color w:val="000000"/>
                <w:spacing w:val="-1"/>
                <w:lang w:eastAsia="ar-SA"/>
              </w:rPr>
              <w:t>sistema emolinfopoietico</w:t>
            </w:r>
          </w:p>
        </w:tc>
        <w:tc>
          <w:tcPr>
            <w:tcW w:w="1699"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24"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2"/>
                <w:lang w:eastAsia="ar-SA"/>
              </w:rPr>
              <w:t xml:space="preserve">Trombocitopenia, </w:t>
            </w:r>
            <w:r>
              <w:rPr>
                <w:rFonts w:ascii="Times New Roman" w:eastAsia="Times New Roman" w:hAnsi="Times New Roman"/>
                <w:color w:val="000000"/>
                <w:spacing w:val="-1"/>
                <w:lang w:eastAsia="ar-SA"/>
              </w:rPr>
              <w:t xml:space="preserve">leucopenia, </w:t>
            </w:r>
            <w:r>
              <w:rPr>
                <w:rFonts w:ascii="Times New Roman" w:eastAsia="Times New Roman" w:hAnsi="Times New Roman"/>
                <w:color w:val="000000"/>
                <w:lang w:eastAsia="ar-SA"/>
              </w:rPr>
              <w:t>eosinofilia</w:t>
            </w:r>
          </w:p>
        </w:tc>
        <w:tc>
          <w:tcPr>
            <w:tcW w:w="1603"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eastAsia="ar-SA"/>
              </w:rPr>
            </w:pPr>
            <w:r>
              <w:rPr>
                <w:rFonts w:ascii="Times New Roman" w:eastAsia="Times New Roman" w:hAnsi="Times New Roman"/>
                <w:color w:val="000000"/>
                <w:spacing w:val="-1"/>
                <w:lang w:eastAsia="ar-SA"/>
              </w:rPr>
              <w:t xml:space="preserve">Neutropenia, inclusa </w:t>
            </w:r>
            <w:r>
              <w:rPr>
                <w:rFonts w:ascii="Times New Roman" w:eastAsia="Times New Roman" w:hAnsi="Times New Roman"/>
                <w:color w:val="000000"/>
                <w:lang w:eastAsia="ar-SA"/>
              </w:rPr>
              <w:t xml:space="preserve">neutropenia </w:t>
            </w:r>
            <w:r>
              <w:rPr>
                <w:rFonts w:ascii="Times New Roman" w:eastAsia="Times New Roman" w:hAnsi="Times New Roman"/>
                <w:color w:val="000000"/>
                <w:spacing w:val="-2"/>
                <w:lang w:eastAsia="ar-SA"/>
              </w:rPr>
              <w:t>grave</w:t>
            </w:r>
          </w:p>
        </w:tc>
        <w:tc>
          <w:tcPr>
            <w:tcW w:w="3051" w:type="dxa"/>
            <w:tcBorders>
              <w:top w:val="single" w:sz="4" w:space="0" w:color="auto"/>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Porpora trombotica trombocitopenica (PTT) </w:t>
            </w:r>
            <w:r>
              <w:rPr>
                <w:rFonts w:ascii="Times New Roman" w:eastAsia="Times New Roman" w:hAnsi="Times New Roman"/>
                <w:color w:val="000000"/>
                <w:spacing w:val="-1"/>
                <w:lang w:eastAsia="ar-SA"/>
              </w:rPr>
              <w:t xml:space="preserve">(vedere paragrafo 4.4), anemia aplastica, pancitopenia, agranulocitosi,trombocitopenia grave, </w:t>
            </w:r>
            <w:r>
              <w:rPr>
                <w:rFonts w:ascii="Times New Roman" w:hAnsi="Times New Roman"/>
                <w:bCs/>
                <w:color w:val="000000"/>
              </w:rPr>
              <w:t xml:space="preserve">emofilia acquisita A, </w:t>
            </w:r>
            <w:r>
              <w:rPr>
                <w:rFonts w:ascii="Times New Roman" w:eastAsia="Times New Roman" w:hAnsi="Times New Roman"/>
                <w:color w:val="000000"/>
                <w:spacing w:val="-1"/>
                <w:lang w:eastAsia="ar-SA"/>
              </w:rPr>
              <w:t>granulocitopenia, anemia</w:t>
            </w:r>
          </w:p>
        </w:tc>
      </w:tr>
      <w:tr>
        <w:trPr>
          <w:trHeight w:hRule="exact" w:val="1605"/>
        </w:trPr>
        <w:tc>
          <w:tcPr>
            <w:tcW w:w="1460"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lang w:eastAsia="ar-SA"/>
              </w:rPr>
            </w:pPr>
            <w:r>
              <w:rPr>
                <w:rFonts w:ascii="Times New Roman" w:hAnsi="Times New Roman"/>
                <w:bCs/>
                <w:color w:val="000000"/>
              </w:rPr>
              <w:t>Patologie cardiache</w:t>
            </w:r>
          </w:p>
        </w:tc>
        <w:tc>
          <w:tcPr>
            <w:tcW w:w="1699"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24"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2"/>
                <w:lang w:eastAsia="ar-SA"/>
              </w:rPr>
            </w:pPr>
          </w:p>
        </w:tc>
        <w:tc>
          <w:tcPr>
            <w:tcW w:w="1603"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p>
        </w:tc>
        <w:tc>
          <w:tcPr>
            <w:tcW w:w="3051" w:type="dxa"/>
            <w:tcBorders>
              <w:top w:val="single" w:sz="4" w:space="0" w:color="auto"/>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lang w:eastAsia="ar-SA"/>
              </w:rPr>
            </w:pPr>
            <w:r>
              <w:rPr>
                <w:rFonts w:ascii="Times New Roman" w:hAnsi="Times New Roman"/>
                <w:bCs/>
                <w:color w:val="000000"/>
              </w:rPr>
              <w:t>Sindrome di Kounis (angina allergica vasospastica / infarto miocardico allergico) nel contesto di una reazione di ipersensibilità dovuta a clopidogrel *</w:t>
            </w:r>
          </w:p>
        </w:tc>
      </w:tr>
      <w:tr>
        <w:trPr>
          <w:trHeight w:hRule="exact" w:val="3271"/>
        </w:trPr>
        <w:tc>
          <w:tcPr>
            <w:tcW w:w="146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eastAsia="ar-SA"/>
              </w:rPr>
            </w:pPr>
            <w:r>
              <w:rPr>
                <w:rFonts w:ascii="Times New Roman" w:eastAsia="Times New Roman" w:hAnsi="Times New Roman"/>
                <w:color w:val="000000"/>
                <w:lang w:eastAsia="ar-SA"/>
              </w:rPr>
              <w:t xml:space="preserve">Disturbi del </w:t>
            </w:r>
            <w:r>
              <w:rPr>
                <w:rFonts w:ascii="Times New Roman" w:eastAsia="Times New Roman" w:hAnsi="Times New Roman"/>
                <w:color w:val="000000"/>
                <w:spacing w:val="-1"/>
                <w:lang w:eastAsia="ar-SA"/>
              </w:rPr>
              <w:t xml:space="preserve">sistema </w:t>
            </w:r>
            <w:r>
              <w:rPr>
                <w:rFonts w:ascii="Times New Roman" w:eastAsia="Times New Roman" w:hAnsi="Times New Roman"/>
                <w:color w:val="000000"/>
                <w:spacing w:val="-2"/>
                <w:lang w:eastAsia="ar-SA"/>
              </w:rPr>
              <w:t>immunitario</w:t>
            </w:r>
          </w:p>
        </w:tc>
        <w:tc>
          <w:tcPr>
            <w:tcW w:w="169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24"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b/>
                <w:bCs/>
                <w:color w:val="000000"/>
                <w:spacing w:val="-1"/>
                <w:lang w:eastAsia="ar-SA"/>
              </w:rPr>
            </w:pPr>
            <w:r>
              <w:rPr>
                <w:rFonts w:ascii="Times New Roman" w:eastAsia="Times New Roman" w:hAnsi="Times New Roman"/>
                <w:color w:val="000000"/>
                <w:spacing w:val="-1"/>
                <w:lang w:eastAsia="ar-SA"/>
              </w:rPr>
              <w:t>Malattia da siero, reazioni anafilattoidi</w:t>
            </w:r>
            <w:r>
              <w:rPr>
                <w:rFonts w:ascii="Times New Roman" w:eastAsia="Times New Roman" w:hAnsi="Times New Roman"/>
                <w:b/>
                <w:bCs/>
                <w:color w:val="000000"/>
                <w:spacing w:val="-1"/>
                <w:lang w:eastAsia="ar-SA"/>
              </w:rPr>
              <w:t>,</w:t>
            </w:r>
          </w:p>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bCs/>
                <w:color w:val="000000"/>
                <w:spacing w:val="-1"/>
                <w:lang w:eastAsia="ar-SA"/>
              </w:rPr>
              <w:t xml:space="preserve">reazione crociata di ipersensibilità tra le tienopiridine (come ticlopidina, prasugrel) (vedere paragrafo 4.4)*, </w:t>
            </w:r>
            <w:r>
              <w:rPr>
                <w:rFonts w:ascii="Times New Roman" w:hAnsi="Times New Roman"/>
                <w:bCs/>
                <w:color w:val="000000"/>
              </w:rPr>
              <w:t>sindrome insulinica autoimmune, che può portare a grave ipoglicemia, in particolare nei pazienti con sottotipo HLA DRA4 (più frequente nella popolazione giapponese)*</w:t>
            </w:r>
          </w:p>
        </w:tc>
      </w:tr>
      <w:tr>
        <w:trPr>
          <w:trHeight w:hRule="exact" w:val="689"/>
        </w:trPr>
        <w:tc>
          <w:tcPr>
            <w:tcW w:w="146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Disturbi </w:t>
            </w:r>
            <w:r>
              <w:rPr>
                <w:rFonts w:ascii="Times New Roman" w:eastAsia="Times New Roman" w:hAnsi="Times New Roman"/>
                <w:color w:val="000000"/>
                <w:spacing w:val="-1"/>
                <w:lang w:eastAsia="ar-SA"/>
              </w:rPr>
              <w:t>psichiatrici</w:t>
            </w:r>
          </w:p>
        </w:tc>
        <w:tc>
          <w:tcPr>
            <w:tcW w:w="169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24"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Allucinazioni, confusione</w:t>
            </w:r>
          </w:p>
        </w:tc>
      </w:tr>
      <w:tr>
        <w:trPr>
          <w:trHeight w:hRule="exact" w:val="1783"/>
        </w:trPr>
        <w:tc>
          <w:tcPr>
            <w:tcW w:w="146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eastAsia="ar-SA"/>
              </w:rPr>
            </w:pPr>
            <w:r>
              <w:rPr>
                <w:rFonts w:ascii="Times New Roman" w:eastAsia="Times New Roman" w:hAnsi="Times New Roman"/>
                <w:color w:val="000000"/>
                <w:lang w:eastAsia="ar-SA"/>
              </w:rPr>
              <w:t xml:space="preserve">Patologie del </w:t>
            </w:r>
            <w:r>
              <w:rPr>
                <w:rFonts w:ascii="Times New Roman" w:eastAsia="Times New Roman" w:hAnsi="Times New Roman"/>
                <w:color w:val="000000"/>
                <w:spacing w:val="-2"/>
                <w:lang w:eastAsia="ar-SA"/>
              </w:rPr>
              <w:t>sistema nervoso</w:t>
            </w:r>
          </w:p>
        </w:tc>
        <w:tc>
          <w:tcPr>
            <w:tcW w:w="169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24"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firstLine="5"/>
              <w:rPr>
                <w:rFonts w:ascii="Times New Roman" w:eastAsia="Times New Roman" w:hAnsi="Times New Roman"/>
                <w:color w:val="000000"/>
                <w:spacing w:val="-1"/>
                <w:lang w:eastAsia="ar-SA"/>
              </w:rPr>
            </w:pPr>
            <w:r>
              <w:rPr>
                <w:rFonts w:ascii="Times New Roman" w:eastAsia="Times New Roman" w:hAnsi="Times New Roman"/>
                <w:color w:val="000000"/>
                <w:spacing w:val="-3"/>
                <w:lang w:eastAsia="ar-SA"/>
              </w:rPr>
              <w:t xml:space="preserve">Sanguinamento </w:t>
            </w:r>
            <w:r>
              <w:rPr>
                <w:rFonts w:ascii="Times New Roman" w:eastAsia="Times New Roman" w:hAnsi="Times New Roman"/>
                <w:color w:val="000000"/>
                <w:spacing w:val="-1"/>
                <w:lang w:eastAsia="ar-SA"/>
              </w:rPr>
              <w:t xml:space="preserve">intracranico (sono stati </w:t>
            </w:r>
            <w:r>
              <w:rPr>
                <w:rFonts w:ascii="Times New Roman" w:eastAsia="Times New Roman" w:hAnsi="Times New Roman"/>
                <w:color w:val="000000"/>
                <w:spacing w:val="-2"/>
                <w:lang w:eastAsia="ar-SA"/>
              </w:rPr>
              <w:t xml:space="preserve">segnalati alcuni </w:t>
            </w:r>
            <w:r>
              <w:rPr>
                <w:rFonts w:ascii="Times New Roman" w:eastAsia="Times New Roman" w:hAnsi="Times New Roman"/>
                <w:color w:val="000000"/>
                <w:spacing w:val="-1"/>
                <w:lang w:eastAsia="ar-SA"/>
              </w:rPr>
              <w:t xml:space="preserve">casi ad esito fatale), cefalea, </w:t>
            </w:r>
            <w:r>
              <w:rPr>
                <w:rFonts w:ascii="Times New Roman" w:eastAsia="Times New Roman" w:hAnsi="Times New Roman"/>
                <w:color w:val="000000"/>
                <w:lang w:eastAsia="ar-SA"/>
              </w:rPr>
              <w:t xml:space="preserve">parestesia, </w:t>
            </w:r>
            <w:r>
              <w:rPr>
                <w:rFonts w:ascii="Times New Roman" w:eastAsia="Times New Roman" w:hAnsi="Times New Roman"/>
                <w:color w:val="000000"/>
                <w:spacing w:val="-1"/>
                <w:lang w:eastAsia="ar-SA"/>
              </w:rPr>
              <w:t>capogiro</w:t>
            </w: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 xml:space="preserve">Alterazioni del gusto, </w:t>
            </w:r>
            <w:r>
              <w:rPr>
                <w:rFonts w:ascii="Times New Roman" w:eastAsia="Times New Roman" w:hAnsi="Times New Roman"/>
                <w:bCs/>
                <w:color w:val="000000"/>
                <w:lang w:eastAsia="ar-SA"/>
              </w:rPr>
              <w:t>ageusia</w:t>
            </w:r>
          </w:p>
        </w:tc>
      </w:tr>
      <w:tr>
        <w:trPr>
          <w:trHeight w:hRule="exact" w:val="1063"/>
        </w:trPr>
        <w:tc>
          <w:tcPr>
            <w:tcW w:w="146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eastAsia="ar-SA"/>
              </w:rPr>
            </w:pPr>
            <w:r>
              <w:rPr>
                <w:rFonts w:ascii="Times New Roman" w:eastAsia="Times New Roman" w:hAnsi="Times New Roman"/>
                <w:color w:val="000000"/>
                <w:lang w:eastAsia="ar-SA"/>
              </w:rPr>
              <w:t xml:space="preserve">Patologie </w:t>
            </w:r>
            <w:r>
              <w:rPr>
                <w:rFonts w:ascii="Times New Roman" w:eastAsia="Times New Roman" w:hAnsi="Times New Roman"/>
                <w:color w:val="000000"/>
                <w:spacing w:val="2"/>
                <w:lang w:eastAsia="ar-SA"/>
              </w:rPr>
              <w:t>dell'occhio</w:t>
            </w:r>
          </w:p>
        </w:tc>
        <w:tc>
          <w:tcPr>
            <w:tcW w:w="169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24"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firstLine="5"/>
              <w:rPr>
                <w:rFonts w:ascii="Times New Roman" w:eastAsia="Times New Roman" w:hAnsi="Times New Roman"/>
                <w:color w:val="000000"/>
                <w:spacing w:val="-2"/>
                <w:lang w:eastAsia="ar-SA"/>
              </w:rPr>
            </w:pPr>
            <w:r>
              <w:rPr>
                <w:rFonts w:ascii="Times New Roman" w:eastAsia="Times New Roman" w:hAnsi="Times New Roman"/>
                <w:color w:val="000000"/>
                <w:spacing w:val="-1"/>
                <w:lang w:eastAsia="ar-SA"/>
              </w:rPr>
              <w:t xml:space="preserve">Sanguinamento </w:t>
            </w:r>
            <w:r>
              <w:rPr>
                <w:rFonts w:ascii="Times New Roman" w:eastAsia="Times New Roman" w:hAnsi="Times New Roman"/>
                <w:color w:val="000000"/>
                <w:lang w:eastAsia="ar-SA"/>
              </w:rPr>
              <w:t xml:space="preserve">intraoculare </w:t>
            </w:r>
            <w:r>
              <w:rPr>
                <w:rFonts w:ascii="Times New Roman" w:eastAsia="Times New Roman" w:hAnsi="Times New Roman"/>
                <w:color w:val="000000"/>
                <w:spacing w:val="-1"/>
                <w:lang w:eastAsia="ar-SA"/>
              </w:rPr>
              <w:t xml:space="preserve">(congiuntivale, </w:t>
            </w:r>
            <w:r>
              <w:rPr>
                <w:rFonts w:ascii="Times New Roman" w:eastAsia="Times New Roman" w:hAnsi="Times New Roman"/>
                <w:color w:val="000000"/>
                <w:spacing w:val="-2"/>
                <w:lang w:eastAsia="ar-SA"/>
              </w:rPr>
              <w:t>oculare, retinico)</w:t>
            </w: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r>
      <w:tr>
        <w:trPr>
          <w:trHeight w:hRule="exact" w:val="739"/>
        </w:trPr>
        <w:tc>
          <w:tcPr>
            <w:tcW w:w="1460"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Patologie dell'orecchio e del </w:t>
            </w:r>
            <w:r>
              <w:rPr>
                <w:rFonts w:ascii="Times New Roman" w:eastAsia="Times New Roman" w:hAnsi="Times New Roman"/>
                <w:color w:val="000000"/>
                <w:spacing w:val="-1"/>
                <w:lang w:eastAsia="ar-SA"/>
              </w:rPr>
              <w:t>labirinto</w:t>
            </w:r>
          </w:p>
        </w:tc>
        <w:tc>
          <w:tcPr>
            <w:tcW w:w="1699"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24"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2"/>
                <w:lang w:eastAsia="ar-SA"/>
              </w:rPr>
            </w:pPr>
            <w:r>
              <w:rPr>
                <w:rFonts w:ascii="Times New Roman" w:eastAsia="Times New Roman" w:hAnsi="Times New Roman"/>
                <w:color w:val="000000"/>
                <w:spacing w:val="-2"/>
                <w:lang w:eastAsia="ar-SA"/>
              </w:rPr>
              <w:t>Vertigine</w:t>
            </w:r>
          </w:p>
        </w:tc>
        <w:tc>
          <w:tcPr>
            <w:tcW w:w="3051" w:type="dxa"/>
            <w:tcBorders>
              <w:left w:val="single" w:sz="4" w:space="0" w:color="000000"/>
              <w:bottom w:val="single" w:sz="4" w:space="0" w:color="auto"/>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r>
      <w:tr>
        <w:trPr>
          <w:trHeight w:hRule="exact" w:val="830"/>
        </w:trPr>
        <w:tc>
          <w:tcPr>
            <w:tcW w:w="1460"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vascolari</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Ematoma</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Emorragia grave, emorragia da ferita chirurgica, vasculite, ipotensione</w:t>
            </w:r>
          </w:p>
        </w:tc>
      </w:tr>
      <w:tr>
        <w:trPr>
          <w:trHeight w:hRule="exact" w:val="1396"/>
        </w:trPr>
        <w:tc>
          <w:tcPr>
            <w:tcW w:w="1460"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respiratorie, toraciche e mediastiniche</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Epistassi</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Sanguinamento del tratto respiratorio (emottisi, emorragia polmonare), broncospasmo, polmonite interstiziale</w:t>
            </w:r>
            <w:r>
              <w:rPr>
                <w:rFonts w:ascii="Times New Roman" w:hAnsi="Times New Roman"/>
                <w:bCs/>
                <w:color w:val="000000"/>
              </w:rPr>
              <w:t>, polmonite eosinofila</w:t>
            </w:r>
            <w:r>
              <w:rPr>
                <w:rFonts w:ascii="Times New Roman" w:eastAsia="Times New Roman" w:hAnsi="Times New Roman"/>
                <w:color w:val="000000"/>
                <w:spacing w:val="-1"/>
                <w:lang w:eastAsia="ar-SA"/>
              </w:rPr>
              <w:t>.</w:t>
            </w:r>
          </w:p>
        </w:tc>
      </w:tr>
      <w:tr>
        <w:trPr>
          <w:trHeight w:hRule="exact" w:val="1996"/>
        </w:trPr>
        <w:tc>
          <w:tcPr>
            <w:tcW w:w="1460"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gastrointestinali</w:t>
            </w:r>
          </w:p>
        </w:tc>
        <w:tc>
          <w:tcPr>
            <w:tcW w:w="1699"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Emorragia gastrointestinale, diarrea, dolore addominale, dispepsia</w:t>
            </w:r>
          </w:p>
        </w:tc>
        <w:tc>
          <w:tcPr>
            <w:tcW w:w="1624"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r>
              <w:rPr>
                <w:rFonts w:ascii="Times New Roman" w:eastAsia="Times New Roman" w:hAnsi="Times New Roman"/>
                <w:lang w:eastAsia="ar-SA"/>
              </w:rPr>
              <w:t>Ulcera gastrica e ulcera duodenale, gastrite, vomito, nausea, costipazione, flatulenza</w:t>
            </w:r>
          </w:p>
        </w:tc>
        <w:tc>
          <w:tcPr>
            <w:tcW w:w="1603"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r>
              <w:rPr>
                <w:rFonts w:ascii="Times New Roman" w:eastAsia="Times New Roman" w:hAnsi="Times New Roman"/>
                <w:lang w:eastAsia="ar-SA"/>
              </w:rPr>
              <w:t>Emorragia retroperitoneale</w:t>
            </w:r>
          </w:p>
        </w:tc>
        <w:tc>
          <w:tcPr>
            <w:tcW w:w="3051" w:type="dxa"/>
            <w:tcBorders>
              <w:top w:val="single" w:sz="4" w:space="0" w:color="auto"/>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Emorragia gastrointestinale e retroperitoneale ad esito fatale, pancreatite, colite (compresa colite ulcerosa o linfocitica), stomatite</w:t>
            </w:r>
          </w:p>
        </w:tc>
      </w:tr>
      <w:tr>
        <w:trPr>
          <w:trHeight w:hRule="exact" w:val="841"/>
        </w:trPr>
        <w:tc>
          <w:tcPr>
            <w:tcW w:w="1460"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epatobiliari</w:t>
            </w:r>
          </w:p>
        </w:tc>
        <w:tc>
          <w:tcPr>
            <w:tcW w:w="1699"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p>
        </w:tc>
        <w:tc>
          <w:tcPr>
            <w:tcW w:w="1624"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left w:val="single" w:sz="4" w:space="0" w:color="000000"/>
              <w:bottom w:val="single" w:sz="4" w:space="0" w:color="auto"/>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Insufficienza epatica acuta, epatite, test di funzionalità epatica anormale</w:t>
            </w:r>
          </w:p>
        </w:tc>
      </w:tr>
      <w:tr>
        <w:trPr>
          <w:trHeight w:hRule="exact" w:val="3201"/>
        </w:trPr>
        <w:tc>
          <w:tcPr>
            <w:tcW w:w="1460"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della cute e del tessuto sottocutaneo</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Contusioni</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r>
              <w:rPr>
                <w:rFonts w:ascii="Times New Roman" w:eastAsia="Times New Roman" w:hAnsi="Times New Roman"/>
                <w:lang w:eastAsia="ar-SA"/>
              </w:rPr>
              <w:t>Rash, prurito, sanguinamento cutaneo (porpora)</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top w:val="single" w:sz="4" w:space="0" w:color="auto"/>
              <w:left w:val="single" w:sz="4" w:space="0" w:color="auto"/>
              <w:bottom w:val="single" w:sz="4" w:space="0" w:color="auto"/>
              <w:right w:val="single" w:sz="4" w:space="0" w:color="auto"/>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Dermatite bollosa (necrolisi epidermica tossica, sindrome di Stevens Johnson, eritema multiforme</w:t>
            </w:r>
            <w:r>
              <w:rPr>
                <w:rFonts w:ascii="Times New Roman" w:hAnsi="Times New Roman"/>
                <w:bCs/>
                <w:color w:val="000000"/>
              </w:rPr>
              <w:t xml:space="preserve">, </w:t>
            </w:r>
            <w:r>
              <w:rPr>
                <w:rFonts w:ascii="Times New Roman" w:hAnsi="Times New Roman"/>
              </w:rPr>
              <w:t>pustolosi esantematosa generalizzata acuta (AGEP)</w:t>
            </w:r>
            <w:r>
              <w:rPr>
                <w:rFonts w:ascii="Times New Roman" w:eastAsia="Times New Roman" w:hAnsi="Times New Roman"/>
                <w:color w:val="000000"/>
                <w:spacing w:val="-1"/>
                <w:lang w:eastAsia="ar-SA"/>
              </w:rPr>
              <w:t xml:space="preserve">), angioedema, </w:t>
            </w:r>
            <w:r>
              <w:rPr>
                <w:rFonts w:ascii="Times New Roman" w:eastAsia="Times New Roman" w:hAnsi="Times New Roman"/>
                <w:bCs/>
                <w:color w:val="000000"/>
                <w:spacing w:val="-1"/>
                <w:lang w:eastAsia="ar-SA"/>
              </w:rPr>
              <w:t>sindrome di ipersensibilità indotta da farmaci, rash da farmaci con eosinofilia e sintomi sistemici (DRESS),</w:t>
            </w:r>
            <w:r>
              <w:rPr>
                <w:rFonts w:ascii="Times New Roman" w:eastAsia="Times New Roman" w:hAnsi="Times New Roman"/>
                <w:b/>
                <w:bCs/>
                <w:color w:val="000000"/>
                <w:spacing w:val="-1"/>
                <w:lang w:eastAsia="ar-SA"/>
              </w:rPr>
              <w:t xml:space="preserve"> </w:t>
            </w:r>
            <w:r>
              <w:rPr>
                <w:rFonts w:ascii="Times New Roman" w:eastAsia="Times New Roman" w:hAnsi="Times New Roman"/>
                <w:color w:val="000000"/>
                <w:spacing w:val="-1"/>
                <w:lang w:eastAsia="ar-SA"/>
              </w:rPr>
              <w:t>rash eritematoso</w:t>
            </w:r>
            <w:r>
              <w:rPr>
                <w:rFonts w:ascii="Times New Roman" w:hAnsi="Times New Roman"/>
                <w:bCs/>
                <w:color w:val="000000"/>
              </w:rPr>
              <w:t xml:space="preserve"> o esfoliativo</w:t>
            </w:r>
            <w:r>
              <w:rPr>
                <w:rFonts w:ascii="Times New Roman" w:eastAsia="Times New Roman" w:hAnsi="Times New Roman"/>
                <w:color w:val="000000"/>
                <w:spacing w:val="-1"/>
                <w:lang w:eastAsia="ar-SA"/>
              </w:rPr>
              <w:t>, orticaria, eczema, lichen planus.</w:t>
            </w:r>
          </w:p>
        </w:tc>
      </w:tr>
      <w:tr>
        <w:trPr>
          <w:trHeight w:hRule="exact" w:val="1546"/>
        </w:trPr>
        <w:tc>
          <w:tcPr>
            <w:tcW w:w="1460"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dell’apparato riproduttivo e della mammella</w:t>
            </w:r>
          </w:p>
        </w:tc>
        <w:tc>
          <w:tcPr>
            <w:tcW w:w="1699"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p>
        </w:tc>
        <w:tc>
          <w:tcPr>
            <w:tcW w:w="1624"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r>
              <w:rPr>
                <w:rFonts w:ascii="Times New Roman" w:eastAsia="Times New Roman" w:hAnsi="Times New Roman"/>
                <w:lang w:eastAsia="ar-SA"/>
              </w:rPr>
              <w:t>Ginecomastia</w:t>
            </w:r>
          </w:p>
        </w:tc>
        <w:tc>
          <w:tcPr>
            <w:tcW w:w="3051" w:type="dxa"/>
            <w:tcBorders>
              <w:top w:val="single" w:sz="4" w:space="0" w:color="auto"/>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p>
        </w:tc>
      </w:tr>
      <w:tr>
        <w:trPr>
          <w:trHeight w:hRule="exact" w:val="1286"/>
        </w:trPr>
        <w:tc>
          <w:tcPr>
            <w:tcW w:w="146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del sistema muscoloscheletrico e del tessuto connettivo</w:t>
            </w:r>
          </w:p>
        </w:tc>
        <w:tc>
          <w:tcPr>
            <w:tcW w:w="169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p>
        </w:tc>
        <w:tc>
          <w:tcPr>
            <w:tcW w:w="1624"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Sanguinamento muscoloscheletrico (emartro), artrite, artralgia, mialgia</w:t>
            </w:r>
          </w:p>
        </w:tc>
      </w:tr>
      <w:tr>
        <w:trPr>
          <w:trHeight w:hRule="exact" w:val="579"/>
        </w:trPr>
        <w:tc>
          <w:tcPr>
            <w:tcW w:w="1460"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renali e urinarie</w:t>
            </w:r>
          </w:p>
        </w:tc>
        <w:tc>
          <w:tcPr>
            <w:tcW w:w="1699"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p>
        </w:tc>
        <w:tc>
          <w:tcPr>
            <w:tcW w:w="1624"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r>
              <w:rPr>
                <w:rFonts w:ascii="Times New Roman" w:eastAsia="Times New Roman" w:hAnsi="Times New Roman"/>
                <w:lang w:eastAsia="ar-SA"/>
              </w:rPr>
              <w:t>Ematuria</w:t>
            </w:r>
          </w:p>
        </w:tc>
        <w:tc>
          <w:tcPr>
            <w:tcW w:w="1603" w:type="dxa"/>
            <w:tcBorders>
              <w:left w:val="single" w:sz="4" w:space="0" w:color="000000"/>
              <w:bottom w:val="single" w:sz="4" w:space="0" w:color="auto"/>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left w:val="single" w:sz="4" w:space="0" w:color="000000"/>
              <w:bottom w:val="single" w:sz="4" w:space="0" w:color="auto"/>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Glomerulonefrite, aumento della creatininemia.</w:t>
            </w:r>
          </w:p>
        </w:tc>
      </w:tr>
      <w:tr>
        <w:trPr>
          <w:trHeight w:hRule="exact" w:val="1861"/>
        </w:trPr>
        <w:tc>
          <w:tcPr>
            <w:tcW w:w="1460"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Patologie sistemiche e condizioni relative alla sede di somministrazione</w:t>
            </w:r>
          </w:p>
        </w:tc>
        <w:tc>
          <w:tcPr>
            <w:tcW w:w="1699"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Sanguinamento in sede di iniezione</w:t>
            </w:r>
          </w:p>
        </w:tc>
        <w:tc>
          <w:tcPr>
            <w:tcW w:w="1624"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1603"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top w:val="single" w:sz="4" w:space="0" w:color="auto"/>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Febbre</w:t>
            </w:r>
          </w:p>
        </w:tc>
      </w:tr>
      <w:tr>
        <w:trPr>
          <w:trHeight w:hRule="exact" w:val="1854"/>
        </w:trPr>
        <w:tc>
          <w:tcPr>
            <w:tcW w:w="146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Esami diagnostici</w:t>
            </w:r>
          </w:p>
        </w:tc>
        <w:tc>
          <w:tcPr>
            <w:tcW w:w="169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eastAsia="ar-SA"/>
              </w:rPr>
            </w:pPr>
          </w:p>
        </w:tc>
        <w:tc>
          <w:tcPr>
            <w:tcW w:w="1624"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r>
              <w:rPr>
                <w:rFonts w:ascii="Times New Roman" w:eastAsia="Times New Roman" w:hAnsi="Times New Roman"/>
                <w:lang w:eastAsia="ar-SA"/>
              </w:rPr>
              <w:t>Aumento del tempo di sanguinamento, diminuzione dei neutrofili, diminuzione delle piastrine</w:t>
            </w: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eastAsia="ar-SA"/>
              </w:rPr>
            </w:pPr>
          </w:p>
        </w:tc>
        <w:tc>
          <w:tcPr>
            <w:tcW w:w="305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eastAsia="ar-SA"/>
              </w:rPr>
            </w:pPr>
          </w:p>
        </w:tc>
      </w:tr>
    </w:tbl>
    <w:p>
      <w:pPr>
        <w:spacing w:after="0" w:line="240" w:lineRule="auto"/>
        <w:rPr>
          <w:rFonts w:ascii="Times New Roman" w:eastAsia="Times New Roman" w:hAnsi="Times New Roman"/>
        </w:rPr>
      </w:pPr>
      <w:r>
        <w:rPr>
          <w:rFonts w:ascii="Times New Roman" w:eastAsia="Times New Roman" w:hAnsi="Times New Roman"/>
        </w:rPr>
        <w:t>* Informazione relativa a clopidogrel con frequenza “non nota”.</w:t>
      </w:r>
    </w:p>
    <w:p>
      <w:pPr>
        <w:spacing w:after="0" w:line="240" w:lineRule="auto"/>
        <w:rPr>
          <w:rFonts w:ascii="Times New Roman" w:eastAsia="Times New Roman" w:hAnsi="Times New Roman"/>
        </w:rPr>
      </w:pPr>
    </w:p>
    <w:p>
      <w:pPr>
        <w:spacing w:after="0" w:line="240" w:lineRule="auto"/>
        <w:rPr>
          <w:rFonts w:ascii="Times New Roman" w:hAnsi="Times New Roman"/>
        </w:rPr>
      </w:pPr>
      <w:r>
        <w:rPr>
          <w:rFonts w:ascii="Times New Roman" w:hAnsi="Times New Roman"/>
        </w:rPr>
        <w:t>Segnalazione delle reazioni avverse sospette</w:t>
      </w:r>
    </w:p>
    <w:p>
      <w:pPr>
        <w:spacing w:after="0" w:line="240" w:lineRule="auto"/>
        <w:rPr>
          <w:rFonts w:ascii="Times New Roman" w:hAnsi="Times New Roman"/>
        </w:rPr>
      </w:pPr>
      <w:r>
        <w:rPr>
          <w:rFonts w:ascii="Times New Roman" w:hAnsi="Times New Roman"/>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rFonts w:ascii="Times New Roman" w:hAnsi="Times New Roman"/>
          <w:highlight w:val="lightGray"/>
        </w:rPr>
        <w:t>il sistema nazionale di segnalazione riportato nell’</w:t>
      </w:r>
      <w:hyperlink r:id="rId8" w:history="1">
        <w:r>
          <w:rPr>
            <w:rStyle w:val="Hyperlink"/>
            <w:rFonts w:ascii="Times New Roman" w:hAnsi="Times New Roman"/>
            <w:highlight w:val="lightGray"/>
          </w:rPr>
          <w:t>Allegato V</w:t>
        </w:r>
      </w:hyperlink>
      <w:r>
        <w:rPr>
          <w:rFonts w:ascii="Times New Roman" w:eastAsia="Times New Roman" w:hAnsi="Times New Roman"/>
          <w:lang w:eastAsia="ar-SA"/>
        </w:rPr>
        <w:t>.</w:t>
      </w:r>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ind w:left="567" w:hanging="567"/>
        <w:rPr>
          <w:rFonts w:ascii="Times New Roman" w:eastAsia="Times New Roman" w:hAnsi="Times New Roman"/>
          <w:b/>
          <w:bCs/>
          <w:color w:val="000000"/>
          <w:spacing w:val="2"/>
          <w:lang w:eastAsia="ar-SA"/>
        </w:rPr>
      </w:pPr>
      <w:r>
        <w:rPr>
          <w:rFonts w:ascii="Times New Roman" w:eastAsia="Times New Roman" w:hAnsi="Times New Roman"/>
          <w:b/>
          <w:bCs/>
          <w:color w:val="000000"/>
          <w:spacing w:val="2"/>
          <w:lang w:eastAsia="ar-SA"/>
        </w:rPr>
        <w:t>4.9</w:t>
      </w:r>
      <w:r>
        <w:rPr>
          <w:rFonts w:ascii="Times New Roman" w:eastAsia="Times New Roman" w:hAnsi="Times New Roman"/>
          <w:b/>
          <w:bCs/>
          <w:color w:val="000000"/>
          <w:spacing w:val="2"/>
          <w:lang w:eastAsia="ar-SA"/>
        </w:rPr>
        <w:tab/>
        <w:t>Sovradosaggio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Il sovradosaggio di clopidogrel può portare ad un prolungamento del tempo di sanguinamento e a conseguenti complicazioni emorragiche. Nel caso in cui si osservino dei sanguinamenti, si dovrà </w:t>
      </w:r>
      <w:r>
        <w:rPr>
          <w:rFonts w:ascii="Times New Roman" w:eastAsia="Times New Roman" w:hAnsi="Times New Roman"/>
          <w:color w:val="000000"/>
          <w:lang w:eastAsia="ar-SA"/>
        </w:rPr>
        <w:t>prendere in considerazione un’appropriata terapia.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Non sono noti antidoti all'attività farmacologica di clopidogrel. Quando fosse richiesta una rapida </w:t>
      </w:r>
      <w:r>
        <w:rPr>
          <w:rFonts w:ascii="Times New Roman" w:eastAsia="Times New Roman" w:hAnsi="Times New Roman"/>
          <w:color w:val="000000"/>
          <w:spacing w:val="-1"/>
          <w:lang w:eastAsia="ar-SA"/>
        </w:rPr>
        <w:t>correzione del prolungamento del tempo di sanguinamento, una trasfusione di piastrine può invertire gli effetti di clopidogrel.</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ind w:left="567" w:hanging="567"/>
        <w:rPr>
          <w:rFonts w:ascii="Times New Roman" w:eastAsia="Times New Roman" w:hAnsi="Times New Roman"/>
          <w:b/>
          <w:bCs/>
          <w:color w:val="000000"/>
          <w:spacing w:val="-2"/>
          <w:lang w:eastAsia="ar-SA"/>
        </w:rPr>
      </w:pPr>
      <w:r>
        <w:rPr>
          <w:rFonts w:ascii="Times New Roman" w:eastAsia="Times New Roman" w:hAnsi="Times New Roman"/>
          <w:b/>
          <w:bCs/>
          <w:color w:val="000000"/>
          <w:spacing w:val="-2"/>
          <w:lang w:eastAsia="ar-SA"/>
        </w:rPr>
        <w:t>5.</w:t>
      </w:r>
      <w:r>
        <w:rPr>
          <w:rFonts w:ascii="Times New Roman" w:eastAsia="Times New Roman" w:hAnsi="Times New Roman"/>
          <w:b/>
          <w:bCs/>
          <w:color w:val="000000"/>
          <w:spacing w:val="-2"/>
          <w:lang w:eastAsia="ar-SA"/>
        </w:rPr>
        <w:tab/>
        <w:t xml:space="preserve">PROPRIETA'FARMACOLOGICHE </w:t>
      </w:r>
      <w:r>
        <w:rPr>
          <w:rFonts w:ascii="Times New Roman" w:eastAsia="Times New Roman" w:hAnsi="Times New Roman"/>
          <w:b/>
          <w:bCs/>
          <w:color w:val="000000"/>
          <w:spacing w:val="-2"/>
          <w:lang w:eastAsia="ar-SA"/>
        </w:rPr>
        <w:tab/>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 xml:space="preserve">5.1 </w:t>
      </w:r>
      <w:r>
        <w:rPr>
          <w:rFonts w:ascii="Times New Roman" w:eastAsia="Times New Roman" w:hAnsi="Times New Roman"/>
          <w:b/>
          <w:bCs/>
          <w:color w:val="000000"/>
          <w:spacing w:val="1"/>
          <w:lang w:eastAsia="ar-SA"/>
        </w:rPr>
        <w:tab/>
        <w:t>Proprietà farmacodinamiche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Categoria farmacoterapeutica: Agenti antitrombotici, Antiaggreganti piastrinici, esclusa l’eparina, codice ATC: B01AC-04.</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spacing w:after="0" w:line="240" w:lineRule="auto"/>
        <w:rPr>
          <w:rFonts w:ascii="Times New Roman" w:hAnsi="Times New Roman"/>
          <w:i/>
        </w:rPr>
      </w:pPr>
      <w:r>
        <w:rPr>
          <w:rFonts w:ascii="Times New Roman" w:hAnsi="Times New Roman"/>
          <w:i/>
        </w:rPr>
        <w:t>Meccanismo d’azione</w:t>
      </w:r>
    </w:p>
    <w:p>
      <w:pPr>
        <w:spacing w:after="0" w:line="240" w:lineRule="auto"/>
        <w:rPr>
          <w:rFonts w:ascii="Times New Roman" w:hAnsi="Times New Roman"/>
          <w:lang w:eastAsia="ar-SA"/>
        </w:rPr>
      </w:pPr>
      <w:r>
        <w:rPr>
          <w:rFonts w:ascii="Times New Roman" w:hAnsi="Times New Roman"/>
          <w:lang w:eastAsia="ar-SA"/>
        </w:rPr>
        <w:t>Clopidogrel è un profarmaco, uno dei suoi metaboliti è un inibitore dell’aggregazione piastrinica. Clopidogrel deve essere metabolizzato dagli enzimi del CYP450 per produrre il metabolita attivo che inibisce l’aggregazione piastrinica.</w:t>
      </w:r>
    </w:p>
    <w:p>
      <w:pPr>
        <w:spacing w:after="0" w:line="240" w:lineRule="auto"/>
        <w:rPr>
          <w:rFonts w:ascii="Times New Roman" w:hAnsi="Times New Roman"/>
          <w:lang w:eastAsia="ar-SA"/>
        </w:rPr>
      </w:pPr>
      <w:r>
        <w:rPr>
          <w:rFonts w:ascii="Times New Roman" w:hAnsi="Times New Roman"/>
          <w:lang w:eastAsia="ar-SA"/>
        </w:rPr>
        <w:t>Il metabolita attivo di clopidogrel inibisce selettivamente il legame dell'adenosina-difosfato (ADP) al suo recettore piastrinico P2Y</w:t>
      </w:r>
      <w:r>
        <w:rPr>
          <w:rFonts w:ascii="Times New Roman" w:hAnsi="Times New Roman"/>
          <w:vertAlign w:val="subscript"/>
          <w:lang w:eastAsia="ar-SA"/>
        </w:rPr>
        <w:t>12</w:t>
      </w:r>
      <w:r>
        <w:rPr>
          <w:rFonts w:ascii="Times New Roman" w:hAnsi="Times New Roman"/>
          <w:lang w:eastAsia="ar-SA"/>
        </w:rPr>
        <w:t>, e di conseguenza inibisce l'attivazione del complesso glicoproteico GPIIb-IIIa mediata dall'ADP, e pertanto l'aggregazione piastrinica risulta inibita.</w:t>
      </w:r>
    </w:p>
    <w:p>
      <w:pPr>
        <w:spacing w:after="0" w:line="240" w:lineRule="auto"/>
        <w:rPr>
          <w:rFonts w:ascii="Times New Roman" w:hAnsi="Times New Roman"/>
          <w:lang w:eastAsia="ar-SA"/>
        </w:rPr>
      </w:pPr>
    </w:p>
    <w:p>
      <w:pPr>
        <w:spacing w:after="0" w:line="240" w:lineRule="auto"/>
        <w:rPr>
          <w:rFonts w:ascii="Times New Roman" w:hAnsi="Times New Roman"/>
          <w:lang w:eastAsia="ar-SA"/>
        </w:rPr>
      </w:pPr>
      <w:r>
        <w:rPr>
          <w:rFonts w:ascii="Times New Roman" w:hAnsi="Times New Roman"/>
          <w:lang w:eastAsia="ar-SA"/>
        </w:rPr>
        <w:t>A causa del legame irreversibile, le piastrine esposte a clopidogrel sono influenzate per il resto della loro vita (circa 7-10 giorni) ed il recupero della funzione piastrinica normale avviene con un andamento dipendente dal ricambio piastrinico. Anche l’aggregazione piastrinica indotta da agonisti diversi dall’ADP è inibita dal blocco dell’amplificazione dell’attivazione piastrinica dovuta all’ADP rilasciato.</w:t>
      </w:r>
    </w:p>
    <w:p>
      <w:pPr>
        <w:spacing w:after="0" w:line="240" w:lineRule="auto"/>
        <w:rPr>
          <w:rFonts w:ascii="Times New Roman" w:hAnsi="Times New Roman"/>
          <w:lang w:eastAsia="ar-SA"/>
        </w:rPr>
      </w:pPr>
    </w:p>
    <w:p>
      <w:pPr>
        <w:spacing w:after="0" w:line="240" w:lineRule="auto"/>
        <w:rPr>
          <w:rFonts w:ascii="Times New Roman" w:hAnsi="Times New Roman"/>
          <w:lang w:eastAsia="ar-SA"/>
        </w:rPr>
      </w:pPr>
      <w:r>
        <w:rPr>
          <w:rFonts w:ascii="Times New Roman" w:hAnsi="Times New Roman"/>
          <w:lang w:eastAsia="ar-SA"/>
        </w:rPr>
        <w:t>Poiché il metabolita attivo è prodotto dall’attività degli enzimi del CYP450, alcuni dei quali sono polimorfi o soggetti a inibizione da altri medicinali, non tutti i pazienti avranno un’inibizione piastrinica adeguata.</w:t>
      </w:r>
    </w:p>
    <w:p>
      <w:pPr>
        <w:spacing w:after="0" w:line="240" w:lineRule="auto"/>
        <w:rPr>
          <w:rFonts w:ascii="Times New Roman" w:hAnsi="Times New Roman"/>
          <w:color w:val="000000"/>
          <w:spacing w:val="-1"/>
          <w:lang w:eastAsia="ar-SA"/>
        </w:rPr>
      </w:pPr>
    </w:p>
    <w:p>
      <w:pPr>
        <w:spacing w:after="0" w:line="240" w:lineRule="auto"/>
        <w:rPr>
          <w:rFonts w:ascii="Times New Roman" w:hAnsi="Times New Roman"/>
          <w:i/>
        </w:rPr>
      </w:pPr>
      <w:r>
        <w:rPr>
          <w:rFonts w:ascii="Times New Roman" w:hAnsi="Times New Roman"/>
          <w:i/>
        </w:rPr>
        <w:t>Proprietà farmacodinamiche</w:t>
      </w:r>
    </w:p>
    <w:p>
      <w:pPr>
        <w:spacing w:after="0" w:line="240" w:lineRule="auto"/>
        <w:rPr>
          <w:rFonts w:ascii="Times New Roman" w:hAnsi="Times New Roman"/>
          <w:lang w:eastAsia="ar-SA"/>
        </w:rPr>
      </w:pPr>
      <w:r>
        <w:rPr>
          <w:rFonts w:ascii="Times New Roman" w:hAnsi="Times New Roman"/>
          <w:lang w:eastAsia="ar-SA"/>
        </w:rPr>
        <w:t>Dosi ripetute di 75 mg al giorno hanno prodotto una notevole inibizione dell'aggregazione piastrinica ADP</w:t>
      </w:r>
      <w:r>
        <w:rPr>
          <w:rFonts w:ascii="Times New Roman" w:hAnsi="Times New Roman"/>
          <w:lang w:eastAsia="ar-SA"/>
        </w:rPr>
        <w:noBreakHyphen/>
        <w:t>indotta già dal primo giorno; l'inibizione è aumentata progressivamente fino a stabilizzarsi tra il terzo ed il settimo giorno. In questa condizione di "steady-state" il livello medio di inibizione osservato con una dose di 75 mg al giorno era compreso tra 40-60%. L'aggregazione piastrinica ed il tempo di sanguinamento sono tornati gradualmente ai valori di base in genere entro 5 giorni dall'interruzione del trattamento.</w:t>
      </w:r>
    </w:p>
    <w:p>
      <w:pPr>
        <w:spacing w:after="0" w:line="240" w:lineRule="auto"/>
        <w:rPr>
          <w:rFonts w:ascii="Times New Roman" w:hAnsi="Times New Roman"/>
          <w:lang w:eastAsia="ar-SA"/>
        </w:rPr>
      </w:pPr>
    </w:p>
    <w:p>
      <w:pPr>
        <w:spacing w:after="0" w:line="240" w:lineRule="auto"/>
        <w:rPr>
          <w:rFonts w:ascii="Times New Roman" w:hAnsi="Times New Roman"/>
          <w:i/>
        </w:rPr>
      </w:pPr>
      <w:r>
        <w:rPr>
          <w:rFonts w:ascii="Times New Roman" w:hAnsi="Times New Roman"/>
          <w:i/>
        </w:rPr>
        <w:t>Efficacia e sicurezza clinica</w:t>
      </w:r>
    </w:p>
    <w:p>
      <w:pPr>
        <w:spacing w:after="0" w:line="240" w:lineRule="auto"/>
        <w:rPr>
          <w:rFonts w:ascii="Times New Roman" w:hAnsi="Times New Roman"/>
          <w:lang w:eastAsia="ar-SA"/>
        </w:rPr>
      </w:pPr>
      <w:r>
        <w:rPr>
          <w:rFonts w:ascii="Times New Roman" w:hAnsi="Times New Roman"/>
          <w:lang w:eastAsia="ar-SA"/>
        </w:rPr>
        <w:t>La sicurezza e l’efficacia di clopidogrel sono state valutate in 7 studi in doppio-cieco che hanno coinvolto più di 100.000 pazienti: lo studio CAPRIE, di confronto tra clopidogrel e ASA, e gli studi CURE, CLARITY, COMMIT, CHANCE, POINT e ACTIVE-A di confronto tra clopidogrel e placebo, entrambi somministrati in associazione con ASA ed altre terapie standard.</w:t>
      </w:r>
    </w:p>
    <w:p>
      <w:pPr>
        <w:widowControl w:val="0"/>
        <w:shd w:val="clear" w:color="auto" w:fill="FFFFFF"/>
        <w:suppressAutoHyphens/>
        <w:autoSpaceDE w:val="0"/>
        <w:spacing w:after="0" w:line="240" w:lineRule="auto"/>
        <w:rPr>
          <w:rFonts w:ascii="Times New Roman" w:eastAsia="Times New Roman" w:hAnsi="Times New Roman"/>
          <w:b/>
          <w:i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i/>
          <w:iCs/>
          <w:color w:val="000000"/>
          <w:lang w:eastAsia="ar-SA"/>
        </w:rPr>
      </w:pPr>
      <w:r>
        <w:rPr>
          <w:rFonts w:ascii="Times New Roman" w:eastAsia="Times New Roman" w:hAnsi="Times New Roman"/>
          <w:i/>
          <w:iCs/>
          <w:color w:val="000000"/>
          <w:lang w:eastAsia="ar-SA"/>
        </w:rPr>
        <w:t xml:space="preserve">Infarto miocardico recente (IM), ictus recente o arteriopatia obliterante periferica </w:t>
      </w:r>
      <w:r>
        <w:rPr>
          <w:rFonts w:ascii="Times New Roman" w:eastAsia="Times New Roman" w:hAnsi="Times New Roman"/>
          <w:i/>
          <w:lang w:eastAsia="ar-SA"/>
        </w:rPr>
        <w:t>documentata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Lo studio CAPRIE è stato condotto su 19.185 pazienti con aterotrombosi manifestatasi con recente </w:t>
      </w:r>
      <w:r>
        <w:rPr>
          <w:rFonts w:ascii="Times New Roman" w:eastAsia="Times New Roman" w:hAnsi="Times New Roman"/>
          <w:color w:val="000000"/>
          <w:lang w:eastAsia="ar-SA"/>
        </w:rPr>
        <w:t xml:space="preserve">infarto miocardico (&lt;35 giorni), recente ictus ischemico (tra 7 giorni e 6 mesi), o arteriopatia obliterante periferica comprovata (AOP). I pazienti sono stati randomizzati al trattamento con clopidogrel 75 mg/die oppure con ASA 325 mg/die, e osservati per un periodo da l a 3 anni. Nel sottogruppo con infarto miocardico la maggior parte dei pazienti è stata trattata con ASA per i </w:t>
      </w:r>
      <w:r>
        <w:rPr>
          <w:rFonts w:ascii="Times New Roman" w:eastAsia="Times New Roman" w:hAnsi="Times New Roman"/>
          <w:color w:val="000000"/>
          <w:spacing w:val="1"/>
          <w:lang w:eastAsia="ar-SA"/>
        </w:rPr>
        <w:t>primissimi giorni seguenti l'infarto miocardico acuto.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Clopidogrel ha ridotto significativamente l'incidenza di nuovi eventi ischemici ("end point" combinato </w:t>
      </w:r>
      <w:r>
        <w:rPr>
          <w:rFonts w:ascii="Times New Roman" w:eastAsia="Times New Roman" w:hAnsi="Times New Roman"/>
          <w:color w:val="000000"/>
          <w:lang w:eastAsia="ar-SA"/>
        </w:rPr>
        <w:t xml:space="preserve">di infarto miocardico, ictus ischemico e morte vascolare) rispetto ad ASA. Nell'analisi "intention to treat", 939 eventi sono stati osservati nel gruppo clopidogrel e 1.020 eventi con ASA, (riduzione del rischio relativo (RRR) 8,7%, [IC 95%: da 0,2 a 16,4]; p = 0,045), che corrisponde, per ogni 1.000 </w:t>
      </w:r>
      <w:r>
        <w:rPr>
          <w:rFonts w:ascii="Times New Roman" w:eastAsia="Times New Roman" w:hAnsi="Times New Roman"/>
          <w:color w:val="000000"/>
          <w:spacing w:val="-1"/>
          <w:lang w:eastAsia="ar-SA"/>
        </w:rPr>
        <w:t xml:space="preserve">pazienti trattati per 2 anni, a 10 ulteriori pazienti [IC: da 0 a 20] ai quali sono stati evitati nuovi eventi </w:t>
      </w:r>
      <w:r>
        <w:rPr>
          <w:rFonts w:ascii="Times New Roman" w:eastAsia="Times New Roman" w:hAnsi="Times New Roman"/>
          <w:color w:val="000000"/>
          <w:lang w:eastAsia="ar-SA"/>
        </w:rPr>
        <w:t>ischemici. L'analisi della mortalità totale quale endpoint secondario non ha mostrato nessuna differenza significativa tra clopidogrel (5,8%) e ASA (6,0%).</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Nell'analisi del sottogruppo eseguita per patologia qualificante (infarto miocardico, ictus ischemico ed </w:t>
      </w:r>
      <w:r>
        <w:rPr>
          <w:rFonts w:ascii="Times New Roman" w:eastAsia="Times New Roman" w:hAnsi="Times New Roman"/>
          <w:color w:val="000000"/>
          <w:lang w:eastAsia="ar-SA"/>
        </w:rPr>
        <w:t xml:space="preserve">arteriopatia obliterante periferica AOP) il beneficio è apparso essere più consistente (raggiungendo la significatività statistica a p = 0,003) nei pazienti arruolati per arteriopatia obliterante periferica (in special modo per quelli con precedenti di infarto miocardico) (RRR = 23,7%; IC: da 8,9 a 36,2) e meno consistente (non significativamente diverso da ASA) nei pazienti con ictus (RRR = 7,3%; IC: da - 5,7 a 18,7 [p=0,258]). Nei pazienti arruolati nello studio sulla sola base di un recente infarto miocardico, clopidogrel è stato numericamente inferiore, ma non statisticamente diverso da ASA (RRR = - 4,0%; IC: da - 22,5 a 11,7 [p=0,639]). Inoltre una analisi dei sottogruppi per età ha indicato </w:t>
      </w:r>
      <w:r>
        <w:rPr>
          <w:rFonts w:ascii="Times New Roman" w:eastAsia="Times New Roman" w:hAnsi="Times New Roman"/>
          <w:color w:val="000000"/>
          <w:spacing w:val="-1"/>
          <w:lang w:eastAsia="ar-SA"/>
        </w:rPr>
        <w:t>che il beneficio di clopidogrel nei pazienti oltre 75 anni è stato inferiore a quello osservato nei pazienti di età ≤75 anni.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Dato che lo studio CAPRIE non è stato dimensionato per valutare l'efficacia nei singoli sottogruppi, </w:t>
      </w:r>
      <w:r>
        <w:rPr>
          <w:rFonts w:ascii="Times New Roman" w:eastAsia="Times New Roman" w:hAnsi="Times New Roman"/>
          <w:color w:val="000000"/>
          <w:spacing w:val="-1"/>
          <w:lang w:eastAsia="ar-SA"/>
        </w:rPr>
        <w:t>non risulta chiaro se le differenze nella riduzione del rischio relativo per le varie patologie qualificanti siano reali oppure siano dovute al caso.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shd w:val="clear" w:color="auto" w:fill="FFFFFF"/>
        <w:tabs>
          <w:tab w:val="left" w:pos="567"/>
        </w:tabs>
        <w:spacing w:after="0" w:line="240" w:lineRule="auto"/>
        <w:rPr>
          <w:rFonts w:ascii="Times New Roman" w:eastAsia="Times New Roman" w:hAnsi="Times New Roman"/>
          <w:i/>
          <w:iCs/>
          <w:color w:val="000000"/>
        </w:rPr>
      </w:pPr>
      <w:r>
        <w:rPr>
          <w:rFonts w:ascii="Times New Roman" w:eastAsia="Times New Roman" w:hAnsi="Times New Roman"/>
          <w:i/>
          <w:iCs/>
          <w:color w:val="000000"/>
        </w:rPr>
        <w:t>Sindrome coronarica acuta</w:t>
      </w:r>
    </w:p>
    <w:p>
      <w:pPr>
        <w:shd w:val="clear" w:color="auto" w:fill="FFFFFF"/>
        <w:tabs>
          <w:tab w:val="left" w:pos="567"/>
        </w:tabs>
        <w:spacing w:after="0" w:line="240" w:lineRule="auto"/>
        <w:rPr>
          <w:rFonts w:ascii="Times New Roman" w:eastAsia="Times New Roman" w:hAnsi="Times New Roman"/>
          <w:i/>
          <w:iCs/>
          <w:color w:val="000000"/>
        </w:rPr>
      </w:pPr>
    </w:p>
    <w:p>
      <w:pPr>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Lo studio CURE è stato condotto su 12.562 pazienti con sindrome coronarica acuta senza innalzamento del tratto ST (angina instabile o infarto miocardico senza onde Q), che avevano presentato l’inizio del loro più recente episodio di dolore toracico o sintomi coerenti con ischemia nelle 24 ore precedenti. I pazienti dovevano presentare o modificazioni ECG compatibili con nuova ischemia o elevazione degli enzimi cardiaci o della troponina I o T almeno 2 volte il limite superiore della norma. I pazienti sono stati randomizzati al trattamento con clopidogrel (dose di carico 300 mg seguita da 75 mg/die, N=6259) o con placebo (N=6303), entrambi somministrati in associazione con ASA (75-325 mg una volta al giorno) e altre terapie standard. I pazienti sono stati trattati fino ad un anno. Nello studio CURE, 823 pazienti (6,6%) hanno ricevuto una terapia concomitante di antagonisti dei recettori GPIIb/IIIa. Eparina è stata somministrata in più del 90% dei pazienti e la relativa percentuale di sanguinamento tra clopidogrel e placebo non è stata significativamente influenzata dalla terapia concomitante con eparina.</w:t>
      </w:r>
    </w:p>
    <w:p>
      <w:pPr>
        <w:shd w:val="clear" w:color="auto" w:fill="FFFFFF"/>
        <w:tabs>
          <w:tab w:val="left" w:pos="567"/>
        </w:tabs>
        <w:spacing w:after="0" w:line="240" w:lineRule="auto"/>
        <w:rPr>
          <w:rFonts w:ascii="Times New Roman" w:eastAsia="Times New Roman" w:hAnsi="Times New Roman"/>
          <w:color w:val="000000"/>
        </w:rPr>
      </w:pPr>
    </w:p>
    <w:p>
      <w:pPr>
        <w:spacing w:after="0" w:line="240" w:lineRule="auto"/>
        <w:rPr>
          <w:rFonts w:ascii="Times New Roman" w:eastAsia="Times New Roman" w:hAnsi="Times New Roman"/>
          <w:color w:val="000000"/>
          <w:lang w:eastAsia="ar-SA"/>
        </w:rPr>
      </w:pPr>
      <w:bookmarkStart w:id="1" w:name="OLE_LINK2"/>
      <w:bookmarkStart w:id="2" w:name="OLE_LINK3"/>
      <w:r>
        <w:rPr>
          <w:rFonts w:ascii="Times New Roman" w:eastAsia="Times New Roman" w:hAnsi="Times New Roman"/>
          <w:color w:val="000000"/>
          <w:lang w:eastAsia="ar-SA"/>
        </w:rPr>
        <w:t>Il numero di pazienti che ha manifestato l’endpoint primario (morte cardiovascolare, infarto miocardico, o ictus) è stato di 582 (9,3%) nel gruppo trattato con clopidogrel e di 719 (11,4%) nel gruppo trattato con placebo, con una riduzione del rischio relativo del 20% (IC 95% da 10% a 28%; p=0,00009) per il gruppo clopidogrel (17% di riduzione del rischio relativo quando i pazienti sono stati trattati in modo conservativo, 29% quando sono stati sottoposti a angioplastica coronarica transluminale percutanea (PTCA) con o senza stent e 10% quando sono stati sottoposti a innesto di bypass aortocoronarico (CABG) Sono stati prevenuti nuovi eventi cardiovascolari (endpoint primario) con una riduzione del rischio relativo del 22% (IC: da 8,6 a 33,4), 32% (IC: da 12,8 a 46,4), 4% (IC: da -26,9 a 26,7), 6% (IC: da -33,5 a 34,3) e 14% (IC: da -31,6 a 44,2), durante gli intervalli dello studio 0-1, 1-3, 3-6, 6-9 e 9-12 mesi, rispettivamente. Pertanto, oltre a 3 mesi di trattamento, il beneficio osservato nel gruppo clopidogrel + ASA non era ulteriormente aumentato mentre il rischio di emorragia persisteva (vedere paragrafo 4.4).</w:t>
      </w:r>
    </w:p>
    <w:bookmarkEnd w:id="1"/>
    <w:bookmarkEnd w:id="2"/>
    <w:p>
      <w:pPr>
        <w:shd w:val="clear" w:color="auto" w:fill="FFFFFF"/>
        <w:tabs>
          <w:tab w:val="left" w:pos="567"/>
        </w:tabs>
        <w:spacing w:after="0" w:line="240" w:lineRule="auto"/>
        <w:rPr>
          <w:rFonts w:ascii="Times New Roman" w:eastAsia="Times New Roman" w:hAnsi="Times New Roman"/>
          <w:color w:val="000000"/>
        </w:rPr>
      </w:pPr>
    </w:p>
    <w:p>
      <w:pPr>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L’uso di clopidogrel nel CURE era associato con una diminuzione della necessità di un trattamento trombolitico (RRR = 43,3%; IC: da 24,3% a 57,5%) e inibitori di GPIIb/IIIa (RRR = 18,2%; IC: 6,5%, 28,3%).</w:t>
      </w:r>
    </w:p>
    <w:p>
      <w:pPr>
        <w:shd w:val="clear" w:color="auto" w:fill="FFFFFF"/>
        <w:tabs>
          <w:tab w:val="left" w:pos="567"/>
        </w:tabs>
        <w:spacing w:after="0" w:line="240" w:lineRule="auto"/>
        <w:rPr>
          <w:rFonts w:ascii="Times New Roman" w:eastAsia="Times New Roman" w:hAnsi="Times New Roman"/>
          <w:color w:val="000000"/>
        </w:rPr>
      </w:pPr>
    </w:p>
    <w:p>
      <w:pPr>
        <w:spacing w:after="0" w:line="240" w:lineRule="auto"/>
        <w:rPr>
          <w:rFonts w:ascii="Times New Roman" w:eastAsia="Times New Roman" w:hAnsi="Times New Roman"/>
          <w:color w:val="000000"/>
        </w:rPr>
      </w:pPr>
      <w:r>
        <w:rPr>
          <w:rFonts w:ascii="Times New Roman" w:eastAsia="Times New Roman" w:hAnsi="Times New Roman"/>
          <w:color w:val="000000"/>
        </w:rPr>
        <w:t>Il numero di pazienti che ha manifestato l’endpoint co-primario (morte cardiovascolare, infarto miocardico, ictus o ischemia refrattaria) è stato di 1.035 (16,5%) nel gruppo trattato con clopidogrel e di 1.187 (18,8%) nel gruppo trattato con placebo, con una riduzione del rischio relativo del 14% (IC 95% da 6% a 21%, p=0,0005) per il gruppo trattato con clopidogrel. Questo beneficio è stato principalmente determinato da una riduzione statisticamente significativa dell’incidenza dell’infarto miocardico [287 (4,6%) nel gruppo trattato con clopidogrel e 363 (5,8%) nel gruppo trattato con placebo]. Non si è osservato nessun effetto sulla percentuale di riospedalizzazione per angina instabile.</w:t>
      </w:r>
    </w:p>
    <w:p>
      <w:pPr>
        <w:spacing w:line="240" w:lineRule="auto"/>
        <w:rPr>
          <w:rFonts w:ascii="Times New Roman" w:eastAsia="Times New Roman" w:hAnsi="Times New Roman"/>
          <w:color w:val="000000"/>
        </w:rPr>
      </w:pPr>
    </w:p>
    <w:p>
      <w:pPr>
        <w:spacing w:after="0" w:line="240" w:lineRule="auto"/>
        <w:rPr>
          <w:rFonts w:ascii="Times New Roman" w:eastAsia="Times New Roman" w:hAnsi="Times New Roman"/>
          <w:color w:val="000000"/>
        </w:rPr>
      </w:pPr>
      <w:r>
        <w:rPr>
          <w:rFonts w:ascii="Times New Roman" w:eastAsia="Times New Roman" w:hAnsi="Times New Roman"/>
          <w:color w:val="000000"/>
        </w:rPr>
        <w:t>I risultati ottenuti nelle popolazioni con caratteristiche differenti (per es. angina instabile o infarto miocardico senza onde Q, livelli di rischio basso o alto, diabete, necessità di rivascolarizzazione, età, sesso, ecc.) si sono rivelati coerenti con i risultati dell’analisi primaria. In particolare, in un’analisi a posteriori in 2.172 pazienti (17% della popolazione totale dello studio CURE) che erano stati sottoposti a posizionamento di stent (Stent-CURE), i dati hanno mostrato una significativa RRR del 26,2% a favore di clopidogrel rispetto a placebo per l’endpoint co-primario (morte cardiovascolare, infarto miocardico, ictus) ed una significativa RRR del 23,9% per il secondo endpoint co-primario (morte cardiovascolare, infarto miocardico, ictus o ischemia refrattaria). Inoltre, il profilo di sicurezza di clopidogrel in questo sottogruppo di pazienti non ha evidenziato particolari problemi. Pertanto, i risultati ottenuti da questo sottogruppo sono in linea con i risultati complessivi dello studio.</w:t>
      </w:r>
    </w:p>
    <w:p>
      <w:pPr>
        <w:shd w:val="clear" w:color="auto" w:fill="FFFFFF"/>
        <w:tabs>
          <w:tab w:val="left" w:pos="187"/>
          <w:tab w:val="left" w:pos="567"/>
        </w:tabs>
        <w:spacing w:after="0" w:line="240" w:lineRule="auto"/>
        <w:rPr>
          <w:rFonts w:ascii="Times New Roman" w:eastAsia="Times New Roman" w:hAnsi="Times New Roman"/>
          <w:color w:val="000000"/>
          <w:spacing w:val="-12"/>
        </w:rPr>
      </w:pPr>
    </w:p>
    <w:p>
      <w:pPr>
        <w:spacing w:after="0" w:line="240" w:lineRule="auto"/>
        <w:rPr>
          <w:rFonts w:ascii="Times New Roman" w:eastAsia="Times New Roman" w:hAnsi="Times New Roman"/>
          <w:color w:val="000000"/>
        </w:rPr>
      </w:pPr>
      <w:r>
        <w:rPr>
          <w:rFonts w:ascii="Times New Roman" w:eastAsia="Times New Roman" w:hAnsi="Times New Roman"/>
          <w:color w:val="000000"/>
        </w:rPr>
        <w:t>Il beneficio osservato con clopidogrel si è dimostrato indipendente dall’utilizzo di altre terapie cardiovascolari in acuto e a lungo termine (come eparina/EBPM, antagonisti della glicoproteina IIb/IIIa, farmaci ipolipemizzanti, beta bloccanti, e ACE inibitori). L’efficacia di clopidogrel è risultata indipendente dalla dose di ASA (75</w:t>
      </w:r>
      <w:r>
        <w:rPr>
          <w:rFonts w:ascii="Times New Roman" w:eastAsia="Times New Roman" w:hAnsi="Times New Roman"/>
          <w:color w:val="000000"/>
        </w:rPr>
        <w:noBreakHyphen/>
        <w:t>325 mg una volta al giorno).</w:t>
      </w:r>
    </w:p>
    <w:p>
      <w:pPr>
        <w:spacing w:after="0" w:line="240" w:lineRule="auto"/>
        <w:ind w:right="-29"/>
        <w:jc w:val="both"/>
        <w:rPr>
          <w:rFonts w:ascii="Times New Roman" w:eastAsia="Times New Roman" w:hAnsi="Times New Roman"/>
          <w:color w:val="000000"/>
        </w:rPr>
      </w:pPr>
    </w:p>
    <w:p>
      <w:pPr>
        <w:spacing w:after="0" w:line="240" w:lineRule="auto"/>
        <w:ind w:right="-29"/>
        <w:jc w:val="both"/>
        <w:rPr>
          <w:rFonts w:ascii="Times New Roman" w:eastAsia="Times New Roman" w:hAnsi="Times New Roman"/>
          <w:color w:val="000000"/>
        </w:rPr>
      </w:pPr>
      <w:r>
        <w:rPr>
          <w:rFonts w:ascii="Times New Roman" w:eastAsia="Times New Roman" w:hAnsi="Times New Roman"/>
          <w:color w:val="000000"/>
        </w:rPr>
        <w:t>Infarto miocardico con sopraslivellamento del tratto ST</w:t>
      </w:r>
    </w:p>
    <w:p>
      <w:pPr>
        <w:spacing w:after="0" w:line="240" w:lineRule="auto"/>
        <w:ind w:right="-29"/>
        <w:jc w:val="both"/>
        <w:rPr>
          <w:rFonts w:ascii="Times New Roman" w:eastAsia="Times New Roman" w:hAnsi="Times New Roman"/>
          <w:color w:val="000000"/>
        </w:rPr>
      </w:pPr>
    </w:p>
    <w:p>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Nei pazienti con IM acuto con innalzamento del tratto ST (STEMI), la sicurezza e l’efficacia di clopidogrel sono state valutate in 2 studi, CLARITY </w:t>
      </w:r>
      <w:r>
        <w:rPr>
          <w:rFonts w:ascii="Times New Roman" w:hAnsi="Times New Roman"/>
        </w:rPr>
        <w:t xml:space="preserve">un’analisi prospettica di sottogruppo dello studio </w:t>
      </w:r>
      <w:r>
        <w:rPr>
          <w:rFonts w:ascii="Times New Roman" w:hAnsi="Times New Roman"/>
          <w:color w:val="000000"/>
        </w:rPr>
        <w:t>CLARITY (CLARITY PCI</w:t>
      </w:r>
      <w:r>
        <w:rPr>
          <w:rFonts w:ascii="Times New Roman" w:hAnsi="Times New Roman"/>
        </w:rPr>
        <w:t xml:space="preserve">) </w:t>
      </w:r>
      <w:r>
        <w:rPr>
          <w:rFonts w:ascii="Times New Roman" w:eastAsia="Times New Roman" w:hAnsi="Times New Roman"/>
          <w:color w:val="000000"/>
        </w:rPr>
        <w:t>e COMMIT, randomizzati, in doppio-cieco, controllati con placebo.</w:t>
      </w:r>
    </w:p>
    <w:p>
      <w:pPr>
        <w:shd w:val="clear" w:color="auto" w:fill="FFFFFF"/>
        <w:tabs>
          <w:tab w:val="left" w:pos="567"/>
        </w:tabs>
        <w:spacing w:after="0" w:line="240" w:lineRule="auto"/>
        <w:rPr>
          <w:rFonts w:ascii="Times New Roman" w:eastAsia="Times New Roman" w:hAnsi="Times New Roman"/>
          <w:color w:val="000000"/>
        </w:rPr>
      </w:pPr>
    </w:p>
    <w:p>
      <w:pPr>
        <w:pStyle w:val="BodyText3"/>
        <w:tabs>
          <w:tab w:val="left" w:pos="240"/>
        </w:tabs>
        <w:autoSpaceDN w:val="0"/>
        <w:adjustRightInd w:val="0"/>
        <w:spacing w:after="0"/>
        <w:rPr>
          <w:color w:val="000000"/>
          <w:sz w:val="22"/>
          <w:szCs w:val="22"/>
          <w:lang w:eastAsia="en-US"/>
        </w:rPr>
      </w:pPr>
      <w:r>
        <w:rPr>
          <w:color w:val="000000"/>
          <w:sz w:val="22"/>
          <w:szCs w:val="22"/>
          <w:lang w:eastAsia="en-US"/>
        </w:rPr>
        <w:t>Lo studio CLARITY ha arruolato 3.491 pazienti che si presentavano entro 12 ore dall’esordio di un IM con innalzamento del tratto ST ed erano candidati alla terapia trombolitica. I pazienti hanno ricevuto clopidogrel (dose di carico di 300 mg, seguita da 75 mg/die, n=1752) oppure placebo (n=1739), entrambi in associazione con ASA (dose di carico da 150 a 325 mg, seguita da 75-162 mg/die), un farmaco fibrinolitico e, laddove necessario, eparina. I pazienti sono stati osservati per 30 giorni. L’endpoint primario era rappresentato dalla comparsa di uno dei seguenti eventi: occlusione dell’arteria correlata all’infarto, riscontrabile all’angiografia pre-dimissione, oppure la morte, oppure una recidiva di IM prima della coronarografia. Per i pazienti che non sono stati sottoposti a coronarografia, l’endpoint primario era rappresentato da morte o recidiva di IM entro il giorno 8 oppure entro la dimissione dall’ospedale. La popolazione dei pazienti includeva il 19,7% di donne e il 29,2% di pazienti di età ≥ 65 anni. Globalmente il 99,7% dei pazienti hanno ricevuto fibrinolitici (fibrino specifici: 68,7%, non fibrino specifici: 31,1%), l’89,5% eparina, il 78,7% beta bloccanti, il 54,7% ACE inibitori e il 63% statine.</w:t>
      </w:r>
    </w:p>
    <w:p>
      <w:pPr>
        <w:tabs>
          <w:tab w:val="left" w:pos="240"/>
        </w:tabs>
        <w:autoSpaceDE w:val="0"/>
        <w:autoSpaceDN w:val="0"/>
        <w:adjustRightInd w:val="0"/>
        <w:spacing w:after="0" w:line="240" w:lineRule="auto"/>
        <w:rPr>
          <w:rFonts w:ascii="Times New Roman" w:eastAsia="Times New Roman" w:hAnsi="Times New Roman"/>
          <w:color w:val="000000"/>
        </w:rPr>
      </w:pPr>
    </w:p>
    <w:p>
      <w:pPr>
        <w:pStyle w:val="BodyText3"/>
        <w:tabs>
          <w:tab w:val="left" w:pos="240"/>
        </w:tabs>
        <w:autoSpaceDN w:val="0"/>
        <w:adjustRightInd w:val="0"/>
        <w:spacing w:after="0"/>
        <w:rPr>
          <w:color w:val="000000"/>
          <w:sz w:val="22"/>
          <w:szCs w:val="22"/>
          <w:lang w:eastAsia="en-US"/>
        </w:rPr>
      </w:pPr>
      <w:r>
        <w:rPr>
          <w:color w:val="000000"/>
          <w:sz w:val="22"/>
          <w:szCs w:val="22"/>
          <w:lang w:eastAsia="en-US"/>
        </w:rPr>
        <w:t>L’incidenza dell’endpoint primario è stata del quindici percento (15,0%) nei pazienti del gruppo trattato con clopidogrel e del 21,7% nei pazienti del gruppo placebo, con una riduzione assoluta del 6,7% ed una riduzione del rischio del 36 % a favore di clopidogrel (95% CI: 24, 47%; p&lt;0,001), principalmente correlata ad una riduzione delle occlusioni delle arterie correlate all’infarto. Tale beneficio è stato coerente in tutti i sottogruppi prespecificati inclusi i sottogruppi per età e sesso, localizzazione dell’infarto e tipo di fibrinolitico o eparina utilizzati.</w:t>
      </w:r>
    </w:p>
    <w:p>
      <w:pPr>
        <w:spacing w:after="0" w:line="240" w:lineRule="auto"/>
        <w:rPr>
          <w:rFonts w:ascii="Times New Roman" w:eastAsia="Times New Roman" w:hAnsi="Times New Roman"/>
          <w:color w:val="000000"/>
        </w:rPr>
      </w:pPr>
    </w:p>
    <w:p>
      <w:pPr>
        <w:spacing w:after="0" w:line="240" w:lineRule="auto"/>
        <w:rPr>
          <w:rFonts w:ascii="Times New Roman" w:hAnsi="Times New Roman"/>
        </w:rPr>
      </w:pPr>
      <w:r>
        <w:rPr>
          <w:rFonts w:ascii="Times New Roman" w:hAnsi="Times New Roman"/>
        </w:rPr>
        <w:t xml:space="preserve">L’analisi di sottogruppo </w:t>
      </w:r>
      <w:r>
        <w:rPr>
          <w:rFonts w:ascii="Times New Roman" w:hAnsi="Times New Roman"/>
          <w:b/>
          <w:bCs/>
        </w:rPr>
        <w:t>CLARITY</w:t>
      </w:r>
      <w:r>
        <w:rPr>
          <w:rFonts w:ascii="Times New Roman" w:hAnsi="Times New Roman"/>
        </w:rPr>
        <w:t xml:space="preserve"> </w:t>
      </w:r>
      <w:r>
        <w:rPr>
          <w:rFonts w:ascii="Times New Roman" w:hAnsi="Times New Roman"/>
          <w:b/>
          <w:bCs/>
        </w:rPr>
        <w:t>PCI</w:t>
      </w:r>
      <w:r>
        <w:rPr>
          <w:rFonts w:ascii="Times New Roman" w:hAnsi="Times New Roman"/>
        </w:rPr>
        <w:t xml:space="preserve"> ha incluso 1 863 pazienti con STEMI sottoposti a PCI. I pazienti trattati con una dose di carico di clopidogrel 300 mg (n=933) hanno mostrato una riduzione significativa dell’incidenza di morte cardiovascolare, IM o ictus in seguito a PCI rispetto a quelli trattati con placebo (n=930) (3,6% con pre-trattamento con clopidogrel rispetto al 6,2% con placebo, OR: 0,54; IC 95%: 0,35-0,85; p=0,008). I pazienti trattati con una dose di carico di clopidogrel 300 mg hanno mostrato una riduzione significativa dell’incidenza di morte cardiovascolare, IM o ictus nei 30 giorni successivi a PCI rispetto a quelli trattati con placebo (7,5% con pre-trattamento con clopidogrel rispetto al 12,0% con placebo, OR: 0,59; IC 95%: 0,43-0,81; p=0,001). Tuttavia, questo endpoint composito valutato nella popolazione complessiva dello studio CLARITY non era statisticamente significativo come endpoint secondario. Non è stata osservata alcuna differenza significativa nei tassi di sanguinamento maggiore o minore tra i due trattamenti (2,0% con clopidogrel pre-trattamento rispetto all’1,9% con placebo, p&gt;0,99). I risultati di questa analisi supportano l’uso precoce della dose di carico di clopidogrel nello STEMI e la strategia di pre-trattamento di routine con clopidogrel in pazienti sottoposti a PCI.</w:t>
      </w:r>
    </w:p>
    <w:p>
      <w:pPr>
        <w:shd w:val="clear" w:color="auto" w:fill="FFFFFF"/>
        <w:tabs>
          <w:tab w:val="left" w:pos="567"/>
        </w:tabs>
        <w:spacing w:after="0" w:line="240" w:lineRule="auto"/>
        <w:rPr>
          <w:rFonts w:ascii="Times New Roman" w:eastAsia="Times New Roman" w:hAnsi="Times New Roman"/>
          <w:color w:val="000000"/>
        </w:rPr>
      </w:pPr>
    </w:p>
    <w:p>
      <w:pPr>
        <w:spacing w:after="0" w:line="240" w:lineRule="auto"/>
        <w:rPr>
          <w:rFonts w:ascii="Times New Roman" w:eastAsia="Times New Roman" w:hAnsi="Times New Roman"/>
          <w:color w:val="000000"/>
        </w:rPr>
      </w:pPr>
    </w:p>
    <w:p>
      <w:pPr>
        <w:tabs>
          <w:tab w:val="left" w:pos="240"/>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 xml:space="preserve">Lo studio COMMIT con disegno fattoriale 2x2 ha arruolato 45.852 pazienti che si presentavano entro le 24 ore dall’inizio dei sintomi di sospetto IM, con il supporto di anomalie all’ECG (ad es. innalzamento del tratto ST, abbassamento del tratto ST oppure blocco di branca sinistro). I pazienti hanno ricevuto clopidogrel (75 mg/die, n=22,961) oppure placebo (n=22,891), in associazione con ASA (162 mg/die), per 28 giorni o fino alla dimissione dall’ospedale. Gli endpoints co-primari erano morte da qualsiasi causa e la prima comparsa di re-infarto, ictus o morte. La popolazione ha incluso il 27,8% di donne, il 58,4% di pazienti di età ≥ 60 anni (26% </w:t>
      </w:r>
      <w:bookmarkStart w:id="3" w:name="OLE_LINK1"/>
      <w:r>
        <w:rPr>
          <w:rFonts w:ascii="Times New Roman" w:eastAsia="Times New Roman" w:hAnsi="Times New Roman"/>
          <w:color w:val="000000"/>
        </w:rPr>
        <w:t>≥</w:t>
      </w:r>
      <w:bookmarkEnd w:id="3"/>
      <w:r>
        <w:rPr>
          <w:rFonts w:ascii="Times New Roman" w:eastAsia="Times New Roman" w:hAnsi="Times New Roman"/>
          <w:color w:val="000000"/>
        </w:rPr>
        <w:t xml:space="preserve"> 70 anni) e il 54,5% di pazienti ha ricevuto fibrinolitici.</w:t>
      </w:r>
    </w:p>
    <w:p>
      <w:pPr>
        <w:tabs>
          <w:tab w:val="left" w:pos="240"/>
        </w:tabs>
        <w:autoSpaceDE w:val="0"/>
        <w:autoSpaceDN w:val="0"/>
        <w:adjustRightInd w:val="0"/>
        <w:spacing w:after="0" w:line="240" w:lineRule="auto"/>
        <w:jc w:val="both"/>
        <w:rPr>
          <w:rFonts w:ascii="Times New Roman" w:eastAsia="Times New Roman" w:hAnsi="Times New Roman"/>
          <w:color w:val="000000"/>
        </w:rPr>
      </w:pPr>
    </w:p>
    <w:p>
      <w:pPr>
        <w:pStyle w:val="BodyText3"/>
        <w:tabs>
          <w:tab w:val="left" w:pos="240"/>
        </w:tabs>
        <w:autoSpaceDN w:val="0"/>
        <w:adjustRightInd w:val="0"/>
        <w:spacing w:after="0"/>
        <w:rPr>
          <w:color w:val="000000"/>
          <w:sz w:val="22"/>
          <w:szCs w:val="22"/>
          <w:lang w:eastAsia="en-US"/>
        </w:rPr>
      </w:pPr>
      <w:r>
        <w:rPr>
          <w:color w:val="000000"/>
          <w:sz w:val="22"/>
          <w:szCs w:val="22"/>
          <w:lang w:eastAsia="en-US"/>
        </w:rPr>
        <w:t>Clopidogrel ha ridotto in modo significativo del 7% (p = 0,029) il rischio relativo di morte da qualsiasi causa, e del 9% (p = 0,002) il rischio relativo della combinazione di re-infarto, ictus o morte, con una riduzione assoluta dello 0,5% e dello 0,9%, rispettivamente. Tale beneficio è stato coerente per età, sesso e utilizzo o meno di fibrinolitici ed è stato osservato già nelle prime 24 ore.</w:t>
      </w:r>
    </w:p>
    <w:p>
      <w:pPr>
        <w:widowControl w:val="0"/>
        <w:tabs>
          <w:tab w:val="left" w:pos="567"/>
        </w:tabs>
        <w:spacing w:after="0" w:line="240" w:lineRule="auto"/>
        <w:rPr>
          <w:rFonts w:ascii="Times New Roman" w:eastAsia="Times New Roman" w:hAnsi="Times New Roman"/>
          <w:b/>
          <w:bCs/>
          <w:color w:val="000000"/>
          <w:spacing w:val="1"/>
        </w:rPr>
      </w:pPr>
    </w:p>
    <w:p>
      <w:pPr>
        <w:tabs>
          <w:tab w:val="left" w:pos="240"/>
        </w:tabs>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Dose di carico di clopidogrel 600 mg in pazienti con sindrome coronarica acuta sottoposti a PCI</w:t>
      </w:r>
    </w:p>
    <w:p>
      <w:pPr>
        <w:tabs>
          <w:tab w:val="left" w:pos="240"/>
        </w:tabs>
        <w:autoSpaceDE w:val="0"/>
        <w:autoSpaceDN w:val="0"/>
        <w:adjustRightInd w:val="0"/>
        <w:spacing w:after="0" w:line="240" w:lineRule="auto"/>
        <w:rPr>
          <w:rFonts w:ascii="Times New Roman" w:hAnsi="Times New Roman"/>
        </w:rPr>
      </w:pPr>
    </w:p>
    <w:p>
      <w:pPr>
        <w:tabs>
          <w:tab w:val="left" w:pos="240"/>
        </w:tabs>
        <w:autoSpaceDE w:val="0"/>
        <w:autoSpaceDN w:val="0"/>
        <w:adjustRightInd w:val="0"/>
        <w:spacing w:after="0" w:line="240" w:lineRule="auto"/>
        <w:rPr>
          <w:rFonts w:ascii="Times New Roman" w:hAnsi="Times New Roman"/>
          <w:color w:val="000000"/>
          <w:lang w:val="en-US"/>
        </w:rPr>
      </w:pPr>
      <w:r>
        <w:rPr>
          <w:rFonts w:ascii="Times New Roman" w:hAnsi="Times New Roman"/>
          <w:b/>
          <w:bCs/>
          <w:color w:val="000000"/>
          <w:lang w:val="en-US"/>
        </w:rPr>
        <w:t>CURRENT-OASIS-7</w:t>
      </w:r>
      <w:r>
        <w:rPr>
          <w:rFonts w:ascii="Times New Roman" w:hAnsi="Times New Roman"/>
          <w:color w:val="000000"/>
          <w:lang w:val="en-US"/>
        </w:rPr>
        <w:t xml:space="preserve"> (</w:t>
      </w:r>
      <w:r>
        <w:rPr>
          <w:rFonts w:ascii="Times New Roman" w:hAnsi="Times New Roman"/>
          <w:bCs/>
          <w:i/>
          <w:iCs/>
          <w:lang w:val="en-GB"/>
        </w:rPr>
        <w:t>Clopidogrel and Aspirin Optimal Dose Usage to Reduce Recurrent Events Seventh Organization to Assess Strategies in Ischemic Syndromes</w:t>
      </w:r>
      <w:r>
        <w:rPr>
          <w:rFonts w:ascii="Times New Roman" w:hAnsi="Times New Roman"/>
          <w:color w:val="000000"/>
          <w:lang w:val="en-US"/>
        </w:rPr>
        <w:t xml:space="preserve">)  </w:t>
      </w:r>
    </w:p>
    <w:p>
      <w:pPr>
        <w:tabs>
          <w:tab w:val="left" w:pos="240"/>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Questo studio fattoriale randomizzato ha incluso 25.086 soggetti affetti da sindrome coronarica acuta (SCA) destinati a PCI precoce. I pazienti sono stati assegnati in modo randomizzato a una dose doppia di clopidogrel (600 mg il Giorno 1, poi 150 mg nei Giorni 2-7, quindi 75 mg al giorno) rispetto ad una dose standard di clopidogrel (300 mg il Giorno 1, quindi 75 mg al giorno) e ASA ad alta dose (300-325 mg al giorno) rispetto a ASA a bassa dose (75-100 mg al giorno). I 24.835 pazienti arruolati con SCA sono stati sottoposti ad angiografia coronarica e 17.263 sono stati sottoposti a PCI. Nei 17.263 pazienti sottoposti a PCI, clopidogrel a doppia dose, rispetto alla dose standard, ha ridotto il tasso dell’endpoint primario (3,9% rispetto al 4,5% HR aggiustato pari a 0,86, IC 95% 0,74-0,99, p = 0,039) e ha ridotto significativamente la trombosi da stent (1,6% rispetto a 2,3%, HR: 0,68; IC 95%: 0,55 0,85; p = 0,001). Il sanguinamento maggiore era più comune con la doppia dose di clopidogrel rispetto alla dose standard (1,6% rispetto a 1,1%, HR=1,41, IC 95% 1,09-1,83, p=0,009). In questo studio, la dose di carico di clopidogrel 600 mg ha dimostrato un’efficacia costante nei pazienti di età ≥75 anni e nei pazienti di età &lt;75 anni. </w:t>
      </w:r>
    </w:p>
    <w:p>
      <w:pPr>
        <w:tabs>
          <w:tab w:val="left" w:pos="240"/>
        </w:tabs>
        <w:autoSpaceDE w:val="0"/>
        <w:autoSpaceDN w:val="0"/>
        <w:adjustRightInd w:val="0"/>
        <w:spacing w:after="0" w:line="240" w:lineRule="auto"/>
        <w:rPr>
          <w:rFonts w:ascii="Times New Roman" w:hAnsi="Times New Roman"/>
          <w:color w:val="000000"/>
        </w:rPr>
      </w:pPr>
    </w:p>
    <w:p>
      <w:pPr>
        <w:tabs>
          <w:tab w:val="left" w:pos="240"/>
        </w:tabs>
        <w:autoSpaceDE w:val="0"/>
        <w:autoSpaceDN w:val="0"/>
        <w:adjustRightInd w:val="0"/>
        <w:spacing w:after="0" w:line="240" w:lineRule="auto"/>
        <w:rPr>
          <w:rFonts w:ascii="Times New Roman" w:hAnsi="Times New Roman"/>
          <w:color w:val="000000"/>
          <w:lang w:val="en-US"/>
        </w:rPr>
      </w:pPr>
      <w:r>
        <w:rPr>
          <w:rFonts w:ascii="Times New Roman" w:hAnsi="Times New Roman"/>
          <w:b/>
          <w:bCs/>
          <w:color w:val="000000"/>
          <w:lang w:val="en-US"/>
        </w:rPr>
        <w:t>ARMYDA-6 MI</w:t>
      </w:r>
      <w:r>
        <w:rPr>
          <w:rFonts w:ascii="Times New Roman" w:hAnsi="Times New Roman"/>
          <w:color w:val="000000"/>
          <w:lang w:val="en-US"/>
        </w:rPr>
        <w:t xml:space="preserve"> (</w:t>
      </w:r>
      <w:r>
        <w:rPr>
          <w:rFonts w:ascii="Times New Roman" w:hAnsi="Times New Roman"/>
          <w:bCs/>
          <w:i/>
          <w:iCs/>
          <w:lang w:val="en-GB"/>
        </w:rPr>
        <w:t>The Antiplatelet therapy for Reduction of MYocardial Damage during Angioplasty - Myocardial Infarction</w:t>
      </w:r>
      <w:r>
        <w:rPr>
          <w:rFonts w:ascii="Times New Roman" w:hAnsi="Times New Roman"/>
          <w:color w:val="000000"/>
          <w:lang w:val="en-US"/>
        </w:rPr>
        <w:t xml:space="preserve">) </w:t>
      </w:r>
    </w:p>
    <w:p>
      <w:pPr>
        <w:tabs>
          <w:tab w:val="left" w:pos="240"/>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Questo studio randomizzato, prospettico, internazionale, multicentrico ha valutato il pre-trattamento con una dose di carico di clopidogrel 600 mg rispetto ad una dose di carico da 300 mg nel contesto di una PCI urgente per STEMI. I pazienti hanno ricevuto una dose di carico di clopidogrel 600 mg (n=103) o una dose di carico di clopidogrel 300 mg (n=98) prima della PCI, successivamente hanno ricevuto una prescrizione di 75 mg/die dal giorno successivo alla PCI fino a 1 anno. I pazienti che hanno ricevuto una dose di carico di clopidogrel 600 mg presentavano un’estensione dell’infarto significativamente ridotta rispetto ai pazienti che avevano ricevuto una dose di carico di 300 mg. Nel gruppo trattato con dose di carico da 600 mg è risultato meno frequente un flusso Thrombolysis in Miocardial Infarction di grado &lt;3 dopo PCI (5,8% rispetto a 16,3%, p=0,031), una LVEF migliorata alla dimissione (52,1 ±9,5% rispetto a 48,8 ±11,3%, p=0,026) e un numero inferiore di eventi avversi cardiovascolari maggiori a 30 giorni (5,8% rispetto a 15%, p=0,049). Non è stato osservato alcun aumento del sanguinamento o delle complicanze nel sito di accesso (endpoint secondari al giorno 30). </w:t>
      </w:r>
    </w:p>
    <w:p>
      <w:pPr>
        <w:tabs>
          <w:tab w:val="left" w:pos="240"/>
        </w:tabs>
        <w:autoSpaceDE w:val="0"/>
        <w:autoSpaceDN w:val="0"/>
        <w:adjustRightInd w:val="0"/>
        <w:spacing w:after="0" w:line="240" w:lineRule="auto"/>
        <w:rPr>
          <w:rFonts w:ascii="Times New Roman" w:hAnsi="Times New Roman"/>
          <w:color w:val="000000"/>
        </w:rPr>
      </w:pPr>
    </w:p>
    <w:p>
      <w:pPr>
        <w:autoSpaceDE w:val="0"/>
        <w:autoSpaceDN w:val="0"/>
        <w:adjustRightInd w:val="0"/>
        <w:spacing w:after="0" w:line="240" w:lineRule="auto"/>
        <w:rPr>
          <w:rFonts w:ascii="Times New Roman" w:hAnsi="Times New Roman"/>
          <w:bCs/>
          <w:lang w:val="en-US"/>
        </w:rPr>
      </w:pPr>
      <w:r>
        <w:rPr>
          <w:rFonts w:ascii="Times New Roman" w:hAnsi="Times New Roman"/>
          <w:b/>
          <w:lang w:val="en-US"/>
        </w:rPr>
        <w:t>HORIZONS-AMI</w:t>
      </w:r>
      <w:r>
        <w:rPr>
          <w:rFonts w:ascii="Times New Roman" w:hAnsi="Times New Roman"/>
          <w:bCs/>
          <w:lang w:val="en-US"/>
        </w:rPr>
        <w:t xml:space="preserve"> (</w:t>
      </w:r>
      <w:r>
        <w:rPr>
          <w:rFonts w:ascii="Times New Roman" w:hAnsi="Times New Roman"/>
          <w:i/>
          <w:iCs/>
          <w:color w:val="000000"/>
          <w:lang w:val="en-GB"/>
        </w:rPr>
        <w:t>Harmonizing Outcomes with Revascularization and Stents in Acute Myocardial Infarction</w:t>
      </w:r>
      <w:r>
        <w:rPr>
          <w:rFonts w:ascii="Times New Roman" w:hAnsi="Times New Roman"/>
          <w:bCs/>
          <w:lang w:val="en-US"/>
        </w:rPr>
        <w:t>)</w:t>
      </w:r>
    </w:p>
    <w:p>
      <w:pPr>
        <w:autoSpaceDE w:val="0"/>
        <w:autoSpaceDN w:val="0"/>
        <w:adjustRightInd w:val="0"/>
        <w:spacing w:after="0" w:line="240" w:lineRule="auto"/>
        <w:rPr>
          <w:rFonts w:ascii="Times New Roman" w:hAnsi="Times New Roman"/>
          <w:bCs/>
        </w:rPr>
      </w:pPr>
      <w:r>
        <w:rPr>
          <w:rFonts w:ascii="Times New Roman" w:hAnsi="Times New Roman"/>
          <w:bCs/>
        </w:rPr>
        <w:t>Questo studio di analisi post-hoc è stato condotto per valutare se una dose di carico di clopidogrel 600 mg determina una più rapida e maggiore inibizione dell’attivazione piastrinica. L’analisi ha esaminato l’impatto di una dose di carico di 600 mg rispetto ad una di 300 mg sugli esiti clinici a 30 giorni in 3.311 pazienti dello studio principale (n=1.153; gruppo dose di carico di 300 mg; n=2.158; gruppo dose di carico di 600 mg) prima del cateterismo cardiaco seguito da una dose di 75 mg/die per ≥6 mesi dopo la dimissione. I risultati hanno mostrato tassi non aggiustati di mortalità a 30 giorni significativamente inferiori (1,9% rispetto a 3,1%, p=0,03), reinfarto (1,3% rispetto a 2,3%, p=0,02) e trombosi da stent confermata o probabile (1,7% rispetto a 2,8%, p=0,04) con la dose di carico di 600 mg senza tassi di sanguinamento maggiore. Mediante l’analisi multivariabile, una dose di carico di 600 mg risultava essere un predittore indipendente di tassi inferiori di eventi avversi cardiaci maggiori a 30 giorni (HR: 0,72 [IC 95%: 0,53-0,98], p=0,04). Il tasso di sanguinamento maggiore (non correlato a CABG) era del 6,1% nel gruppo con dose di carico di 600 mg e del 9,4% nel gruppo con dose di carico di 300 mg (p=0,0005). Il tasso di sanguinamento minore era dell’11,3% nel gruppo con dose di carico di 600 mg e del 13,8% nel gruppo trattato con una dose di carico di 300 mg (p=0,03).</w:t>
      </w:r>
    </w:p>
    <w:p>
      <w:pPr>
        <w:tabs>
          <w:tab w:val="left" w:pos="240"/>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 </w:t>
      </w:r>
    </w:p>
    <w:p>
      <w:pPr>
        <w:autoSpaceDE w:val="0"/>
        <w:autoSpaceDN w:val="0"/>
        <w:adjustRightInd w:val="0"/>
        <w:spacing w:after="0" w:line="240" w:lineRule="auto"/>
        <w:rPr>
          <w:rFonts w:ascii="Times New Roman" w:hAnsi="Times New Roman"/>
          <w:bCs/>
          <w:u w:val="single"/>
        </w:rPr>
      </w:pPr>
      <w:r>
        <w:rPr>
          <w:rFonts w:ascii="Times New Roman" w:hAnsi="Times New Roman"/>
          <w:bCs/>
          <w:u w:val="single"/>
        </w:rPr>
        <w:t>Trattamento a lungo termine (12 mesi) con clopidogrel in pazienti con STEMI dopo PCI</w:t>
      </w:r>
    </w:p>
    <w:p>
      <w:pPr>
        <w:autoSpaceDE w:val="0"/>
        <w:autoSpaceDN w:val="0"/>
        <w:adjustRightInd w:val="0"/>
        <w:spacing w:after="0" w:line="240" w:lineRule="auto"/>
        <w:rPr>
          <w:rFonts w:ascii="Times New Roman" w:hAnsi="Times New Roman"/>
          <w:bCs/>
        </w:rPr>
      </w:pPr>
    </w:p>
    <w:p>
      <w:pPr>
        <w:autoSpaceDE w:val="0"/>
        <w:autoSpaceDN w:val="0"/>
        <w:adjustRightInd w:val="0"/>
        <w:spacing w:after="0" w:line="240" w:lineRule="auto"/>
        <w:rPr>
          <w:rFonts w:ascii="Times New Roman" w:hAnsi="Times New Roman"/>
          <w:lang w:val="en-US"/>
        </w:rPr>
      </w:pPr>
      <w:r>
        <w:rPr>
          <w:rFonts w:ascii="Times New Roman" w:hAnsi="Times New Roman"/>
          <w:b/>
          <w:bCs/>
          <w:lang w:val="en-US"/>
        </w:rPr>
        <w:t>CREDO</w:t>
      </w:r>
      <w:r>
        <w:rPr>
          <w:rFonts w:ascii="Times New Roman" w:hAnsi="Times New Roman"/>
          <w:lang w:val="en-US"/>
        </w:rPr>
        <w:t xml:space="preserve"> (</w:t>
      </w:r>
      <w:r>
        <w:rPr>
          <w:rFonts w:ascii="Times New Roman" w:hAnsi="Times New Roman"/>
          <w:i/>
          <w:iCs/>
          <w:lang w:val="en-GB"/>
        </w:rPr>
        <w:t>Clopidogrel for the Reduction of Adverse Events During Observation</w:t>
      </w:r>
      <w:r>
        <w:rPr>
          <w:rFonts w:ascii="Times New Roman" w:hAnsi="Times New Roman"/>
          <w:lang w:val="en-US"/>
        </w:rPr>
        <w:t>)</w:t>
      </w:r>
    </w:p>
    <w:p>
      <w:pPr>
        <w:autoSpaceDE w:val="0"/>
        <w:autoSpaceDN w:val="0"/>
        <w:adjustRightInd w:val="0"/>
        <w:spacing w:after="0" w:line="240" w:lineRule="auto"/>
        <w:rPr>
          <w:rFonts w:ascii="Times New Roman" w:hAnsi="Times New Roman"/>
        </w:rPr>
      </w:pPr>
      <w:r>
        <w:rPr>
          <w:rFonts w:ascii="Times New Roman" w:hAnsi="Times New Roman"/>
        </w:rPr>
        <w:t xml:space="preserve">Questo studio randomizzato, in doppio cieco, controllato con placebo è stato condotto negli Stati Uniti e in Canada per valutare il beneficio del trattamento a lungo termine (12 mesi) con clopidogrel dopo PCI. Sono stati randomizzati 2 116 pazienti a ricevere la dose di carico di clopidogrel 300 mg (n=1.053) o placebo (n=1.063) da 3 a 24 ore prima della PCI. Tutti i pazienti hanno ricevuto anche 325 mg di aspirina. Successivamente, tutti i pazienti, in entrambi i gruppi, hanno ricevuto clopidogrel 75 mg/die fino al Giorno 28. Dal Giorno 29 fino a 12 mesi, i pazienti del gruppo clopidogrel hanno ricevuto 75 mg/die di clopidogrel e quelli del gruppo di controllo hanno ricevuto il placebo. </w:t>
      </w:r>
    </w:p>
    <w:p>
      <w:pPr>
        <w:autoSpaceDE w:val="0"/>
        <w:autoSpaceDN w:val="0"/>
        <w:adjustRightInd w:val="0"/>
        <w:spacing w:after="0" w:line="240" w:lineRule="auto"/>
        <w:rPr>
          <w:rFonts w:ascii="Times New Roman" w:hAnsi="Times New Roman"/>
        </w:rPr>
      </w:pPr>
      <w:r>
        <w:rPr>
          <w:rFonts w:ascii="Times New Roman" w:hAnsi="Times New Roman"/>
        </w:rPr>
        <w:t xml:space="preserve">Entrambi i gruppi hanno ricevuto ASA per tutta la durata dello studio (da 81 a 325 mg/die). </w:t>
      </w:r>
    </w:p>
    <w:p>
      <w:pPr>
        <w:autoSpaceDE w:val="0"/>
        <w:autoSpaceDN w:val="0"/>
        <w:adjustRightInd w:val="0"/>
        <w:spacing w:after="0" w:line="240" w:lineRule="auto"/>
        <w:rPr>
          <w:rFonts w:ascii="Times New Roman" w:hAnsi="Times New Roman"/>
        </w:rPr>
      </w:pPr>
      <w:r>
        <w:rPr>
          <w:rFonts w:ascii="Times New Roman" w:hAnsi="Times New Roman"/>
        </w:rPr>
        <w:t>A 1 anno, è stata osservata una riduzione significativa del rischio combinato di morte, IM o ictus con clopidogrel (riduzione relativa del 26,9%, IC 95%: 3,9%-44,4%; p=0,02; riduzione assoluta del 3%) rispetto al placebo. Non è stato osservato alcun aumento significativo del tasso di sanguinamento maggiore (8,8% con clopidogrel rispetto a 6,7% con placebo, p=0,07) o sanguinamento minore (5,3% con clopidogrel rispetto a 5,6% con placebo, p=0,84) a 1 anno. Il risultato principale di questo studio è che la prosecuzione del trattamento con clopidogrel e ASA per almeno 1 anno porta a una riduzione statisticamente e clinicamente significativa degli eventi trombotici gravi.</w:t>
      </w:r>
    </w:p>
    <w:p>
      <w:pPr>
        <w:spacing w:after="0" w:line="240" w:lineRule="auto"/>
        <w:rPr>
          <w:rFonts w:ascii="Times New Roman" w:hAnsi="Times New Roman"/>
        </w:rPr>
      </w:pPr>
    </w:p>
    <w:p>
      <w:pPr>
        <w:spacing w:after="0" w:line="240" w:lineRule="auto"/>
        <w:rPr>
          <w:rFonts w:ascii="Times New Roman" w:hAnsi="Times New Roman"/>
          <w:lang w:val="en-US"/>
        </w:rPr>
      </w:pPr>
      <w:r>
        <w:rPr>
          <w:rFonts w:ascii="Times New Roman" w:hAnsi="Times New Roman"/>
          <w:b/>
          <w:bCs/>
          <w:lang w:val="en-US"/>
        </w:rPr>
        <w:t xml:space="preserve">EXCELLENT </w:t>
      </w:r>
      <w:r>
        <w:rPr>
          <w:rFonts w:ascii="Times New Roman" w:hAnsi="Times New Roman"/>
          <w:lang w:val="en-US"/>
        </w:rPr>
        <w:t>(</w:t>
      </w:r>
      <w:r>
        <w:rPr>
          <w:rFonts w:ascii="Times New Roman" w:hAnsi="Times New Roman"/>
          <w:bCs/>
          <w:i/>
          <w:iCs/>
          <w:lang w:val="en-GB"/>
        </w:rPr>
        <w:t>Efficacy of Xience/Promus Versus Cypher to Reduce Late Loss After Stenting</w:t>
      </w:r>
      <w:r>
        <w:rPr>
          <w:rFonts w:ascii="Times New Roman" w:hAnsi="Times New Roman"/>
          <w:lang w:val="en-US"/>
        </w:rPr>
        <w:t>)</w:t>
      </w:r>
    </w:p>
    <w:p>
      <w:pPr>
        <w:spacing w:after="0" w:line="240" w:lineRule="auto"/>
        <w:rPr>
          <w:rFonts w:ascii="Times New Roman" w:hAnsi="Times New Roman"/>
        </w:rPr>
      </w:pPr>
      <w:r>
        <w:rPr>
          <w:rFonts w:ascii="Times New Roman" w:hAnsi="Times New Roman"/>
        </w:rPr>
        <w:t>Questo studio prospettico, in aperto, randomizzato è stata condotto in Corea per valutare se, dopo l’impianto di stent a rilascio di farmaco, la duplice terapia antipiastrinica (DAPT) per 6 mesi poteva essere non inferiore alla DAPT per 12 mesi. Lo studio ha incluso 1.443 pazienti sottoposti a impianto randomizzati a ricevere DAPT per 6 mesi (ASA 100-200 mg/die più clopidogrel 75 mg/die per 6 mesi e successivamente ASA in monoterapia per un massimo di 12 mesi) o DAPT per 12 mesi (ASA 100-200 mg/die più clopidogrel 75 mg/die per 12 mesi). Non è stata osservata alcuna differenza significativa nell’incidenza di fallimento a livello del vaso target (composito di morte cardiaca, IM o rivascolarizzazione del vaso target) che era l’endpoint primario tra i gruppi DAPT a 6 e 12 mesi (HR: 1,14; IC 95%: 0,70 1,86; p=0,60). Inoltre, lo studio non ha evidenziato alcuna differenza significativa nell’endpoint di sicurezza (composito di morte, IM, ictus, trombosi da stent o sanguinamento maggiore TIMI) tra i gruppi DAPT a 6 e 12 mesi (HR: 1,15; IC 95%: 0,64-2,06; p=0,64). Il risultato principale di questo studio era la non inferiorità della DAPT a 6 mesi rispetto alla DAPT a 12 mesi nel rischio di fallimento del vaso trattato.</w:t>
      </w:r>
    </w:p>
    <w:p>
      <w:pPr>
        <w:widowControl w:val="0"/>
        <w:tabs>
          <w:tab w:val="left" w:pos="567"/>
        </w:tabs>
        <w:spacing w:after="0" w:line="240" w:lineRule="auto"/>
        <w:rPr>
          <w:rFonts w:ascii="Times New Roman" w:eastAsia="Times New Roman" w:hAnsi="Times New Roman"/>
          <w:b/>
          <w:bCs/>
          <w:color w:val="000000"/>
          <w:spacing w:val="1"/>
        </w:rPr>
      </w:pPr>
    </w:p>
    <w:p>
      <w:pPr>
        <w:widowControl w:val="0"/>
        <w:spacing w:after="0" w:line="240" w:lineRule="auto"/>
        <w:rPr>
          <w:rFonts w:ascii="Times New Roman" w:hAnsi="Times New Roman"/>
        </w:rPr>
      </w:pPr>
      <w:r>
        <w:rPr>
          <w:rFonts w:ascii="Times New Roman" w:hAnsi="Times New Roman"/>
          <w:u w:val="single"/>
        </w:rPr>
        <w:t xml:space="preserve">De-escalation degli inibitori del P2Y12 nella sindrome coronarica acuta </w:t>
      </w:r>
      <w:r>
        <w:rPr>
          <w:rFonts w:ascii="Times New Roman" w:hAnsi="Times New Roman"/>
        </w:rPr>
        <w:br/>
        <w:t>Il passaggio da un inibitore più potente del recettore P2Y12 a clopidogrel in associazione con l'aspirina dopo la fase acuta nella sindrome coronarica acuta</w:t>
      </w:r>
      <w:r>
        <w:t xml:space="preserve"> (</w:t>
      </w:r>
      <w:r>
        <w:rPr>
          <w:rFonts w:ascii="Times New Roman" w:hAnsi="Times New Roman"/>
        </w:rPr>
        <w:t>ACS) è stato valutato in due studi randomizzati sponsorizzati dallo sperimentatore (ISS) - TOPIC e TROPICAL ACS - con i dati dei risultati clinici.</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r>
        <w:rPr>
          <w:rFonts w:ascii="Times New Roman" w:hAnsi="Times New Roman"/>
        </w:rPr>
        <w:t>Il beneficio clinico fornito dai più potenti inibitori del P2Y12, ticagrelor e prasugrel, nei loro studi chiave è correlato a una significativa riduzione degli eventi ischemici ricorrenti (inclusa trombosi dello stent acuto e subacuto (ST), infarto miocardico (MI) e urgente rivascolarizzazione). Sebbene il beneficio ischemico fosse consistente per tutto il primo anno, una maggiore riduzione della recidiva ischemica dopo ACS è stata osservata durante i primi giorni successivi all'inizio del trattamento. Al contrario, le analisi post-hoc hanno dimostrato aumenti statisticamente significativi del rischio di sanguinamento con i più potenti inibitori del P2Y12, che si verificano prevalentemente durante la fase di mantenimento, dopo il primo mese post-ACS. Gli  studi TOPIC e TROPICAL-ACS sono stati disegnati per studiare come attenuare gli eventi di sanguinamento mantenendo l'efficacia.</w:t>
      </w:r>
      <w:r>
        <w:rPr>
          <w:rFonts w:ascii="Times New Roman" w:hAnsi="Times New Roman"/>
        </w:rPr>
        <w:br/>
      </w:r>
      <w:r>
        <w:rPr>
          <w:rFonts w:ascii="Times New Roman" w:hAnsi="Times New Roman"/>
        </w:rPr>
        <w:br/>
      </w:r>
      <w:r>
        <w:rPr>
          <w:rFonts w:ascii="Times New Roman" w:hAnsi="Times New Roman"/>
          <w:b/>
        </w:rPr>
        <w:t>TOPIC</w:t>
      </w:r>
      <w:r>
        <w:rPr>
          <w:rFonts w:ascii="Times New Roman" w:hAnsi="Times New Roman"/>
        </w:rPr>
        <w:t xml:space="preserve"> </w:t>
      </w:r>
      <w:r>
        <w:rPr>
          <w:rFonts w:ascii="Times New Roman" w:hAnsi="Times New Roman"/>
          <w:i/>
        </w:rPr>
        <w:t>(Timing Of Platelet Inhibition after acute Coronary syndrome</w:t>
      </w:r>
      <w:r>
        <w:rPr>
          <w:rFonts w:ascii="Times New Roman" w:hAnsi="Times New Roman"/>
        </w:rPr>
        <w:t>)</w:t>
      </w:r>
      <w:r>
        <w:rPr>
          <w:rFonts w:ascii="Times New Roman" w:hAnsi="Times New Roman"/>
        </w:rPr>
        <w:br/>
      </w:r>
      <w:r>
        <w:rPr>
          <w:rFonts w:ascii="Times New Roman" w:hAnsi="Times New Roman"/>
        </w:rPr>
        <w:br/>
        <w:t>Questo studio randomizzato, in aperto comprendeva pazienti con ACS che richiedevano un intervento coronarico percutaneo (PCI). I pazienti trattati con aspirina e un più potente bloccante del P2Y12 e senza eventi avversi dopo un mese di trattamento sono stati assegnati al passaggio ad aspirina più clopidogrel a dosaggio fisso (doppia terapia antiaggregante piastrinica de-escalata (DAPT de-escalated) o alla continuazione del loro regime farmacologico (DAPT invariata).</w:t>
      </w:r>
      <w:r>
        <w:rPr>
          <w:rFonts w:ascii="Times New Roman" w:hAnsi="Times New Roman"/>
        </w:rPr>
        <w:br/>
      </w:r>
      <w:r>
        <w:rPr>
          <w:rFonts w:ascii="Times New Roman" w:hAnsi="Times New Roman"/>
        </w:rPr>
        <w:br/>
        <w:t>Complessivamente sono stati analizzati 645 dei 646 pazienti con infarto miocardico acuto con sopraslivellamento del tratto ST (STEMI) o infarto miocardico acuto senza sopraslivellamento del tratto ST (NSTEMI) o angina instabile (DAPT de-escalata (n = 322), DAPT invariata (n = 323)). Il follow-up a un anno è stato eseguito per 316 pazienti (98,1%) nel gruppo DAPT de-escalata e 318 pazienti (98,5%) nel gruppo DAPT invariata. Il follow-up medio per entrambi i gruppi è stato di 359 giorni. Le caratteristiche della coorte studiata erano simili nei 2 gruppi.</w:t>
      </w:r>
      <w:r>
        <w:rPr>
          <w:rFonts w:ascii="Times New Roman" w:hAnsi="Times New Roman"/>
        </w:rPr>
        <w:br/>
      </w:r>
      <w:r>
        <w:rPr>
          <w:rFonts w:ascii="Times New Roman" w:hAnsi="Times New Roman"/>
        </w:rPr>
        <w:br/>
        <w:t>L’endpoint primario, un composito di morte cardiovascolare, ictus, rivascolarizzazione urgente e sanguinamento secondo BARC (Bleeding Academic Research Consortium) ≥ 2  a 1 anno dopo ACS, si è verificato in 43 pazienti (13,4%) nel gruppo DAPT de-escalata e in 85 pazienti (26,3%) nel gruppo DAPT invariata (p &lt;0,01). Questa differenza statisticamente significativa è stata determinata principalmente da un minor numero di eventi emorragici, con nessuna differenza riportata negli endpoint ischemici (p = 0,36), mentre il sanguinamento secondo BARC ≥2 si è verificato meno frequentemente nel gruppo DAPT de-escalata (4,0%) rispetto al 14,9% nel gruppo DAPT invariata (p &lt;0,01). Gli eventi emorragici, definiti secondo tutti i gradi BARC, si sono verificati in 30 pazienti (9,3%) nel gruppo DAPT de-escalata e in 76 pazienti (23,5%) nel gruppo DAPT invariata (p &lt;0,01).</w:t>
      </w:r>
    </w:p>
    <w:p>
      <w:pPr>
        <w:widowControl w:val="0"/>
        <w:tabs>
          <w:tab w:val="left" w:pos="567"/>
        </w:tabs>
        <w:spacing w:after="0" w:line="240" w:lineRule="auto"/>
        <w:rPr>
          <w:rFonts w:ascii="Times New Roman" w:hAnsi="Times New Roman"/>
          <w:b/>
        </w:rPr>
      </w:pPr>
    </w:p>
    <w:p>
      <w:pPr>
        <w:widowControl w:val="0"/>
        <w:tabs>
          <w:tab w:val="left" w:pos="567"/>
        </w:tabs>
        <w:spacing w:after="0" w:line="240" w:lineRule="auto"/>
        <w:rPr>
          <w:rFonts w:ascii="Times New Roman" w:hAnsi="Times New Roman"/>
        </w:rPr>
      </w:pPr>
      <w:r>
        <w:rPr>
          <w:rFonts w:ascii="Times New Roman" w:hAnsi="Times New Roman"/>
          <w:b/>
        </w:rPr>
        <w:t>TROPICAL-ACS</w:t>
      </w:r>
      <w:r>
        <w:rPr>
          <w:rFonts w:ascii="Times New Roman" w:hAnsi="Times New Roman"/>
        </w:rPr>
        <w:t xml:space="preserve"> </w:t>
      </w:r>
      <w:r>
        <w:rPr>
          <w:rFonts w:ascii="Times New Roman" w:hAnsi="Times New Roman"/>
          <w:i/>
        </w:rPr>
        <w:t>(Testing Responsiveness to Platelet Inhibition on Chronic Antiplatelet Treatment for Acute Coronary Syndromes)</w:t>
      </w:r>
      <w:r>
        <w:rPr>
          <w:rFonts w:ascii="Times New Roman" w:hAnsi="Times New Roman"/>
          <w:i/>
        </w:rPr>
        <w:br/>
      </w:r>
      <w:r>
        <w:rPr>
          <w:rFonts w:ascii="Times New Roman" w:hAnsi="Times New Roman"/>
        </w:rPr>
        <w:br/>
        <w:t>Questo studio randomizzato, in aperto, comprendeva 2.610 pazienti con ACS positivi ai biomarcatori dopo un intervento PCI eseguito con successo. I pazienti sono stati randomizzati a ricevere prasugrel 5 o 10 mg/die (giorni 0-14) (n = 1306), o prasugrel 5 o 10 mg/die (giorni 0-7), quindi si è passati a clopidogrel 75 mg/die (giorni 8-14) (n = 1304), in combinazione con ASA (&lt;100 mg/die). Al giorno 14 è stato eseguito il test di funzionalità piastrinica (PFT). I pazienti trattati solo con prasugrel hanno continuato la terapia con prasugrel per 11,5 mesi.</w:t>
      </w:r>
      <w:r>
        <w:rPr>
          <w:rFonts w:ascii="Times New Roman" w:hAnsi="Times New Roman"/>
        </w:rPr>
        <w:br/>
      </w:r>
      <w:r>
        <w:rPr>
          <w:rFonts w:ascii="Times New Roman" w:hAnsi="Times New Roman"/>
        </w:rPr>
        <w:br/>
        <w:t>I pazienti de-escalati (passati a clopidogrel) sono stati sottoposti al test per rilevare una elevata reattività piastrinica (HPR). Sulla base di una HPR ≥ 46 unità, i pazienti sono stati riportati a prasugrel 5 o 10 mg/die per 11,5 mesi; sulla base di una HPR &lt; 46 unità, i pazienti hanno continuato con clopidogrel 75 mg/die per 11,5 mesi. Pertanto, il braccio con de-escalation guidata ha avuto pazienti sia con prasugrel (40%) che con clopidogrel (60%). Tutti i pazienti hanno continuato la terapia con aspirina e sono stati seguiti per un anno.</w:t>
      </w:r>
      <w:r>
        <w:rPr>
          <w:rFonts w:ascii="Times New Roman" w:hAnsi="Times New Roman"/>
        </w:rPr>
        <w:br/>
      </w:r>
      <w:r>
        <w:rPr>
          <w:rFonts w:ascii="Times New Roman" w:hAnsi="Times New Roman"/>
        </w:rPr>
        <w:br/>
        <w:t>L'endpoint primario (incidenza combinata di morte CV, infarto miocardico, ictus e grado di sanguinamento secondo BARC ≥2 a 12 mesi)  è stato raggiunto dimostrando la non inferiorità. 95 pazienti (7%) nel gruppo di de-escalation guidata e 118 pazienti (9%) nel gruppo di controllo (p non-inferiorità = 0.0004) hanno avuto un evento. La de-escalation guidata non ha comportato un aumento del rischio combinato di eventi ischemici (2,5% nel gruppo de-escalation vs 3,2% nel gruppo di controllo, p non inferiorità = 0,0115), né del principale endpoint secondario di sanguinamento secondo BARC ≥2 ((5%) nel gruppo de- escalation contro il 6% nel gruppo di controllo (p = 0.23)). L'incidenza cumulativa di tutti gli eventi emorragici (grado BARC da 1 a 5) è stata del 9% (114 eventi) nel gruppo di de-escalation guidata rispetto all'11% (137 eventi) nel gruppo di controllo (p = 0,14).</w:t>
      </w:r>
    </w:p>
    <w:p>
      <w:pPr>
        <w:widowControl w:val="0"/>
        <w:tabs>
          <w:tab w:val="left" w:pos="567"/>
        </w:tabs>
        <w:spacing w:after="0" w:line="240" w:lineRule="auto"/>
        <w:rPr>
          <w:rFonts w:ascii="Times New Roman" w:hAnsi="Times New Roman"/>
          <w:b/>
          <w:bCs/>
          <w:color w:val="000000"/>
          <w:spacing w:val="1"/>
        </w:rPr>
      </w:pPr>
    </w:p>
    <w:p>
      <w:pPr>
        <w:spacing w:after="0" w:line="240" w:lineRule="auto"/>
        <w:rPr>
          <w:rFonts w:ascii="Times New Roman" w:hAnsi="Times New Roman"/>
        </w:rPr>
      </w:pPr>
      <w:r>
        <w:rPr>
          <w:rFonts w:ascii="Times New Roman" w:hAnsi="Times New Roman"/>
        </w:rPr>
        <w:t>Doppia terapia antipiastrinica (DAPT) in caso di IS acuto minore o TIA a rischio da moderato ad alto.</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La DAPT con una combinazione di clopidogrel e ASA come trattamento per prevenire l'ictus dopo un IS acuto minore o un TIA a rischio da moderato ad alto è stata valutata in due studi clinici randomizzati sponsorizzati dallo sperimentatore (ISS) - CHANCE e POINT - con i dati sui risultati di sicurezza ed efficacia clinica.</w:t>
      </w:r>
    </w:p>
    <w:p>
      <w:pPr>
        <w:spacing w:after="0" w:line="240" w:lineRule="auto"/>
        <w:rPr>
          <w:rFonts w:ascii="Times New Roman" w:hAnsi="Times New Roman"/>
        </w:rPr>
      </w:pPr>
    </w:p>
    <w:p>
      <w:pPr>
        <w:spacing w:after="0" w:line="240" w:lineRule="auto"/>
        <w:rPr>
          <w:rFonts w:ascii="Times New Roman" w:hAnsi="Times New Roman"/>
          <w:lang w:val="en-US"/>
        </w:rPr>
      </w:pPr>
      <w:r>
        <w:rPr>
          <w:rFonts w:ascii="Times New Roman" w:hAnsi="Times New Roman"/>
          <w:b/>
          <w:lang w:val="en-US"/>
        </w:rPr>
        <w:t>CHANCE</w:t>
      </w:r>
      <w:r>
        <w:rPr>
          <w:rFonts w:ascii="Times New Roman" w:hAnsi="Times New Roman"/>
          <w:lang w:val="en-US"/>
        </w:rPr>
        <w:t xml:space="preserve"> (Clopidogrel in High-risk patients with Acute Non-disabling Cerebrovascular Events)</w:t>
      </w:r>
    </w:p>
    <w:p>
      <w:pPr>
        <w:spacing w:after="0" w:line="240" w:lineRule="auto"/>
        <w:rPr>
          <w:rFonts w:ascii="Times New Roman" w:hAnsi="Times New Roman"/>
        </w:rPr>
      </w:pPr>
      <w:r>
        <w:rPr>
          <w:rFonts w:ascii="Times New Roman" w:hAnsi="Times New Roman"/>
        </w:rPr>
        <w:t>Questo studio clinico randomizzato, in doppio cieco, multicentrico, controllato con placebo ha incluso 5.170 pazienti cinesi con TIA acuto (punteggio ABCD2 ≥4) o ictus acuto minore (NIHSS ≤3). I pazienti di entrambi i gruppi hanno ricevuto ASA in aperto il giorno 1 (con una dose compresa tra 75 e 300 mg, a discrezione del medico curante). I pazienti assegnati in modo casuale al gruppo clopidogrel-ASA hanno ricevuto una dose di carico di 300 mg di clopidogrel il giorno 1, seguita da una dose di 75 mg/die di clopidogrel nei giorni da 2 a 90 e ASA a una dose di 75 mg/die nei giorni da 2 a 21. I pazienti assegnati in modo casuale al gruppo ASA hanno ricevuto placebo nei giorni da 1 a 90 e ASA a una dose di 75 mg/die nei giorni da 2 a 90.</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L’endpoint primario di efficacia era qualsiasi nuovo evento di ictus (ischemico ed emorragico) nei primi 90 giorni dopo IS acuto minore o TIA ad alto rischio. Ciò si è verificato in 212 pazienti (8,2%) nel gruppo clopidogrel-ASA rispetto a 303 pazienti (11,7%) nel gruppo ASA (rapporto di rischio [HR], 0,68; intervallo di confidenza al 95% [CI], da 0,57 a 0,81; P &lt; 0.001). IS si è verificato in 204 pazienti (7,9%) nel gruppo clopidogrel-ASA rispetto a 295 (11,4%) nel gruppo ASA (HR, 0,67; IC 95%, da 0,56 a 0,81; P &lt;0,001). L'ictus emorragico si è verificato in 8 pazienti in ciascuno dei due gruppi di studio (0,3% di ciascun gruppo). L’emorragia moderata o grave si è verificata in sette pazienti (0,3%) nel gruppo clopidogrel-ASA e in otto (0,3%) nel gruppo ASA (P = 0,73). Il tasso di qualsiasi evento di sanguinamento è stato del 2,3% nel gruppo clopidogrel-ASA rispetto all'1,6% nel gruppo ASA (HR, 1,41; IC 95%, da 0,95 a 2,10; P = 0,09).</w:t>
      </w:r>
    </w:p>
    <w:p>
      <w:pPr>
        <w:spacing w:after="0" w:line="240" w:lineRule="auto"/>
        <w:rPr>
          <w:rFonts w:ascii="Times New Roman" w:hAnsi="Times New Roman"/>
        </w:rPr>
      </w:pPr>
    </w:p>
    <w:p>
      <w:pPr>
        <w:spacing w:after="0" w:line="240" w:lineRule="auto"/>
        <w:rPr>
          <w:rFonts w:ascii="Times New Roman" w:hAnsi="Times New Roman"/>
          <w:lang w:val="en-US"/>
        </w:rPr>
      </w:pPr>
      <w:r>
        <w:rPr>
          <w:rFonts w:ascii="Times New Roman" w:hAnsi="Times New Roman"/>
          <w:b/>
          <w:lang w:val="en-US"/>
        </w:rPr>
        <w:t>POINT</w:t>
      </w:r>
      <w:r>
        <w:rPr>
          <w:rFonts w:ascii="Times New Roman" w:hAnsi="Times New Roman"/>
          <w:lang w:val="en-US"/>
        </w:rPr>
        <w:t xml:space="preserve"> (Platelet-Oriented Inhibition in New TIA and Minor Ischemic Stroke)</w:t>
      </w:r>
    </w:p>
    <w:p>
      <w:pPr>
        <w:spacing w:after="0" w:line="240" w:lineRule="auto"/>
        <w:rPr>
          <w:rFonts w:ascii="Times New Roman" w:hAnsi="Times New Roman"/>
        </w:rPr>
      </w:pPr>
      <w:r>
        <w:rPr>
          <w:rFonts w:ascii="Times New Roman" w:hAnsi="Times New Roman"/>
        </w:rPr>
        <w:t>Questo studio clinico randomizzato, in doppio cieco, multicentrico, controllato con placebo ha incluso 4.881 pazienti internazionali con TIA acuto (punteggio ABCD2 ≥4) o ictus minore (NIHSS ≤3). Tutti i pazienti in entrambi i gruppi hanno ricevuto ASA in aperto dal giorno 1 al giorno 90 (50-325 mg a discrezione del medico curante). I pazienti assegnati in modo casuale al gruppo clopidogrel hanno ricevuto una dose di carico di 600 mg di clopidogrel il giorno 1, seguita da una dose di 75 mg/die di clopidogrel nei giorni da 2 a 90. I pazienti assegnati in modo casuale al gruppo placebo hanno ricevuto placebo nei giorni da 1 a 90.</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L’endopoint primario di efficacia era un composto di eventi ischemici maggiori (IS, IM o morte per evento vascolare ischemico) al giorno 90. Ciò si è verificato in 121 pazienti (5,0%) che hanno ricevuto clopidogrel più ASA rispetto a 160 pazienti (6,5%) che hanno ricevuto ASA in monoterapia (HR, 0,75; IC 95%, da 0,59 a 0,95; P = 0,02). L’endopoint secondario di IS si è verificato in 112 pazienti (4,6%) che hanno ricevuto clopidogrel più ASA rispetto a 155 pazienti (6,3%) che hanno ricevuto solo ASA (HR 0,72; IC 95% da 0,56 a 0,92; P = 0,01). L’endpoint primario di sicurezza, ovvero emorragia maggiore, si è verificato in 23 dei 2.432 pazienti (0,9%) che hanno ricevuto clopidogrel più ASA e in 10 dei 2.449 pazienti (0,4%) che hanno ricevuto solo ASA (HR, 2,32; IC 95%, da 1,10 a 4,87; P = 0,02). L’emorragia minore si è verificata in 40 pazienti (1,6%) che hanno ricevuto clopidogrel più ASA e in 13 (0,5%) che hanno ricevuto solo ASA (HR, 3,12; IC 95%, da 1,67 a 5,83; P &lt; 0,001).</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CHANCE e POINT Analisi del decorso temporale</w:t>
      </w:r>
    </w:p>
    <w:p>
      <w:pPr>
        <w:spacing w:after="0" w:line="240" w:lineRule="auto"/>
        <w:rPr>
          <w:rFonts w:ascii="Times New Roman" w:hAnsi="Times New Roman"/>
        </w:rPr>
      </w:pPr>
      <w:r>
        <w:rPr>
          <w:rFonts w:ascii="Times New Roman" w:hAnsi="Times New Roman"/>
        </w:rPr>
        <w:t>Non si è verificato alcun beneficio in termini di efficacia nel continuare la DAPT oltre 21 giorni. È stata eseguita una distribuzione temporale degli eventi ischemici maggiori e delle emorragie maggiori in base all'assegnazione del trattamento per analizzare l'impatto del decorso temporale a breve termine della DAPT.</w:t>
      </w:r>
    </w:p>
    <w:p>
      <w:pPr>
        <w:spacing w:after="0" w:line="240" w:lineRule="auto"/>
        <w:rPr>
          <w:rFonts w:ascii="Times New Roman" w:hAnsi="Times New Roman"/>
        </w:rPr>
      </w:pPr>
    </w:p>
    <w:p>
      <w:pPr>
        <w:tabs>
          <w:tab w:val="left" w:pos="1134"/>
        </w:tabs>
        <w:spacing w:after="0" w:line="240" w:lineRule="auto"/>
        <w:ind w:right="-28"/>
        <w:jc w:val="center"/>
        <w:rPr>
          <w:rFonts w:ascii="Times New Roman" w:hAnsi="Times New Roman"/>
          <w:b/>
        </w:rPr>
      </w:pPr>
      <w:r>
        <w:rPr>
          <w:rFonts w:ascii="Times New Roman" w:hAnsi="Times New Roman"/>
          <w:b/>
        </w:rPr>
        <w:t xml:space="preserve">Tabella 1- Distribuzione del decorso temporale degli eventi ischemici maggiori e delle </w:t>
      </w:r>
      <w:r>
        <w:rPr>
          <w:rFonts w:ascii="Times New Roman" w:hAnsi="Times New Roman"/>
          <w:b/>
        </w:rPr>
        <w:tab/>
        <w:t xml:space="preserve">emorragie maggiori in base all'assegnazione del trattamento negli studi  </w:t>
      </w:r>
    </w:p>
    <w:p>
      <w:pPr>
        <w:tabs>
          <w:tab w:val="left" w:pos="1134"/>
        </w:tabs>
        <w:spacing w:after="0" w:line="240" w:lineRule="auto"/>
        <w:ind w:right="-28"/>
        <w:jc w:val="center"/>
        <w:rPr>
          <w:rFonts w:ascii="Times New Roman" w:hAnsi="Times New Roman"/>
        </w:rPr>
      </w:pPr>
      <w:r>
        <w:rPr>
          <w:rFonts w:ascii="Times New Roman" w:hAnsi="Times New Roman"/>
          <w:b/>
        </w:rPr>
        <w:t>CHANCE e POINT</w:t>
      </w:r>
    </w:p>
    <w:p>
      <w:pPr>
        <w:tabs>
          <w:tab w:val="left" w:pos="1134"/>
        </w:tabs>
        <w:spacing w:after="0" w:line="240" w:lineRule="auto"/>
        <w:ind w:right="-29"/>
        <w:jc w:val="center"/>
        <w:rPr>
          <w:rFonts w:ascii="Times New Roman" w:hAnsi="Times New Roman"/>
        </w:rPr>
      </w:pPr>
    </w:p>
    <w:tbl>
      <w:tblPr>
        <w:tblW w:w="10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67"/>
        <w:gridCol w:w="2823"/>
        <w:gridCol w:w="1439"/>
        <w:gridCol w:w="1440"/>
        <w:gridCol w:w="1440"/>
        <w:gridCol w:w="1440"/>
      </w:tblGrid>
      <w:tr>
        <w:trPr>
          <w:cantSplit/>
          <w:trHeight w:hRule="exact" w:val="340"/>
          <w:jc w:val="center"/>
        </w:trPr>
        <w:tc>
          <w:tcPr>
            <w:tcW w:w="10149" w:type="dxa"/>
            <w:gridSpan w:val="6"/>
            <w:shd w:val="clear" w:color="auto" w:fill="auto"/>
          </w:tcPr>
          <w:p>
            <w:pPr>
              <w:spacing w:after="0" w:line="240" w:lineRule="auto"/>
              <w:ind w:right="-29"/>
              <w:jc w:val="center"/>
              <w:rPr>
                <w:rFonts w:ascii="Times New Roman" w:hAnsi="Times New Roman"/>
              </w:rPr>
            </w:pPr>
            <w:bookmarkStart w:id="4" w:name="_Hlk25225287"/>
            <w:r>
              <w:rPr>
                <w:rFonts w:ascii="Times New Roman" w:hAnsi="Times New Roman"/>
              </w:rPr>
              <w:t>N. degli eventi</w:t>
            </w:r>
          </w:p>
        </w:tc>
      </w:tr>
      <w:tr>
        <w:trPr>
          <w:cantSplit/>
          <w:trHeight w:hRule="exact" w:val="666"/>
          <w:jc w:val="center"/>
        </w:trPr>
        <w:tc>
          <w:tcPr>
            <w:tcW w:w="1567" w:type="dxa"/>
            <w:shd w:val="clear" w:color="auto" w:fill="auto"/>
          </w:tcPr>
          <w:p>
            <w:pPr>
              <w:spacing w:after="0" w:line="240" w:lineRule="auto"/>
              <w:ind w:right="-29"/>
              <w:rPr>
                <w:rFonts w:ascii="Times New Roman" w:hAnsi="Times New Roman"/>
              </w:rPr>
            </w:pPr>
            <w:r>
              <w:rPr>
                <w:rFonts w:ascii="Times New Roman" w:hAnsi="Times New Roman"/>
              </w:rPr>
              <w:t xml:space="preserve">Risultati in </w:t>
            </w:r>
            <w:r>
              <w:rPr>
                <w:rFonts w:ascii="Times New Roman" w:hAnsi="Times New Roman"/>
              </w:rPr>
              <w:br/>
              <w:t>CHANCE e POINT</w:t>
            </w:r>
          </w:p>
        </w:tc>
        <w:tc>
          <w:tcPr>
            <w:tcW w:w="2823" w:type="dxa"/>
            <w:shd w:val="clear" w:color="auto" w:fill="auto"/>
            <w:noWrap/>
            <w:vAlign w:val="center"/>
            <w:hideMark/>
          </w:tcPr>
          <w:p>
            <w:pPr>
              <w:spacing w:after="0" w:line="240" w:lineRule="auto"/>
              <w:ind w:right="-29"/>
              <w:rPr>
                <w:rFonts w:ascii="Times New Roman" w:hAnsi="Times New Roman"/>
              </w:rPr>
            </w:pPr>
            <w:r>
              <w:rPr>
                <w:rFonts w:ascii="Times New Roman" w:hAnsi="Times New Roman"/>
              </w:rPr>
              <w:t>Assegnazione del trattamento</w:t>
            </w:r>
          </w:p>
        </w:tc>
        <w:tc>
          <w:tcPr>
            <w:tcW w:w="1439" w:type="dxa"/>
            <w:shd w:val="clear" w:color="auto" w:fill="auto"/>
            <w:noWrap/>
            <w:vAlign w:val="center"/>
            <w:hideMark/>
          </w:tcPr>
          <w:p>
            <w:pPr>
              <w:spacing w:after="0" w:line="240" w:lineRule="auto"/>
              <w:ind w:right="-29"/>
              <w:jc w:val="center"/>
              <w:rPr>
                <w:rFonts w:ascii="Times New Roman" w:hAnsi="Times New Roman"/>
              </w:rPr>
            </w:pPr>
            <w:r>
              <w:rPr>
                <w:rFonts w:ascii="Times New Roman" w:hAnsi="Times New Roman"/>
              </w:rPr>
              <w:t>Totale</w:t>
            </w:r>
          </w:p>
        </w:tc>
        <w:tc>
          <w:tcPr>
            <w:tcW w:w="1440" w:type="dxa"/>
            <w:shd w:val="clear" w:color="auto" w:fill="auto"/>
            <w:noWrap/>
            <w:vAlign w:val="center"/>
            <w:hideMark/>
          </w:tcPr>
          <w:p>
            <w:pPr>
              <w:spacing w:after="0" w:line="240" w:lineRule="auto"/>
              <w:ind w:right="-29"/>
              <w:jc w:val="center"/>
              <w:rPr>
                <w:rFonts w:ascii="Times New Roman" w:hAnsi="Times New Roman"/>
              </w:rPr>
            </w:pPr>
            <w:r>
              <w:rPr>
                <w:rFonts w:ascii="Times New Roman" w:hAnsi="Times New Roman"/>
              </w:rPr>
              <w:t>1° settimana</w:t>
            </w:r>
          </w:p>
        </w:tc>
        <w:tc>
          <w:tcPr>
            <w:tcW w:w="1440" w:type="dxa"/>
            <w:shd w:val="clear" w:color="auto" w:fill="auto"/>
            <w:noWrap/>
            <w:vAlign w:val="center"/>
            <w:hideMark/>
          </w:tcPr>
          <w:p>
            <w:pPr>
              <w:spacing w:after="0" w:line="240" w:lineRule="auto"/>
              <w:ind w:right="-29"/>
              <w:jc w:val="center"/>
              <w:rPr>
                <w:rFonts w:ascii="Times New Roman" w:hAnsi="Times New Roman"/>
              </w:rPr>
            </w:pPr>
            <w:r>
              <w:rPr>
                <w:rFonts w:ascii="Times New Roman" w:hAnsi="Times New Roman"/>
              </w:rPr>
              <w:t xml:space="preserve">2° </w:t>
            </w:r>
          </w:p>
          <w:p>
            <w:pPr>
              <w:spacing w:after="0" w:line="240" w:lineRule="auto"/>
              <w:ind w:right="-29"/>
              <w:jc w:val="center"/>
              <w:rPr>
                <w:rFonts w:ascii="Times New Roman" w:hAnsi="Times New Roman"/>
              </w:rPr>
            </w:pPr>
            <w:r>
              <w:rPr>
                <w:rFonts w:ascii="Times New Roman" w:hAnsi="Times New Roman"/>
              </w:rPr>
              <w:t>settimana</w:t>
            </w:r>
          </w:p>
        </w:tc>
        <w:tc>
          <w:tcPr>
            <w:tcW w:w="1440" w:type="dxa"/>
            <w:shd w:val="clear" w:color="auto" w:fill="auto"/>
            <w:noWrap/>
            <w:vAlign w:val="center"/>
            <w:hideMark/>
          </w:tcPr>
          <w:p>
            <w:pPr>
              <w:spacing w:after="0" w:line="240" w:lineRule="auto"/>
              <w:ind w:right="-29"/>
              <w:jc w:val="center"/>
              <w:rPr>
                <w:rFonts w:ascii="Times New Roman" w:hAnsi="Times New Roman"/>
              </w:rPr>
            </w:pPr>
            <w:r>
              <w:rPr>
                <w:rFonts w:ascii="Times New Roman" w:hAnsi="Times New Roman"/>
              </w:rPr>
              <w:t>3°</w:t>
            </w:r>
          </w:p>
          <w:p>
            <w:pPr>
              <w:spacing w:after="0" w:line="240" w:lineRule="auto"/>
              <w:ind w:right="-29"/>
              <w:jc w:val="center"/>
              <w:rPr>
                <w:rFonts w:ascii="Times New Roman" w:hAnsi="Times New Roman"/>
              </w:rPr>
            </w:pPr>
            <w:r>
              <w:rPr>
                <w:rFonts w:ascii="Times New Roman" w:hAnsi="Times New Roman"/>
              </w:rPr>
              <w:t xml:space="preserve"> settimana</w:t>
            </w:r>
          </w:p>
        </w:tc>
      </w:tr>
      <w:tr>
        <w:trPr>
          <w:cantSplit/>
          <w:trHeight w:hRule="exact" w:val="705"/>
          <w:jc w:val="center"/>
        </w:trPr>
        <w:tc>
          <w:tcPr>
            <w:tcW w:w="1567" w:type="dxa"/>
            <w:shd w:val="clear" w:color="auto" w:fill="auto"/>
          </w:tcPr>
          <w:p>
            <w:pPr>
              <w:spacing w:after="0" w:line="240" w:lineRule="auto"/>
              <w:ind w:right="-29"/>
              <w:rPr>
                <w:rFonts w:ascii="Times New Roman" w:hAnsi="Times New Roman"/>
              </w:rPr>
            </w:pPr>
            <w:r>
              <w:rPr>
                <w:rFonts w:ascii="Times New Roman" w:hAnsi="Times New Roman"/>
              </w:rPr>
              <w:t>Eventi ischemici maggiori</w:t>
            </w:r>
          </w:p>
        </w:tc>
        <w:tc>
          <w:tcPr>
            <w:tcW w:w="2823" w:type="dxa"/>
            <w:shd w:val="clear" w:color="auto" w:fill="auto"/>
            <w:noWrap/>
            <w:hideMark/>
          </w:tcPr>
          <w:p>
            <w:pPr>
              <w:spacing w:after="0" w:line="240" w:lineRule="auto"/>
              <w:ind w:right="-29"/>
              <w:rPr>
                <w:rFonts w:ascii="Times New Roman" w:hAnsi="Times New Roman"/>
              </w:rPr>
            </w:pPr>
            <w:r>
              <w:rPr>
                <w:rFonts w:ascii="Times New Roman" w:hAnsi="Times New Roman"/>
              </w:rPr>
              <w:t>ASA (n=5,035)</w:t>
            </w:r>
          </w:p>
        </w:tc>
        <w:tc>
          <w:tcPr>
            <w:tcW w:w="1439" w:type="dxa"/>
            <w:shd w:val="clear" w:color="auto" w:fill="auto"/>
            <w:noWrap/>
          </w:tcPr>
          <w:p>
            <w:pPr>
              <w:spacing w:after="0" w:line="240" w:lineRule="auto"/>
              <w:ind w:right="-29"/>
              <w:jc w:val="center"/>
              <w:rPr>
                <w:rFonts w:ascii="Times New Roman" w:hAnsi="Times New Roman"/>
              </w:rPr>
            </w:pPr>
            <w:r>
              <w:rPr>
                <w:rFonts w:ascii="Times New Roman" w:hAnsi="Times New Roman"/>
              </w:rPr>
              <w:t>458</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330</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36</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21</w:t>
            </w:r>
          </w:p>
        </w:tc>
      </w:tr>
      <w:tr>
        <w:trPr>
          <w:cantSplit/>
          <w:trHeight w:hRule="exact" w:val="340"/>
          <w:jc w:val="center"/>
        </w:trPr>
        <w:tc>
          <w:tcPr>
            <w:tcW w:w="1567" w:type="dxa"/>
            <w:shd w:val="clear" w:color="auto" w:fill="auto"/>
          </w:tcPr>
          <w:p>
            <w:pPr>
              <w:spacing w:after="0" w:line="240" w:lineRule="auto"/>
              <w:ind w:right="-29"/>
              <w:rPr>
                <w:rFonts w:ascii="Times New Roman" w:hAnsi="Times New Roman"/>
              </w:rPr>
            </w:pPr>
          </w:p>
        </w:tc>
        <w:tc>
          <w:tcPr>
            <w:tcW w:w="2823" w:type="dxa"/>
            <w:shd w:val="clear" w:color="auto" w:fill="auto"/>
            <w:noWrap/>
            <w:hideMark/>
          </w:tcPr>
          <w:p>
            <w:pPr>
              <w:spacing w:after="0" w:line="240" w:lineRule="auto"/>
              <w:ind w:right="-29"/>
              <w:rPr>
                <w:rFonts w:ascii="Times New Roman" w:hAnsi="Times New Roman"/>
              </w:rPr>
            </w:pPr>
            <w:r>
              <w:rPr>
                <w:rFonts w:ascii="Times New Roman" w:hAnsi="Times New Roman"/>
              </w:rPr>
              <w:t>CLP+ASA(n=5,016)</w:t>
            </w:r>
          </w:p>
        </w:tc>
        <w:tc>
          <w:tcPr>
            <w:tcW w:w="1439" w:type="dxa"/>
            <w:shd w:val="clear" w:color="auto" w:fill="auto"/>
            <w:noWrap/>
          </w:tcPr>
          <w:p>
            <w:pPr>
              <w:spacing w:after="0" w:line="240" w:lineRule="auto"/>
              <w:ind w:right="-29"/>
              <w:jc w:val="center"/>
              <w:rPr>
                <w:rFonts w:ascii="Times New Roman" w:hAnsi="Times New Roman"/>
              </w:rPr>
            </w:pPr>
            <w:r>
              <w:rPr>
                <w:rFonts w:ascii="Times New Roman" w:hAnsi="Times New Roman"/>
              </w:rPr>
              <w:t>328</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217</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30</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14</w:t>
            </w:r>
          </w:p>
        </w:tc>
      </w:tr>
      <w:tr>
        <w:trPr>
          <w:cantSplit/>
          <w:trHeight w:hRule="exact" w:val="340"/>
          <w:jc w:val="center"/>
        </w:trPr>
        <w:tc>
          <w:tcPr>
            <w:tcW w:w="1567" w:type="dxa"/>
            <w:shd w:val="clear" w:color="auto" w:fill="auto"/>
          </w:tcPr>
          <w:p>
            <w:pPr>
              <w:spacing w:after="0" w:line="240" w:lineRule="auto"/>
              <w:ind w:right="-29"/>
              <w:rPr>
                <w:rFonts w:ascii="Times New Roman" w:hAnsi="Times New Roman"/>
              </w:rPr>
            </w:pPr>
          </w:p>
        </w:tc>
        <w:tc>
          <w:tcPr>
            <w:tcW w:w="2823" w:type="dxa"/>
            <w:shd w:val="clear" w:color="auto" w:fill="auto"/>
            <w:noWrap/>
          </w:tcPr>
          <w:p>
            <w:pPr>
              <w:spacing w:after="0" w:line="240" w:lineRule="auto"/>
              <w:ind w:right="-29"/>
              <w:rPr>
                <w:rFonts w:ascii="Times New Roman" w:hAnsi="Times New Roman"/>
              </w:rPr>
            </w:pPr>
            <w:r>
              <w:rPr>
                <w:rFonts w:ascii="Times New Roman" w:hAnsi="Times New Roman"/>
              </w:rPr>
              <w:t>Differenza</w:t>
            </w:r>
          </w:p>
        </w:tc>
        <w:tc>
          <w:tcPr>
            <w:tcW w:w="1439"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130</w:t>
            </w:r>
          </w:p>
        </w:tc>
        <w:tc>
          <w:tcPr>
            <w:tcW w:w="1440"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113</w:t>
            </w:r>
          </w:p>
        </w:tc>
        <w:tc>
          <w:tcPr>
            <w:tcW w:w="1440"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6</w:t>
            </w:r>
          </w:p>
        </w:tc>
        <w:tc>
          <w:tcPr>
            <w:tcW w:w="1440"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7</w:t>
            </w:r>
          </w:p>
        </w:tc>
      </w:tr>
      <w:tr>
        <w:trPr>
          <w:cantSplit/>
          <w:trHeight w:hRule="exact" w:val="597"/>
          <w:jc w:val="center"/>
        </w:trPr>
        <w:tc>
          <w:tcPr>
            <w:tcW w:w="1567" w:type="dxa"/>
            <w:shd w:val="clear" w:color="auto" w:fill="auto"/>
          </w:tcPr>
          <w:p>
            <w:pPr>
              <w:spacing w:after="0" w:line="240" w:lineRule="auto"/>
              <w:ind w:right="-29"/>
              <w:rPr>
                <w:rFonts w:ascii="Times New Roman" w:hAnsi="Times New Roman"/>
              </w:rPr>
            </w:pPr>
            <w:r>
              <w:rPr>
                <w:rFonts w:ascii="Times New Roman" w:hAnsi="Times New Roman"/>
              </w:rPr>
              <w:t>Emorragia maggiore</w:t>
            </w:r>
          </w:p>
        </w:tc>
        <w:tc>
          <w:tcPr>
            <w:tcW w:w="2823" w:type="dxa"/>
            <w:shd w:val="clear" w:color="auto" w:fill="auto"/>
            <w:noWrap/>
            <w:hideMark/>
          </w:tcPr>
          <w:p>
            <w:pPr>
              <w:spacing w:after="0" w:line="240" w:lineRule="auto"/>
              <w:ind w:right="-29"/>
              <w:rPr>
                <w:rFonts w:ascii="Times New Roman" w:hAnsi="Times New Roman"/>
              </w:rPr>
            </w:pPr>
            <w:r>
              <w:rPr>
                <w:rFonts w:ascii="Times New Roman" w:hAnsi="Times New Roman"/>
              </w:rPr>
              <w:t>ASA (n=5,035)</w:t>
            </w:r>
          </w:p>
        </w:tc>
        <w:tc>
          <w:tcPr>
            <w:tcW w:w="1439" w:type="dxa"/>
            <w:shd w:val="clear" w:color="auto" w:fill="auto"/>
            <w:noWrap/>
          </w:tcPr>
          <w:p>
            <w:pPr>
              <w:spacing w:after="0" w:line="240" w:lineRule="auto"/>
              <w:ind w:right="-29"/>
              <w:jc w:val="center"/>
              <w:rPr>
                <w:rFonts w:ascii="Times New Roman" w:hAnsi="Times New Roman"/>
              </w:rPr>
            </w:pPr>
            <w:r>
              <w:rPr>
                <w:rFonts w:ascii="Times New Roman" w:hAnsi="Times New Roman"/>
              </w:rPr>
              <w:t>18</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4</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2</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1</w:t>
            </w:r>
          </w:p>
        </w:tc>
      </w:tr>
      <w:tr>
        <w:trPr>
          <w:cantSplit/>
          <w:trHeight w:hRule="exact" w:val="340"/>
          <w:jc w:val="center"/>
        </w:trPr>
        <w:tc>
          <w:tcPr>
            <w:tcW w:w="1567" w:type="dxa"/>
            <w:shd w:val="clear" w:color="auto" w:fill="auto"/>
          </w:tcPr>
          <w:p>
            <w:pPr>
              <w:spacing w:after="0" w:line="240" w:lineRule="auto"/>
              <w:ind w:right="-29"/>
              <w:rPr>
                <w:rFonts w:ascii="Times New Roman" w:hAnsi="Times New Roman"/>
              </w:rPr>
            </w:pPr>
          </w:p>
        </w:tc>
        <w:tc>
          <w:tcPr>
            <w:tcW w:w="2823" w:type="dxa"/>
            <w:shd w:val="clear" w:color="auto" w:fill="auto"/>
            <w:noWrap/>
          </w:tcPr>
          <w:p>
            <w:pPr>
              <w:spacing w:after="0" w:line="240" w:lineRule="auto"/>
              <w:ind w:right="-29"/>
              <w:rPr>
                <w:rFonts w:ascii="Times New Roman" w:hAnsi="Times New Roman"/>
              </w:rPr>
            </w:pPr>
            <w:r>
              <w:rPr>
                <w:rFonts w:ascii="Times New Roman" w:hAnsi="Times New Roman"/>
              </w:rPr>
              <w:t>CLP+ASA(n=5,016)</w:t>
            </w:r>
          </w:p>
        </w:tc>
        <w:tc>
          <w:tcPr>
            <w:tcW w:w="1439" w:type="dxa"/>
            <w:shd w:val="clear" w:color="auto" w:fill="auto"/>
            <w:noWrap/>
          </w:tcPr>
          <w:p>
            <w:pPr>
              <w:spacing w:after="0" w:line="240" w:lineRule="auto"/>
              <w:ind w:right="-29"/>
              <w:jc w:val="center"/>
              <w:rPr>
                <w:rFonts w:ascii="Times New Roman" w:hAnsi="Times New Roman"/>
              </w:rPr>
            </w:pPr>
            <w:r>
              <w:rPr>
                <w:rFonts w:ascii="Times New Roman" w:hAnsi="Times New Roman"/>
              </w:rPr>
              <w:t>30</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10</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4</w:t>
            </w:r>
          </w:p>
        </w:tc>
        <w:tc>
          <w:tcPr>
            <w:tcW w:w="1440" w:type="dxa"/>
            <w:shd w:val="clear" w:color="auto" w:fill="auto"/>
            <w:noWrap/>
          </w:tcPr>
          <w:p>
            <w:pPr>
              <w:spacing w:after="0" w:line="240" w:lineRule="auto"/>
              <w:ind w:right="-29"/>
              <w:jc w:val="center"/>
              <w:rPr>
                <w:rFonts w:ascii="Times New Roman" w:hAnsi="Times New Roman"/>
              </w:rPr>
            </w:pPr>
            <w:r>
              <w:rPr>
                <w:rFonts w:ascii="Times New Roman" w:hAnsi="Times New Roman"/>
              </w:rPr>
              <w:t>2</w:t>
            </w:r>
          </w:p>
        </w:tc>
      </w:tr>
      <w:tr>
        <w:trPr>
          <w:cantSplit/>
          <w:trHeight w:hRule="exact" w:val="340"/>
          <w:jc w:val="center"/>
        </w:trPr>
        <w:tc>
          <w:tcPr>
            <w:tcW w:w="1567" w:type="dxa"/>
            <w:shd w:val="clear" w:color="auto" w:fill="auto"/>
          </w:tcPr>
          <w:p>
            <w:pPr>
              <w:spacing w:after="0" w:line="240" w:lineRule="auto"/>
              <w:ind w:right="-29"/>
              <w:rPr>
                <w:rFonts w:ascii="Times New Roman" w:hAnsi="Times New Roman"/>
              </w:rPr>
            </w:pPr>
          </w:p>
        </w:tc>
        <w:tc>
          <w:tcPr>
            <w:tcW w:w="2823" w:type="dxa"/>
            <w:shd w:val="clear" w:color="auto" w:fill="auto"/>
            <w:noWrap/>
          </w:tcPr>
          <w:p>
            <w:pPr>
              <w:spacing w:after="0" w:line="240" w:lineRule="auto"/>
              <w:ind w:right="-29"/>
              <w:rPr>
                <w:rFonts w:ascii="Times New Roman" w:hAnsi="Times New Roman"/>
              </w:rPr>
            </w:pPr>
            <w:r>
              <w:rPr>
                <w:rFonts w:ascii="Times New Roman" w:hAnsi="Times New Roman"/>
              </w:rPr>
              <w:t>Differenza</w:t>
            </w:r>
          </w:p>
        </w:tc>
        <w:tc>
          <w:tcPr>
            <w:tcW w:w="1439"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-12</w:t>
            </w:r>
          </w:p>
        </w:tc>
        <w:tc>
          <w:tcPr>
            <w:tcW w:w="1440"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-6</w:t>
            </w:r>
          </w:p>
        </w:tc>
        <w:tc>
          <w:tcPr>
            <w:tcW w:w="1440"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-2</w:t>
            </w:r>
          </w:p>
        </w:tc>
        <w:tc>
          <w:tcPr>
            <w:tcW w:w="1440" w:type="dxa"/>
            <w:shd w:val="clear" w:color="auto" w:fill="auto"/>
            <w:noWrap/>
            <w:vAlign w:val="center"/>
          </w:tcPr>
          <w:p>
            <w:pPr>
              <w:spacing w:after="0" w:line="240" w:lineRule="auto"/>
              <w:ind w:right="-29"/>
              <w:jc w:val="center"/>
              <w:rPr>
                <w:rFonts w:ascii="Times New Roman" w:hAnsi="Times New Roman"/>
              </w:rPr>
            </w:pPr>
            <w:r>
              <w:rPr>
                <w:rFonts w:ascii="Times New Roman" w:hAnsi="Times New Roman"/>
              </w:rPr>
              <w:t>-1</w:t>
            </w:r>
          </w:p>
        </w:tc>
      </w:tr>
      <w:bookmarkEnd w:id="4"/>
    </w:tbl>
    <w:p>
      <w:pPr>
        <w:spacing w:after="0" w:line="240" w:lineRule="auto"/>
        <w:rPr>
          <w:rFonts w:ascii="Times New Roman" w:hAnsi="Times New Roman"/>
        </w:rPr>
      </w:pPr>
    </w:p>
    <w:p>
      <w:pPr>
        <w:widowControl w:val="0"/>
        <w:tabs>
          <w:tab w:val="left" w:pos="567"/>
        </w:tabs>
        <w:spacing w:after="0" w:line="240" w:lineRule="auto"/>
        <w:rPr>
          <w:rFonts w:ascii="Times New Roman" w:hAnsi="Times New Roman"/>
        </w:rPr>
      </w:pPr>
    </w:p>
    <w:p>
      <w:pPr>
        <w:widowControl w:val="0"/>
        <w:tabs>
          <w:tab w:val="left" w:pos="567"/>
        </w:tabs>
        <w:spacing w:after="0" w:line="240" w:lineRule="auto"/>
        <w:rPr>
          <w:rFonts w:ascii="Times New Roman" w:eastAsia="Times New Roman" w:hAnsi="Times New Roman"/>
          <w:b/>
          <w:bCs/>
          <w:color w:val="000000"/>
          <w:spacing w:val="1"/>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Fibrillazione atriale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Gli studi ACTIVE-W e ACTIVE-A, studi distinti facenti parte del programma ACTIVE, hanno incluso pazienti affetti da fibrillazione atriale (FA) che possedevano almeno un fattore di rischio per eventi vascolari. Sulla base dei criteri di arruolamento, i medici hanno incluso i pazienti nello studio ACTIVE-W se questi ultimi risultavano eleggibili al trattamento con antagonisti della vitamina K (AVK) (come warfarin). Lo studio ACTIVE-A ha incluso pazienti che non potevano ricevere il trattamento con AVK perché non erano in grado o non erano propensi a sottoporsi al trattamento. </w:t>
      </w:r>
    </w:p>
    <w:p>
      <w:pPr>
        <w:keepNext/>
        <w:tabs>
          <w:tab w:val="left" w:pos="540"/>
        </w:tabs>
        <w:spacing w:after="0" w:line="240" w:lineRule="auto"/>
        <w:ind w:right="14"/>
        <w:outlineLvl w:val="1"/>
        <w:rPr>
          <w:rFonts w:ascii="Times New Roman" w:eastAsia="Times New Roman" w:hAnsi="Times New Roman"/>
          <w:bCs/>
        </w:rPr>
      </w:pPr>
      <w:r>
        <w:rPr>
          <w:rFonts w:ascii="Times New Roman" w:eastAsia="Times New Roman" w:hAnsi="Times New Roman"/>
          <w:bCs/>
        </w:rPr>
        <w:t>Lo studio ACTIVE-W ha dimostrato che il trattamento anticoagulante con gli antagonisti della vitamina K era più efficace rispetto al trattamento con clopidogrel e ASA.</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Lo studio ACTIVE-A (n=7.554) è uno studio multicentrico, randomizzato, in doppio cieco, controllato con placebo che ha confrontato clopidogrel 75 mg/die + ASA (N=3.772) con placebo + ASA (N=3.782). La dose raccomandata di ASA era compresa tra 75 e 100 mg/die. I pazienti sono stati trattati fino a un massimo di 5 anni.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I pazienti randomizzati nel programma ACTIVE dovevano presentare FA documentata, ad es. FA permanente o almeno 2 episodi di FA intermittente che si erano verificati negli ultimi 6 mesi e dovevano possedere almeno uno dei seguenti fattori di rischio: </w:t>
      </w:r>
    </w:p>
    <w:p>
      <w:pPr>
        <w:numPr>
          <w:ilvl w:val="0"/>
          <w:numId w:val="29"/>
        </w:numPr>
        <w:spacing w:after="0" w:line="240" w:lineRule="auto"/>
        <w:rPr>
          <w:rFonts w:ascii="Times New Roman" w:eastAsia="Times New Roman" w:hAnsi="Times New Roman"/>
        </w:rPr>
      </w:pPr>
      <w:r>
        <w:rPr>
          <w:rFonts w:ascii="Times New Roman" w:eastAsia="Times New Roman" w:hAnsi="Times New Roman"/>
        </w:rPr>
        <w:t xml:space="preserve">età ≥ 75 anni oppure </w:t>
      </w:r>
    </w:p>
    <w:p>
      <w:pPr>
        <w:numPr>
          <w:ilvl w:val="0"/>
          <w:numId w:val="29"/>
        </w:numPr>
        <w:spacing w:after="0" w:line="240" w:lineRule="auto"/>
        <w:rPr>
          <w:rFonts w:ascii="Times New Roman" w:eastAsia="Times New Roman" w:hAnsi="Times New Roman"/>
        </w:rPr>
      </w:pPr>
      <w:r>
        <w:rPr>
          <w:rFonts w:ascii="Times New Roman" w:eastAsia="Times New Roman" w:hAnsi="Times New Roman"/>
        </w:rPr>
        <w:t>età compresa tra 55 e 74 anni e</w:t>
      </w:r>
    </w:p>
    <w:p>
      <w:pPr>
        <w:numPr>
          <w:ilvl w:val="0"/>
          <w:numId w:val="30"/>
        </w:numPr>
        <w:tabs>
          <w:tab w:val="clear" w:pos="360"/>
          <w:tab w:val="num" w:pos="720"/>
        </w:tabs>
        <w:spacing w:after="0" w:line="240" w:lineRule="auto"/>
        <w:ind w:left="720"/>
        <w:rPr>
          <w:rFonts w:ascii="Times New Roman" w:eastAsia="Times New Roman" w:hAnsi="Times New Roman"/>
        </w:rPr>
      </w:pPr>
      <w:r>
        <w:rPr>
          <w:rFonts w:ascii="Times New Roman" w:eastAsia="Times New Roman" w:hAnsi="Times New Roman"/>
        </w:rPr>
        <w:t xml:space="preserve">diabete mellito che richiedeva una terapia farmacologica o </w:t>
      </w:r>
    </w:p>
    <w:p>
      <w:pPr>
        <w:numPr>
          <w:ilvl w:val="0"/>
          <w:numId w:val="30"/>
        </w:numPr>
        <w:tabs>
          <w:tab w:val="clear" w:pos="360"/>
          <w:tab w:val="num" w:pos="720"/>
        </w:tabs>
        <w:spacing w:after="0" w:line="240" w:lineRule="auto"/>
        <w:ind w:left="720"/>
        <w:rPr>
          <w:rFonts w:ascii="Times New Roman" w:eastAsia="Times New Roman" w:hAnsi="Times New Roman"/>
        </w:rPr>
      </w:pPr>
      <w:r>
        <w:rPr>
          <w:rFonts w:ascii="Times New Roman" w:eastAsia="Times New Roman" w:hAnsi="Times New Roman"/>
        </w:rPr>
        <w:t xml:space="preserve">pregresso IM documentato o </w:t>
      </w:r>
      <w:bookmarkStart w:id="5" w:name="OLE_LINK4"/>
      <w:bookmarkStart w:id="6" w:name="OLE_LINK5"/>
      <w:r>
        <w:rPr>
          <w:rFonts w:ascii="Times New Roman" w:eastAsia="Times New Roman" w:hAnsi="Times New Roman"/>
        </w:rPr>
        <w:t>malattia coronarica documentata</w:t>
      </w:r>
      <w:bookmarkEnd w:id="5"/>
      <w:bookmarkEnd w:id="6"/>
      <w:r>
        <w:rPr>
          <w:rFonts w:ascii="Times New Roman" w:eastAsia="Times New Roman" w:hAnsi="Times New Roman"/>
        </w:rPr>
        <w:t>;</w:t>
      </w:r>
    </w:p>
    <w:p>
      <w:pPr>
        <w:numPr>
          <w:ilvl w:val="0"/>
          <w:numId w:val="31"/>
        </w:numPr>
        <w:spacing w:after="0" w:line="240" w:lineRule="auto"/>
        <w:rPr>
          <w:rFonts w:ascii="Times New Roman" w:eastAsia="Times New Roman" w:hAnsi="Times New Roman"/>
        </w:rPr>
      </w:pPr>
      <w:r>
        <w:rPr>
          <w:rFonts w:ascii="Times New Roman" w:eastAsia="Times New Roman" w:hAnsi="Times New Roman"/>
        </w:rPr>
        <w:t xml:space="preserve"> in trattamento per ipertensione sistemica;</w:t>
      </w:r>
    </w:p>
    <w:p>
      <w:pPr>
        <w:numPr>
          <w:ilvl w:val="0"/>
          <w:numId w:val="31"/>
        </w:numPr>
        <w:spacing w:after="0" w:line="240" w:lineRule="auto"/>
        <w:rPr>
          <w:rFonts w:ascii="Times New Roman" w:eastAsia="Times New Roman" w:hAnsi="Times New Roman"/>
        </w:rPr>
      </w:pPr>
      <w:r>
        <w:rPr>
          <w:rFonts w:ascii="Times New Roman" w:eastAsia="Times New Roman" w:hAnsi="Times New Roman"/>
        </w:rPr>
        <w:t xml:space="preserve"> pregresso ictus, attacco ischemico transitorio (TIA) o embolia sistemica non a carico del SNC;</w:t>
      </w:r>
    </w:p>
    <w:p>
      <w:pPr>
        <w:numPr>
          <w:ilvl w:val="0"/>
          <w:numId w:val="31"/>
        </w:numPr>
        <w:spacing w:after="0" w:line="240" w:lineRule="auto"/>
        <w:rPr>
          <w:rFonts w:ascii="Times New Roman" w:eastAsia="Times New Roman" w:hAnsi="Times New Roman"/>
        </w:rPr>
      </w:pPr>
      <w:r>
        <w:rPr>
          <w:rFonts w:ascii="Times New Roman" w:eastAsia="Times New Roman" w:hAnsi="Times New Roman"/>
        </w:rPr>
        <w:t>disfunzione ventricolare sinistra con frazione di eiezione del ventricolo sinistro &lt;45%;</w:t>
      </w:r>
    </w:p>
    <w:p>
      <w:pPr>
        <w:numPr>
          <w:ilvl w:val="0"/>
          <w:numId w:val="31"/>
        </w:numPr>
        <w:spacing w:after="0" w:line="240" w:lineRule="auto"/>
        <w:rPr>
          <w:rFonts w:ascii="Times New Roman" w:eastAsia="Times New Roman" w:hAnsi="Times New Roman"/>
        </w:rPr>
      </w:pPr>
      <w:r>
        <w:rPr>
          <w:rFonts w:ascii="Times New Roman" w:eastAsia="Times New Roman" w:hAnsi="Times New Roman"/>
        </w:rPr>
        <w:t xml:space="preserve">documentata arteriopatia obliterante periferica. </w:t>
      </w:r>
    </w:p>
    <w:p>
      <w:pPr>
        <w:tabs>
          <w:tab w:val="left" w:pos="567"/>
        </w:tabs>
        <w:spacing w:after="0" w:line="240" w:lineRule="auto"/>
        <w:rPr>
          <w:rFonts w:ascii="Times New Roman" w:eastAsia="Times New Roman" w:hAnsi="Times New Roman"/>
        </w:rPr>
      </w:pPr>
      <w:r>
        <w:rPr>
          <w:rFonts w:ascii="Times New Roman" w:eastAsia="Times New Roman" w:hAnsi="Times New Roman"/>
        </w:rPr>
        <w:t>Il punteggio CHADS</w:t>
      </w:r>
      <w:r>
        <w:rPr>
          <w:rFonts w:ascii="Times New Roman" w:eastAsia="Times New Roman" w:hAnsi="Times New Roman"/>
          <w:vertAlign w:val="subscript"/>
        </w:rPr>
        <w:t xml:space="preserve">2 </w:t>
      </w:r>
      <w:r>
        <w:rPr>
          <w:rFonts w:ascii="Times New Roman" w:eastAsia="Times New Roman" w:hAnsi="Times New Roman"/>
        </w:rPr>
        <w:t>medio era 2.0 (range 0-6).</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 principali criteri di esclusione dei pazienti erano costituiti da ulcera peptica documentata nei 6 mesi precedenti; precedente emorragia intracerebrale; trombocitopenia importante (conta piastrinica &lt; 50 x 10</w:t>
      </w:r>
      <w:r>
        <w:rPr>
          <w:rFonts w:ascii="Times New Roman" w:eastAsia="Times New Roman" w:hAnsi="Times New Roman"/>
          <w:vertAlign w:val="superscript"/>
        </w:rPr>
        <w:t>9</w:t>
      </w:r>
      <w:r>
        <w:rPr>
          <w:rFonts w:ascii="Times New Roman" w:eastAsia="Times New Roman" w:hAnsi="Times New Roman"/>
        </w:rPr>
        <w:t>/1); richiesta di clopidogrel o anticoagulanti orali (OAC); o intolleranza a uno dei due componenti.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Il settantatré per cento (73%) dei pazienti arruolati nello studio ACTIVE-A non era idoneo ad assumere un AVK in seguito a valutazione medica, incapacità di conformarsi al monitoraggio dell’INR (International Normalised Ratio), predisposizione a cadere o a subire un trauma cranico, o rischio specifico di sanguinamento; per il 26% dei pazienti la decisione del medico si basava sulla riluttanza del paziente ad assumere un AVK.</w:t>
      </w:r>
    </w:p>
    <w:p>
      <w:pPr>
        <w:keepNext/>
        <w:tabs>
          <w:tab w:val="left" w:pos="540"/>
        </w:tabs>
        <w:spacing w:after="0" w:line="240" w:lineRule="auto"/>
        <w:ind w:right="14"/>
        <w:outlineLvl w:val="1"/>
        <w:rPr>
          <w:rFonts w:ascii="Times New Roman" w:eastAsia="Times New Roman" w:hAnsi="Times New Roman"/>
          <w:b/>
          <w:bCs/>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Il 41,8% della popolazione in studio era rappresentato da donne. L’età media era 71 anni, il 41,6% dei pazienti era di età ≥75 anni. In totale, il 23% dei pazienti sono stati trattati con antiaritmici, il 52,1% con beta bloccanti, il 54,6% con ACE inibitori ed il 25% con statine.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Il numero di pazienti che ha raggiunto l’endpoint primario (tempo al primo episodio di ictus, IM, embolia sistemica non a carico del SNC o morte vascolare) è stato di 832 pazienti (22.1%) nel gruppo trattato con clopidogrel + ASA e di 924 pazienti (24,4%) nel gruppo trattato con placebo + ASA (riduzione del rischio relativo dell’11, 1%; 95% CI  2,4% -19,1%; p=0,013), dovuto principalmente alla forte riduzione dell’incidenza di ictus. L’ictus si è presentato in 296 pazienti (7,8%) trattati con clopidogrel + ASA e in 408 pazienti (10,8%) trattati con placebo + ASA (riduzione del rischio relativo del 28,4%; 95% CI, 16,8%-38,3%; p=0,00001).</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Popolazione pediatrica</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In uno studio di dosaggi incrementali su 86 neonati o lattanti fino a 24 mesi di età a rischio di trombosi (PICOLO), il clopidogrel è stato valutato a dosi consecutive di 0,01, 0,1 e 0,2 mg / kg nei neonati e nei lattanti e di 0,15 mg / kg solo nei neonati. La dose di 0,2 mg / kg ha ottenuto l’inibizione percentuale media del 49,3% (aggregazione piastrinica indotta da 5μM di ADP), paragonabile a quella di adulti che avevano assunto clopidogrel 75 mg / die.</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In uno studio randomizzato, in doppio cieco, a gruppi paralleli (CLARINET), 906 pazienti in età pediatrica (neonati e lattanti), con cardiopatia congenita cianotica attenuata con uno shunt arterioso sistemico polmonare sono stati randomizzati a ricevere clopidogrel 0,2 mg / kg (n = 467) o placebo (n = 439) con concomitante terapia di base fino al momento della seconda fase chirurgica. Il tempo medio tra l’impianto dello shunt palliativo e la prima somministrazione del medicinale in studio è stato di 20 giorni. Circa l’88% dei pazienti ha ricevuto contemporaneamente ASA (tra 1 e 23 mg / kg / die). Non c’è stata differenza significativa tra i gruppi per l’endpoint primario composito di morte, trombosi dello shunt o intervento cardiaco correlato prima di 120 giorni di età a seguito di un evento considerato di natura trombotica (89 [19,1%] per il gruppo clopidogrel e 90 [20,5%] per il gruppo placebo) (vedere paragrafo 4.2). Il sanguinamento è stata la reazione avversa più frequentemente riportata in entrambi i gruppi clopidogrel e placebo, tuttavia, non c’è stata alcuna differenza significativa nel tasso di sanguinamento tra i gruppi. Nel follow-up relativo alla sicurezza a lungo termine di questo studio, 26 pazienti con shunt ancora posizionato ad un anno di età hanno ricevuto clopidogrel fino a 18 mesi di età. Nessun problema di sicurezza è stato notato nel corso di questo lungo periodo di follow-up.</w:t>
      </w:r>
    </w:p>
    <w:p>
      <w:pPr>
        <w:widowControl w:val="0"/>
        <w:tabs>
          <w:tab w:val="center" w:pos="4536"/>
          <w:tab w:val="right" w:pos="9072"/>
        </w:tabs>
        <w:suppressAutoHyphens/>
        <w:autoSpaceDE w:val="0"/>
        <w:spacing w:after="0" w:line="240" w:lineRule="auto"/>
        <w:rPr>
          <w:rFonts w:ascii="Times New Roman" w:eastAsia="Times New Roman" w:hAnsi="Times New Roman"/>
          <w:lang w:eastAsia="ar-SA"/>
        </w:rPr>
      </w:pPr>
    </w:p>
    <w:p>
      <w:pPr>
        <w:widowControl w:val="0"/>
        <w:tabs>
          <w:tab w:val="center" w:pos="4536"/>
          <w:tab w:val="right" w:pos="9072"/>
        </w:tabs>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Gli studi CLARINET e PICOLO sono stati condotti usando una soluzione costituita di clopidogrel. In uno studio di biodisponibilità relativa negli adulti, la soluzione costituita di clopidogrel ha mostrato un grado di assorbimento paragonabile e una velocità di assorbimento del principale metabolita circolante (inattivo) leggermente più elevata rispetto alla compressa autorizzata.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5.2</w:t>
      </w:r>
      <w:r>
        <w:rPr>
          <w:rFonts w:ascii="Times New Roman" w:eastAsia="Times New Roman" w:hAnsi="Times New Roman"/>
          <w:b/>
          <w:bCs/>
          <w:color w:val="000000"/>
          <w:spacing w:val="1"/>
          <w:lang w:eastAsia="ar-SA"/>
        </w:rPr>
        <w:tab/>
        <w:t>Proprietà farmacocinetiche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Assorbimento</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Dopo dosi orali singole e ripetute di 75 mg/die, clopidogrel viene rapidamente assorbito. Il picco dei livelli plasmatici del farmaco come tale (circa 2,2-2,5 ng/ml dopo una singola dose orale di 75 mg) si verifica 45 minuti circa dopo la somministrazione. L'assorbimento è almeno del 50% sulla base dell’escrezione urinaria dei metaboliti di clopidogrel.</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Distribuzione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i/>
          <w:iCs/>
          <w:lang w:eastAsia="ar-SA"/>
        </w:rPr>
        <w:t>In vitr</w:t>
      </w:r>
      <w:r>
        <w:rPr>
          <w:rFonts w:ascii="Times New Roman" w:eastAsia="Times New Roman" w:hAnsi="Times New Roman"/>
          <w:lang w:eastAsia="ar-SA"/>
        </w:rPr>
        <w:t xml:space="preserve">o, clopidogrel ed il suo principale metabolita (inattivo) si legano in modo reversibile alle proteine plasmatiche umane (98% e 94%, rispettivamente). Il legame non è saturabile </w:t>
      </w:r>
      <w:r>
        <w:rPr>
          <w:rFonts w:ascii="Times New Roman" w:eastAsia="Times New Roman" w:hAnsi="Times New Roman"/>
          <w:i/>
          <w:iCs/>
          <w:lang w:eastAsia="ar-SA"/>
        </w:rPr>
        <w:t xml:space="preserve">in vitro </w:t>
      </w:r>
      <w:r>
        <w:rPr>
          <w:rFonts w:ascii="Times New Roman" w:eastAsia="Times New Roman" w:hAnsi="Times New Roman"/>
          <w:lang w:eastAsia="ar-SA"/>
        </w:rPr>
        <w:t>entro un ampio intervallo di concentrazioni.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Biotrasformazione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Clopidogrel è ampiamente metabolizzato dal fegato. </w:t>
      </w:r>
      <w:r>
        <w:rPr>
          <w:rFonts w:ascii="Times New Roman" w:eastAsia="Times New Roman" w:hAnsi="Times New Roman"/>
          <w:i/>
          <w:lang w:eastAsia="ar-SA"/>
        </w:rPr>
        <w:t>In vitro</w:t>
      </w:r>
      <w:r>
        <w:rPr>
          <w:rFonts w:ascii="Times New Roman" w:eastAsia="Times New Roman" w:hAnsi="Times New Roman"/>
          <w:lang w:eastAsia="ar-SA"/>
        </w:rPr>
        <w:t xml:space="preserve"> e </w:t>
      </w:r>
      <w:r>
        <w:rPr>
          <w:rFonts w:ascii="Times New Roman" w:eastAsia="Times New Roman" w:hAnsi="Times New Roman"/>
          <w:i/>
          <w:lang w:eastAsia="ar-SA"/>
        </w:rPr>
        <w:t>in vivo</w:t>
      </w:r>
      <w:r>
        <w:rPr>
          <w:rFonts w:ascii="Times New Roman" w:eastAsia="Times New Roman" w:hAnsi="Times New Roman"/>
          <w:lang w:eastAsia="ar-SA"/>
        </w:rPr>
        <w:t xml:space="preserve">, clopidogrel è metabolizzato secondo due vie metaboliche principali: una mediata dalle esterasi che porta all’idrolisi nel suo derivato carbossilico acido inattivo (85% dei metaboliti circolanti), e una mediata da molteplici citocromi P450. Clopidogrel è dapprima metabolizzato al metabolita intermedio 2-oxo-clopidogrel. La successiva trasformazione del metabolita intermedio 2-oxo-clopidogrel porta alla formazione del metabolita attivo, un derivato tiolico del clopidogrel. Il metabolita attivo si forma principalmente per azione del CYP2C19 con il contributo di diversi altri enzimi CYP, tra cui CYP1A2, CYP2B6 E CYP3A4. Il metabolita tiolico attivo che è stato isolato </w:t>
      </w:r>
      <w:r>
        <w:rPr>
          <w:rFonts w:ascii="Times New Roman" w:eastAsia="Times New Roman" w:hAnsi="Times New Roman"/>
          <w:i/>
          <w:iCs/>
          <w:lang w:eastAsia="ar-SA"/>
        </w:rPr>
        <w:t>in vitr</w:t>
      </w:r>
      <w:r>
        <w:rPr>
          <w:rFonts w:ascii="Times New Roman" w:eastAsia="Times New Roman" w:hAnsi="Times New Roman"/>
          <w:lang w:eastAsia="ar-SA"/>
        </w:rPr>
        <w:t>o, si lega rapidamente ed irreversibilmente ai recettori piastrinici, con conseguente inibizione dell’aggregazione piastrinica.</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Dopo somministrazione di una singola dose di carico da 300 mg di clopidogrel, la C</w:t>
      </w:r>
      <w:r>
        <w:rPr>
          <w:rFonts w:ascii="Times New Roman" w:eastAsia="Times New Roman" w:hAnsi="Times New Roman"/>
          <w:vertAlign w:val="subscript"/>
          <w:lang w:eastAsia="ar-SA"/>
        </w:rPr>
        <w:t xml:space="preserve">max </w:t>
      </w:r>
      <w:r>
        <w:rPr>
          <w:rFonts w:ascii="Times New Roman" w:eastAsia="Times New Roman" w:hAnsi="Times New Roman"/>
          <w:lang w:eastAsia="ar-SA"/>
        </w:rPr>
        <w:t>del metabolita attivo è risultata due volte superiore a quella dopo somministrazione della dose di mantenimento di 75 mg per la durata di 4 giorni. La C</w:t>
      </w:r>
      <w:r>
        <w:rPr>
          <w:rFonts w:ascii="Times New Roman" w:eastAsia="Times New Roman" w:hAnsi="Times New Roman"/>
          <w:vertAlign w:val="subscript"/>
          <w:lang w:eastAsia="ar-SA"/>
        </w:rPr>
        <w:t>max</w:t>
      </w:r>
      <w:r>
        <w:rPr>
          <w:rFonts w:ascii="Times New Roman" w:eastAsia="Times New Roman" w:hAnsi="Times New Roman"/>
          <w:lang w:eastAsia="ar-SA"/>
        </w:rPr>
        <w:t xml:space="preserve"> si osserva approssimativamente tra 30 e 60 minuti dalla somministrazione.</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Eliminazione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Nell’uomo dopo una dose orale di clopidogrel marcato con </w:t>
      </w:r>
      <w:r>
        <w:rPr>
          <w:rFonts w:ascii="Times New Roman" w:eastAsia="Times New Roman" w:hAnsi="Times New Roman"/>
          <w:vertAlign w:val="superscript"/>
          <w:lang w:eastAsia="ar-SA"/>
        </w:rPr>
        <w:t>14</w:t>
      </w:r>
      <w:r>
        <w:rPr>
          <w:rFonts w:ascii="Times New Roman" w:eastAsia="Times New Roman" w:hAnsi="Times New Roman"/>
          <w:lang w:eastAsia="ar-SA"/>
        </w:rPr>
        <w:t>C, circa il 50% viene escreto nelle urine e circa il 46% nelle feci entro 120 ore dalla somministrazione. Dopo una dose singola di 75 mg, clopidogrel ha un’emivita di circa 6 ore. L’emivita di eliminazione del principale metabolita circolante (inattivo) è di otto ore sia dopo somministrazione di dose singola che ripetuta.</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Farmacogenetica</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Il CYP2C19 è coinvolto nella formazione sia del metabolita attivo che del metabolita intermedio 2-oxo-clopidogrel. La farmacocinetica del metabolita attivo di clopidogrel e gli effetti antipiastrinici, misurati con metodiche di aggregazione piastrinica </w:t>
      </w:r>
      <w:r>
        <w:rPr>
          <w:rFonts w:ascii="Times New Roman" w:eastAsia="Times New Roman" w:hAnsi="Times New Roman"/>
          <w:i/>
          <w:lang w:eastAsia="ar-SA"/>
        </w:rPr>
        <w:t>ex-vivo</w:t>
      </w:r>
      <w:r>
        <w:rPr>
          <w:rFonts w:ascii="Times New Roman" w:eastAsia="Times New Roman" w:hAnsi="Times New Roman"/>
          <w:lang w:eastAsia="ar-SA"/>
        </w:rPr>
        <w:t>, variano a seconda del genotipo del CYP2C19. L’allele CYP2C19*1 è responsabile di un metabolismo pienamente funzionante mentre gli alleli CYP2C19*2 e CYP2C19*3 non sono funzionanti. Gli alleli CYP2C19*2 e CYP2C19*3 costituiscono la maggior parte degli alleli a ridotta funzionalità nei metabolizzatori lenti caucasici (85%) e negli asiatici (99%). Altri alleli associati ad un metabolismo assente o ridotto sono meno frequenti e includono CYP2C19*4, *5, *6, *7 e *8. Un soggetto metabolizzatore lento possiederà due alleli non funzionanti come riportato sopra. Le frequenze pubblicate per i genotipi del CYP2C19 appartenenti a metabolizzatori lenti sono approssimativamente del 2% per i caucasici, 4% per i neri e 14% per i cinesi. Sono disponibili dei test per identificare il genotipo CYP2C19 di un paziente.</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Uno studio cross-over su 40 soggetti sani,10 soggetti per ciascuno dei 4 gruppi metabolizzatori del CYP2C19 (ultrarapido, estensivo, intermedio e lento), ha valutato la risposta farmacocinetica e antipiastrinica utilizzando clopidogrel 300 mg seguito da 75 mg/die e 600 mg seguito da 150 mg/die per una durata di 5 giorni (stato stazionario) per ciascun gruppo. Non sono state rilevate differenze sostanziali nell’esposizione al metabolita attivo e nell’inibizione media dell’aggregazione piastrinica (IPA) tra i soggetti metabolizzatori ultrarapidi, estensivi ed intermedi. Nei soggetti metabolizzatori lenti, l’esposizione al metabolita attivo è diminuita del 63-71% rispetto ai metabolizzatori estensivi. La risposta antipiastrinica in seguito a un regime posologico di 300 mg/75 mg di clopidogrel, era diminuita nei soggetti metabolizzatori lenti con IPA media (5 μM ADP) del 24% (24 ore) e del 37% (giorno 5) rispetto all’IPA riscontrata nei metabolizzatori estensivi del 39% (24 ore) e del 58% (giorno 5) e a quella osservata nei metabolizzatori intermedi del 37% (24 ore) e del 60% (giorno 5). Quando i metabolizzatori lenti hanno ricevuto un regime posologico di 600 mg/150 mg, l’esposizione al metabolita attivo è stata superiore rispetto all’esposizione riscontrata nel gruppo trattato con clopidogrel 300 mg/75 mg. Inoltre, l’IPA è stata del 32% (24 ore) e del 61% (giorno 5), un valore superiore a quello osservato nel gruppo di metabolizzatori lenti trattati con un regime posologico di 300 mg/75 mg ed è stata simile a quella degli altri gruppi di metabolizzatori del CYP2C19 trattati con un regime posologico di 300 mg/75 mg. I risultati provenienti dagli studi clinici non hanno stabilito un dosaggio appropriato per questa popolazione di pazienti.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In accordo ai risultati sopra riportati, una meta-analisi che comprendeva 6 studi per un totale di 335 soggetti trattati con clopidogrel allo stato stazionario, ha mostrato una diminuzione dell’esposizione al metabolita attivo del 28% per i metabolizzatori intermedi e del 72% per i metabolizzatori lenti mentre l’inibizione dell’aggregazione piastrinica (5 μM ADP) era diminuita con differenze nell’IPA del 5,9% e del 21,4% rispettivamente in confronto ai metabolizzatori estensivi.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L’influenza del genotipo CYP2C19 sui risultati clinici nei pazienti trattati con clopidogrel non è stata valutata in studi clinici prospettici, randomizzati e controllati. Tuttavia, esiste un certo numero di analisi retrospettive al fine di valutare questo effetto nei pazienti trattati con clopidogrel per i quali esistono risultati sul genotipo: CURE (n=2721), CHARISMA (n=2428), CLARITY-TIMI 28 (N=227), TRITON-TIMI 38 (N=1477) e ACTIVE-A (n=601), ed un certo numero di studi di coorte pubblicati.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Nello studio TRITON-TIMI 38 ed in 3 studi di coorte (Collet, Sibbing, Giusti) il gruppo combinato di pazienti metabolizzatori sia intermedi che lenti ha riportato un’incidenza maggiore di eventi cardiovascolari (morte, infarto del miocardio e ictus) o trombosi da stent rispetto ai metabolizzatori estensivi.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Nello studio CHARISMA e in uno studio di coorte (Simon) si è osservato un aumento dell’incidenza di eventi solo nei soggetti metabolizzatori lenti rispetto ai metabolizzatori estensivi.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Negli studi CURE, CLARITY, ACTIVE-A e in uno degli studi di coorte (Trenk) non si è osservato nessun aumento dell’incidenza di eventi sulla base dello stato dei metabolizzatori.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Nessuna di queste analisi era adeguatamente dimensionata per rilevare differenze di risultati nei metabolizzatori lenti.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u w:val="single"/>
          <w:lang w:eastAsia="ar-SA"/>
        </w:rPr>
      </w:pPr>
      <w:r>
        <w:rPr>
          <w:rFonts w:ascii="Times New Roman" w:eastAsia="Times New Roman" w:hAnsi="Times New Roman"/>
          <w:u w:val="single"/>
          <w:lang w:eastAsia="ar-SA"/>
        </w:rPr>
        <w:t>Popolazioni speciali</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La farmacocinetica del metabolita attivo di clopidogrel non è nota in queste popolazioni speciali.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Insufficienza renale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Dopo dosi giornaliere ripetute di 75 mg/die di clopidogrel in soggetti con grave disfunzione renale (clearance della creatinina da 5 a 15 ml/min) l’inibizione dell’aggregazione piastrinica indotta da ADP era più bassa (25%) di quella osservata in soggetti sani, tuttavia il prolungamento del tempo di sanguinamento era simile a quello osservato in soggetti sani che avevano ricevuto 75 mg/die di clopidogrel. In aggiunta la tollerabilità clinica è stata buona in tutti i pazienti.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Insufficienza epatica</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Dopo dosi ripetute di clopidogrel 75 mg/die per 10 giorni in pazienti con grave insufficienza epatica, l’inibizione dell’aggregazione piastrinica indotta da ADP era simile a quella osservata in soggetti sani. Anche il prolungamento medio del tempo di sanguinamento era simile fra i due gruppi.</w:t>
      </w:r>
    </w:p>
    <w:p>
      <w:pPr>
        <w:widowControl w:val="0"/>
        <w:suppressAutoHyphens/>
        <w:autoSpaceDE w:val="0"/>
        <w:spacing w:after="0" w:line="240" w:lineRule="auto"/>
        <w:rPr>
          <w:rFonts w:ascii="Times New Roman" w:eastAsia="Times New Roman" w:hAnsi="Times New Roman"/>
          <w:i/>
          <w:lang w:eastAsia="ar-SA"/>
        </w:rPr>
      </w:pPr>
    </w:p>
    <w:p>
      <w:pPr>
        <w:widowControl w:val="0"/>
        <w:suppressAutoHyphens/>
        <w:autoSpaceDE w:val="0"/>
        <w:spacing w:after="0" w:line="240" w:lineRule="auto"/>
        <w:rPr>
          <w:rFonts w:ascii="Times New Roman" w:eastAsia="Times New Roman" w:hAnsi="Times New Roman"/>
          <w:i/>
          <w:lang w:eastAsia="ar-SA"/>
        </w:rPr>
      </w:pPr>
      <w:r>
        <w:rPr>
          <w:rFonts w:ascii="Times New Roman" w:eastAsia="Times New Roman" w:hAnsi="Times New Roman"/>
          <w:i/>
          <w:lang w:eastAsia="ar-SA"/>
        </w:rPr>
        <w:t>Razza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lang w:eastAsia="ar-SA"/>
        </w:rPr>
        <w:t>La prevalenza degli alleli del CYP2C19 che portano ad un’attività metabolica ridotta e intermedia del CYP2C19 varia secondo la razza/etnia (vedere Farmacogenetica). Dalla letteratura, sono disponibili dati limitati nelle popolazioni asiatiche per valutare l’implicazione clinica della genotipizzazione di questo CYP sugli eventi clinici.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5.3</w:t>
      </w:r>
      <w:r>
        <w:rPr>
          <w:rFonts w:ascii="Times New Roman" w:eastAsia="Times New Roman" w:hAnsi="Times New Roman"/>
          <w:b/>
          <w:bCs/>
          <w:color w:val="000000"/>
          <w:spacing w:val="1"/>
          <w:lang w:eastAsia="ar-SA"/>
        </w:rPr>
        <w:tab/>
        <w:t>Dati preclinici di sicurezza</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keepNext/>
        <w:keepLines/>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color w:val="000000"/>
          <w:lang w:eastAsia="ar-SA"/>
        </w:rPr>
        <w:t xml:space="preserve">Nel corso di studi non-clinici condotti nel ratto e nel babbuino, la modificazione dei parametri epatici </w:t>
      </w:r>
      <w:r>
        <w:rPr>
          <w:rFonts w:ascii="Times New Roman" w:eastAsia="Times New Roman" w:hAnsi="Times New Roman"/>
          <w:color w:val="000000"/>
          <w:spacing w:val="-1"/>
          <w:lang w:eastAsia="ar-SA"/>
        </w:rPr>
        <w:t xml:space="preserve">è stato l'effetto più frequentemente osservato. Ciò si è verificato per dosi superiori di almeno 25 volte </w:t>
      </w:r>
      <w:r>
        <w:rPr>
          <w:rFonts w:ascii="Times New Roman" w:eastAsia="Times New Roman" w:hAnsi="Times New Roman"/>
          <w:color w:val="000000"/>
          <w:lang w:eastAsia="ar-SA"/>
        </w:rPr>
        <w:t xml:space="preserve">alla dose clinica corrispondente di 75 mg/die, somministrata nell'uomo, ed era conseguenza di un </w:t>
      </w:r>
      <w:r>
        <w:rPr>
          <w:rFonts w:ascii="Times New Roman" w:eastAsia="Times New Roman" w:hAnsi="Times New Roman"/>
          <w:color w:val="000000"/>
          <w:spacing w:val="-1"/>
          <w:lang w:eastAsia="ar-SA"/>
        </w:rPr>
        <w:t xml:space="preserve">effetto sugli enzimi metabolici epatici. </w:t>
      </w:r>
      <w:r>
        <w:rPr>
          <w:rFonts w:ascii="Times New Roman" w:eastAsia="Times New Roman" w:hAnsi="Times New Roman"/>
          <w:lang w:eastAsia="ar-SA"/>
        </w:rPr>
        <w:t>Nessun effetto di clopidogrel sugli enzimi metabolici epatici è stato osservato nell’uomo alle dosi terapeutiche.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A dosi molto elevate, è stata riportata nel ratto e nel babbuino una scarsa tollerabilità gastrica (gastrite, erosioni gastriche e/o vomito).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N</w:t>
      </w:r>
      <w:r>
        <w:rPr>
          <w:rFonts w:ascii="Times New Roman" w:eastAsia="Times New Roman" w:hAnsi="Times New Roman"/>
          <w:color w:val="000000"/>
          <w:lang w:eastAsia="ar-SA"/>
        </w:rPr>
        <w:t xml:space="preserve">on è stato osservato alcun effetto carcinogenico in seguito a somministrazione di clopidogrel nel </w:t>
      </w:r>
      <w:r>
        <w:rPr>
          <w:rFonts w:ascii="Times New Roman" w:eastAsia="Times New Roman" w:hAnsi="Times New Roman"/>
          <w:color w:val="000000"/>
          <w:spacing w:val="-1"/>
          <w:lang w:eastAsia="ar-SA"/>
        </w:rPr>
        <w:t xml:space="preserve">topo per 78 settimane e nel ratto per 104 settimane, fino alla dose di 77 mg/kg/die (il che rappresenta </w:t>
      </w:r>
      <w:r>
        <w:rPr>
          <w:rFonts w:ascii="Times New Roman" w:eastAsia="Times New Roman" w:hAnsi="Times New Roman"/>
          <w:color w:val="000000"/>
          <w:spacing w:val="1"/>
          <w:lang w:eastAsia="ar-SA"/>
        </w:rPr>
        <w:t>almeno 25 volte l'esposizione che si verifica alla dose clinica di 75 mg/die nell'uomo).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Clopidogrel valutato in una serie di studi di genotossicità in </w:t>
      </w:r>
      <w:r>
        <w:rPr>
          <w:rFonts w:ascii="Times New Roman" w:eastAsia="Times New Roman" w:hAnsi="Times New Roman"/>
          <w:i/>
          <w:iCs/>
          <w:color w:val="000000"/>
          <w:spacing w:val="-1"/>
          <w:lang w:eastAsia="ar-SA"/>
        </w:rPr>
        <w:t xml:space="preserve">vitro </w:t>
      </w:r>
      <w:r>
        <w:rPr>
          <w:rFonts w:ascii="Times New Roman" w:eastAsia="Times New Roman" w:hAnsi="Times New Roman"/>
          <w:color w:val="000000"/>
          <w:spacing w:val="-1"/>
          <w:lang w:eastAsia="ar-SA"/>
        </w:rPr>
        <w:t xml:space="preserve">e in </w:t>
      </w:r>
      <w:r>
        <w:rPr>
          <w:rFonts w:ascii="Times New Roman" w:eastAsia="Times New Roman" w:hAnsi="Times New Roman"/>
          <w:i/>
          <w:iCs/>
          <w:color w:val="000000"/>
          <w:spacing w:val="-1"/>
          <w:lang w:eastAsia="ar-SA"/>
        </w:rPr>
        <w:t xml:space="preserve">vivo, </w:t>
      </w:r>
      <w:r>
        <w:rPr>
          <w:rFonts w:ascii="Times New Roman" w:eastAsia="Times New Roman" w:hAnsi="Times New Roman"/>
          <w:color w:val="000000"/>
          <w:spacing w:val="-1"/>
          <w:lang w:eastAsia="ar-SA"/>
        </w:rPr>
        <w:t>non ha mostrato alcuna attività genotossica.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Clopidogrel non ha mostrato alcun effetto sulla fertilità in ratti maschi e femmine e non ha mostrato </w:t>
      </w:r>
      <w:r>
        <w:rPr>
          <w:rFonts w:ascii="Times New Roman" w:eastAsia="Times New Roman" w:hAnsi="Times New Roman"/>
          <w:color w:val="000000"/>
          <w:lang w:eastAsia="ar-SA"/>
        </w:rPr>
        <w:t xml:space="preserve">alcun effetto teratogeno né nel ratto né nel coniglio. Quando somministrato in ratti che allattavano, </w:t>
      </w:r>
      <w:r>
        <w:rPr>
          <w:rFonts w:ascii="Times New Roman" w:eastAsia="Times New Roman" w:hAnsi="Times New Roman"/>
          <w:color w:val="000000"/>
          <w:spacing w:val="-1"/>
          <w:lang w:eastAsia="ar-SA"/>
        </w:rPr>
        <w:t xml:space="preserve">clopidogrel ha causato un leggero ritardo nello sviluppo della prole. Studi farmacocinetici specifici </w:t>
      </w:r>
      <w:r>
        <w:rPr>
          <w:rFonts w:ascii="Times New Roman" w:eastAsia="Times New Roman" w:hAnsi="Times New Roman"/>
          <w:color w:val="000000"/>
          <w:lang w:eastAsia="ar-SA"/>
        </w:rPr>
        <w:t xml:space="preserve">condotti con clopidogrel marcato hanno permesso di osservare che il composto principale e i suoi </w:t>
      </w:r>
      <w:r>
        <w:rPr>
          <w:rFonts w:ascii="Times New Roman" w:eastAsia="Times New Roman" w:hAnsi="Times New Roman"/>
          <w:color w:val="000000"/>
          <w:spacing w:val="-1"/>
          <w:lang w:eastAsia="ar-SA"/>
        </w:rPr>
        <w:t xml:space="preserve">metaboliti sono escreti nel latte. Conseguentemente non può essere escluso un effetto diretto (lieve </w:t>
      </w:r>
      <w:r>
        <w:rPr>
          <w:rFonts w:ascii="Times New Roman" w:eastAsia="Times New Roman" w:hAnsi="Times New Roman"/>
          <w:color w:val="000000"/>
          <w:lang w:eastAsia="ar-SA"/>
        </w:rPr>
        <w:t>tossicità) o indiretto (scarsa palatabilità).</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tabs>
          <w:tab w:val="left" w:pos="594"/>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7"/>
          <w:lang w:eastAsia="ar-SA"/>
        </w:rPr>
        <w:t>6.</w:t>
      </w:r>
      <w:r>
        <w:rPr>
          <w:rFonts w:ascii="Times New Roman" w:eastAsia="Times New Roman" w:hAnsi="Times New Roman"/>
          <w:b/>
          <w:bCs/>
          <w:color w:val="000000"/>
          <w:lang w:eastAsia="ar-SA"/>
        </w:rPr>
        <w:tab/>
        <w:t>INFORMAZIONI FARMACEUTICHE</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5"/>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5"/>
          <w:lang w:eastAsia="ar-SA"/>
        </w:rPr>
        <w:t>6.1</w:t>
      </w:r>
      <w:r>
        <w:rPr>
          <w:rFonts w:ascii="Times New Roman" w:eastAsia="Times New Roman" w:hAnsi="Times New Roman"/>
          <w:b/>
          <w:bCs/>
          <w:color w:val="000000"/>
          <w:lang w:eastAsia="ar-SA"/>
        </w:rPr>
        <w:tab/>
        <w:t>Elenco degli eccipienti</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iCs/>
          <w:color w:val="000000"/>
          <w:spacing w:val="-1"/>
          <w:u w:val="single"/>
          <w:lang w:eastAsia="ar-SA"/>
        </w:rPr>
      </w:pPr>
      <w:r>
        <w:rPr>
          <w:rFonts w:ascii="Times New Roman" w:eastAsia="Times New Roman" w:hAnsi="Times New Roman"/>
          <w:iCs/>
          <w:color w:val="000000"/>
          <w:spacing w:val="-1"/>
          <w:u w:val="single"/>
          <w:lang w:eastAsia="ar-SA"/>
        </w:rPr>
        <w:t>Nucleo: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Cellulosa microcristallina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Silice colloidale anidra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Crospovidone (tipo 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Macrogol 6000</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Olio di ricino idrogenato</w:t>
      </w:r>
    </w:p>
    <w:p>
      <w:pPr>
        <w:widowControl w:val="0"/>
        <w:shd w:val="clear" w:color="auto" w:fill="FFFFFF"/>
        <w:suppressAutoHyphens/>
        <w:autoSpaceDE w:val="0"/>
        <w:spacing w:after="0" w:line="240" w:lineRule="auto"/>
        <w:rPr>
          <w:rFonts w:ascii="Times New Roman" w:eastAsia="Times New Roman" w:hAnsi="Times New Roman"/>
          <w:iCs/>
          <w:color w:val="000000"/>
          <w:spacing w:val="-1"/>
          <w:u w:val="single"/>
          <w:lang w:eastAsia="ar-SA"/>
        </w:rPr>
      </w:pPr>
    </w:p>
    <w:p>
      <w:pPr>
        <w:widowControl w:val="0"/>
        <w:shd w:val="clear" w:color="auto" w:fill="FFFFFF"/>
        <w:suppressAutoHyphens/>
        <w:autoSpaceDE w:val="0"/>
        <w:spacing w:after="0" w:line="240" w:lineRule="auto"/>
        <w:rPr>
          <w:rFonts w:ascii="Times New Roman" w:eastAsia="Times New Roman" w:hAnsi="Times New Roman"/>
          <w:i/>
          <w:iCs/>
          <w:color w:val="000000"/>
          <w:lang w:eastAsia="ar-SA"/>
        </w:rPr>
      </w:pPr>
      <w:r>
        <w:rPr>
          <w:rFonts w:ascii="Times New Roman" w:eastAsia="Times New Roman" w:hAnsi="Times New Roman"/>
          <w:iCs/>
          <w:color w:val="000000"/>
          <w:spacing w:val="-1"/>
          <w:u w:val="single"/>
          <w:lang w:eastAsia="ar-SA"/>
        </w:rPr>
        <w:t>Rivestimento:</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spacing w:val="-3"/>
          <w:lang w:eastAsia="ar-SA"/>
        </w:rPr>
      </w:pPr>
      <w:r>
        <w:rPr>
          <w:rFonts w:ascii="Times New Roman" w:eastAsia="Times New Roman" w:hAnsi="Times New Roman"/>
          <w:lang w:eastAsia="ar-SA"/>
        </w:rPr>
        <w:t>Alcool polivinilico</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spacing w:val="-3"/>
          <w:lang w:eastAsia="ar-SA"/>
        </w:rPr>
      </w:pPr>
      <w:r>
        <w:rPr>
          <w:rFonts w:ascii="Times New Roman" w:eastAsia="Times New Roman" w:hAnsi="Times New Roman"/>
          <w:color w:val="000000"/>
          <w:spacing w:val="-3"/>
          <w:lang w:eastAsia="ar-SA"/>
        </w:rPr>
        <w:t>Titanio diossido (E171)</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spacing w:val="-3"/>
          <w:lang w:eastAsia="ar-SA"/>
        </w:rPr>
      </w:pPr>
      <w:r>
        <w:rPr>
          <w:rFonts w:ascii="Times New Roman" w:eastAsia="Times New Roman" w:hAnsi="Times New Roman"/>
          <w:color w:val="000000"/>
          <w:spacing w:val="-3"/>
          <w:lang w:eastAsia="ar-SA"/>
        </w:rPr>
        <w:t>Ossido di ferro rosso (E172)</w:t>
      </w:r>
    </w:p>
    <w:p>
      <w:pPr>
        <w:widowControl w:val="0"/>
        <w:shd w:val="clear" w:color="auto" w:fill="FFFFFF"/>
        <w:tabs>
          <w:tab w:val="left" w:pos="2582"/>
        </w:tabs>
        <w:suppressAutoHyphens/>
        <w:autoSpaceDE w:val="0"/>
        <w:spacing w:after="0" w:line="240" w:lineRule="auto"/>
        <w:rPr>
          <w:rFonts w:ascii="Times New Roman" w:eastAsia="Times New Roman" w:hAnsi="Times New Roman"/>
          <w:spacing w:val="-2"/>
          <w:lang w:eastAsia="ar-SA"/>
        </w:rPr>
      </w:pPr>
      <w:r>
        <w:rPr>
          <w:rFonts w:ascii="Times New Roman" w:eastAsia="Times New Roman" w:hAnsi="Times New Roman"/>
          <w:spacing w:val="-2"/>
          <w:lang w:eastAsia="ar-SA"/>
        </w:rPr>
        <w:t>Ossido di ferro giallo (E 172)</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Talco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Macrogol 3000</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lang w:eastAsia="ar-SA"/>
        </w:rPr>
      </w:pPr>
    </w:p>
    <w:p>
      <w:pPr>
        <w:widowControl w:val="0"/>
        <w:numPr>
          <w:ilvl w:val="0"/>
          <w:numId w:val="1"/>
        </w:numPr>
        <w:shd w:val="clear" w:color="auto" w:fill="FFFFFF"/>
        <w:tabs>
          <w:tab w:val="clear" w:pos="0"/>
          <w:tab w:val="left" w:pos="20"/>
          <w:tab w:val="left" w:pos="567"/>
        </w:tabs>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Incompatibilità</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Non pertinente</w:t>
      </w: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lang w:eastAsia="ar-SA"/>
        </w:rPr>
      </w:pPr>
    </w:p>
    <w:p>
      <w:pPr>
        <w:widowControl w:val="0"/>
        <w:numPr>
          <w:ilvl w:val="0"/>
          <w:numId w:val="1"/>
        </w:numPr>
        <w:shd w:val="clear" w:color="auto" w:fill="FFFFFF"/>
        <w:tabs>
          <w:tab w:val="clear" w:pos="0"/>
          <w:tab w:val="left" w:pos="20"/>
          <w:tab w:val="left" w:pos="567"/>
        </w:tabs>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Periodo di validità</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3 anni</w:t>
      </w: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spacing w:val="-1"/>
          <w:lang w:eastAsia="ar-SA"/>
        </w:rPr>
      </w:pPr>
    </w:p>
    <w:p>
      <w:pPr>
        <w:widowControl w:val="0"/>
        <w:numPr>
          <w:ilvl w:val="0"/>
          <w:numId w:val="1"/>
        </w:numPr>
        <w:shd w:val="clear" w:color="auto" w:fill="FFFFFF"/>
        <w:tabs>
          <w:tab w:val="clear" w:pos="0"/>
          <w:tab w:val="left" w:pos="20"/>
          <w:tab w:val="left" w:pos="567"/>
        </w:tabs>
        <w:suppressAutoHyphens/>
        <w:autoSpaceDE w:val="0"/>
        <w:spacing w:after="0" w:line="240" w:lineRule="auto"/>
        <w:rPr>
          <w:rFonts w:ascii="Times New Roman" w:eastAsia="Times New Roman" w:hAnsi="Times New Roman"/>
          <w:b/>
          <w:bCs/>
          <w:color w:val="000000"/>
          <w:spacing w:val="2"/>
          <w:lang w:eastAsia="ar-SA"/>
        </w:rPr>
      </w:pPr>
      <w:r>
        <w:rPr>
          <w:rFonts w:ascii="Times New Roman" w:eastAsia="Times New Roman" w:hAnsi="Times New Roman"/>
          <w:b/>
          <w:bCs/>
          <w:color w:val="000000"/>
          <w:spacing w:val="2"/>
          <w:lang w:eastAsia="ar-SA"/>
        </w:rPr>
        <w:t>Precauzioni particolari per la conservazione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Conservare nella confezione originale per proteggere il medicinale dall’umidità e dalla luce.</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2"/>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2"/>
          <w:lang w:eastAsia="ar-SA"/>
        </w:rPr>
        <w:t>6.5</w:t>
      </w:r>
      <w:r>
        <w:rPr>
          <w:rFonts w:ascii="Times New Roman" w:eastAsia="Times New Roman" w:hAnsi="Times New Roman"/>
          <w:b/>
          <w:bCs/>
          <w:color w:val="000000"/>
          <w:lang w:eastAsia="ar-SA"/>
        </w:rPr>
        <w:tab/>
        <w:t>Natura e contenuto del contenitore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Blister in OPA/Al/PVC -Al contenente 7, 14, 28, </w:t>
      </w:r>
      <w:r>
        <w:rPr>
          <w:rFonts w:ascii="Times New Roman" w:eastAsia="Times New Roman" w:hAnsi="Times New Roman"/>
          <w:color w:val="000000"/>
          <w:lang w:eastAsia="ar-SA"/>
        </w:rPr>
        <w:t>30, 50, 56, 84, 90 e 100 compresse rivestite con film in una scatola.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È possibile che non tutte le confezioni siano commercializzate.</w:t>
      </w:r>
    </w:p>
    <w:p>
      <w:pPr>
        <w:widowControl w:val="0"/>
        <w:shd w:val="clear" w:color="auto" w:fill="FFFFFF"/>
        <w:tabs>
          <w:tab w:val="left" w:pos="656"/>
        </w:tabs>
        <w:suppressAutoHyphens/>
        <w:autoSpaceDE w:val="0"/>
        <w:spacing w:after="0" w:line="240" w:lineRule="auto"/>
        <w:rPr>
          <w:rFonts w:ascii="Times New Roman" w:eastAsia="Times New Roman" w:hAnsi="Times New Roman"/>
          <w:b/>
          <w:bCs/>
          <w:color w:val="000000"/>
          <w:spacing w:val="-3"/>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3"/>
          <w:lang w:eastAsia="ar-SA"/>
        </w:rPr>
        <w:t>6.6</w:t>
      </w:r>
      <w:r>
        <w:rPr>
          <w:rFonts w:ascii="Times New Roman" w:eastAsia="Times New Roman" w:hAnsi="Times New Roman"/>
          <w:b/>
          <w:bCs/>
          <w:color w:val="000000"/>
          <w:lang w:eastAsia="ar-SA"/>
        </w:rPr>
        <w:tab/>
        <w:t>Precauzioni particolari per lo smaltimento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Nessuna istruzione particolare.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spacing w:val="-7"/>
          <w:lang w:eastAsia="ar-SA"/>
        </w:rPr>
        <w:t>7.</w:t>
      </w:r>
      <w:r>
        <w:rPr>
          <w:rFonts w:ascii="Times New Roman" w:eastAsia="Times New Roman" w:hAnsi="Times New Roman"/>
          <w:b/>
          <w:bCs/>
          <w:color w:val="000000"/>
          <w:lang w:eastAsia="ar-SA"/>
        </w:rPr>
        <w:tab/>
        <w:t>TITOLARE DELL'AUTORIZZAZIONE ALL'IMMISSIONE IN COMMERCIO</w:t>
      </w:r>
    </w:p>
    <w:p>
      <w:pPr>
        <w:widowControl w:val="0"/>
        <w:shd w:val="clear" w:color="auto" w:fill="FFFFFF"/>
        <w:tabs>
          <w:tab w:val="left" w:pos="5559"/>
        </w:tabs>
        <w:suppressAutoHyphens/>
        <w:autoSpaceDE w:val="0"/>
        <w:spacing w:after="0" w:line="240" w:lineRule="auto"/>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TAD Pharma GmbH, Heinz-Lohmann-Straße 5, 27472 Cuxhaven, Germania</w:t>
      </w:r>
    </w:p>
    <w:p>
      <w:pPr>
        <w:widowControl w:val="0"/>
        <w:shd w:val="clear" w:color="auto" w:fill="FFFFFF"/>
        <w:tabs>
          <w:tab w:val="left" w:pos="5559"/>
        </w:tabs>
        <w:suppressAutoHyphens/>
        <w:autoSpaceDE w:val="0"/>
        <w:spacing w:after="0" w:line="240" w:lineRule="auto"/>
        <w:rPr>
          <w:rFonts w:ascii="Times New Roman" w:eastAsia="Times New Roman" w:hAnsi="Times New Roman"/>
          <w:color w:val="000000"/>
          <w:spacing w:val="2"/>
          <w:lang w:eastAsia="ar-SA"/>
        </w:rPr>
      </w:pPr>
    </w:p>
    <w:p>
      <w:pPr>
        <w:widowControl w:val="0"/>
        <w:shd w:val="clear" w:color="auto" w:fill="FFFFFF"/>
        <w:tabs>
          <w:tab w:val="left" w:pos="5559"/>
        </w:tabs>
        <w:suppressAutoHyphens/>
        <w:autoSpaceDE w:val="0"/>
        <w:spacing w:after="0" w:line="240" w:lineRule="auto"/>
        <w:rPr>
          <w:rFonts w:ascii="Times New Roman" w:eastAsia="Times New Roman" w:hAnsi="Times New Roman"/>
          <w:color w:val="000000"/>
          <w:spacing w:val="2"/>
          <w:lang w:eastAsia="ar-SA"/>
        </w:rPr>
      </w:pP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eastAsia="ar-SA"/>
        </w:rPr>
      </w:pPr>
      <w:r>
        <w:rPr>
          <w:rFonts w:ascii="Times New Roman" w:eastAsia="Times New Roman" w:hAnsi="Times New Roman"/>
          <w:b/>
          <w:bCs/>
          <w:color w:val="000000"/>
          <w:spacing w:val="-7"/>
          <w:lang w:eastAsia="ar-SA"/>
        </w:rPr>
        <w:t>8.</w:t>
      </w:r>
      <w:r>
        <w:rPr>
          <w:rFonts w:ascii="Times New Roman" w:eastAsia="Times New Roman" w:hAnsi="Times New Roman"/>
          <w:b/>
          <w:bCs/>
          <w:color w:val="000000"/>
          <w:lang w:eastAsia="ar-SA"/>
        </w:rPr>
        <w:tab/>
        <w:t>NUMERI DELLE AUTORIZZAZIONI ALL'IMMISSIONE IN COMMERCIO</w:t>
      </w: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7 compresse rivestite con film: EU/1/09/555/001</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color w:val="000000"/>
          <w:lang w:eastAsia="sl-SI"/>
        </w:rPr>
        <w:t>14 compresse rivestite con film</w:t>
      </w:r>
      <w:r>
        <w:rPr>
          <w:rFonts w:ascii="Times New Roman" w:eastAsia="Times New Roman" w:hAnsi="Times New Roman"/>
          <w:lang w:eastAsia="ar-SA"/>
        </w:rPr>
        <w:t>: EU/1/09/555/002</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color w:val="000000"/>
          <w:lang w:eastAsia="sl-SI"/>
        </w:rPr>
        <w:t>28 compresse rivestite con film</w:t>
      </w:r>
      <w:r>
        <w:rPr>
          <w:rFonts w:ascii="Times New Roman" w:eastAsia="Times New Roman" w:hAnsi="Times New Roman"/>
          <w:lang w:eastAsia="ar-SA"/>
        </w:rPr>
        <w:t>: EU/1/09/555/003</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lang w:eastAsia="ar-SA"/>
        </w:rPr>
        <w:t>30 compresse rivestite con film: EU/1/09/555/004</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lang w:eastAsia="ar-SA"/>
        </w:rPr>
        <w:t>50 compresse rivestite con film: EU/1/09/555/005</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lang w:eastAsia="ar-SA"/>
        </w:rPr>
        <w:t>56 compresse rivestite con film: EU/1/09/555/006</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lang w:eastAsia="ar-SA"/>
        </w:rPr>
        <w:t>84 compresse rivestite con film: EU/1/09/555/007</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lang w:eastAsia="ar-SA"/>
        </w:rPr>
        <w:t>90 compresse rivestite con film: EU/1/09/555/008</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lang w:eastAsia="ar-SA"/>
        </w:rPr>
        <w:t>100 compresse rivestite con film: EU/1/09/555/009</w:t>
      </w: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eastAsia="ar-SA"/>
        </w:rPr>
      </w:pP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7"/>
          <w:lang w:eastAsia="ar-SA"/>
        </w:rPr>
        <w:t>9.</w:t>
      </w:r>
      <w:r>
        <w:rPr>
          <w:rFonts w:ascii="Times New Roman" w:eastAsia="Times New Roman" w:hAnsi="Times New Roman"/>
          <w:b/>
          <w:bCs/>
          <w:color w:val="000000"/>
          <w:lang w:eastAsia="ar-SA"/>
        </w:rPr>
        <w:tab/>
      </w:r>
      <w:r>
        <w:rPr>
          <w:rFonts w:ascii="Times New Roman" w:eastAsia="Times New Roman" w:hAnsi="Times New Roman"/>
          <w:b/>
          <w:bCs/>
          <w:color w:val="000000"/>
          <w:spacing w:val="-1"/>
          <w:lang w:eastAsia="ar-SA"/>
        </w:rPr>
        <w:t>DATA DELLA PRIMA AUTORIZZAZIONE/RINNOVO DELL'AUTORIZZAZIONE</w:t>
      </w:r>
    </w:p>
    <w:p>
      <w:pPr>
        <w:widowControl w:val="0"/>
        <w:suppressAutoHyphens/>
        <w:autoSpaceDE w:val="0"/>
        <w:spacing w:after="0" w:line="240" w:lineRule="auto"/>
        <w:ind w:left="567" w:hanging="567"/>
        <w:rPr>
          <w:rFonts w:ascii="Times New Roman" w:eastAsia="Times New Roman" w:hAnsi="Times New Roman"/>
          <w:lang w:eastAsia="ar-SA"/>
        </w:rPr>
      </w:pPr>
    </w:p>
    <w:p>
      <w:pPr>
        <w:spacing w:after="0" w:line="240" w:lineRule="auto"/>
        <w:rPr>
          <w:rFonts w:ascii="Times New Roman" w:hAnsi="Times New Roman"/>
        </w:rPr>
      </w:pPr>
      <w:r>
        <w:rPr>
          <w:rFonts w:ascii="Times New Roman" w:hAnsi="Times New Roman"/>
        </w:rPr>
        <w:t xml:space="preserve">Data della prima autorizzazione: 23 </w:t>
      </w:r>
      <w:r>
        <w:rPr>
          <w:rFonts w:ascii="Times New Roman" w:hAnsi="Times New Roman"/>
          <w:lang w:eastAsia="sl-SI"/>
        </w:rPr>
        <w:t>Settembre 2009.</w:t>
      </w:r>
    </w:p>
    <w:p>
      <w:pPr>
        <w:spacing w:after="0" w:line="240" w:lineRule="auto"/>
        <w:rPr>
          <w:rFonts w:ascii="Times New Roman" w:hAnsi="Times New Roman"/>
        </w:rPr>
      </w:pPr>
      <w:r>
        <w:rPr>
          <w:rFonts w:ascii="Times New Roman" w:hAnsi="Times New Roman"/>
        </w:rPr>
        <w:t>Data del rinnovo più recente: 22 Maggio 2014</w:t>
      </w:r>
    </w:p>
    <w:p>
      <w:pPr>
        <w:widowControl w:val="0"/>
        <w:suppressAutoHyphens/>
        <w:autoSpaceDE w:val="0"/>
        <w:spacing w:after="0" w:line="240" w:lineRule="auto"/>
        <w:ind w:left="567" w:hanging="567"/>
        <w:rPr>
          <w:rFonts w:ascii="Times New Roman" w:eastAsia="Times New Roman" w:hAnsi="Times New Roman"/>
          <w:lang w:eastAsia="ar-SA"/>
        </w:rPr>
      </w:pPr>
      <w:r>
        <w:rPr>
          <w:rFonts w:ascii="Times New Roman" w:eastAsia="Times New Roman" w:hAnsi="Times New Roman"/>
          <w:lang w:eastAsia="ar-SA"/>
        </w:rPr>
        <w:t xml:space="preserve"> </w:t>
      </w:r>
    </w:p>
    <w:p>
      <w:pPr>
        <w:widowControl w:val="0"/>
        <w:suppressAutoHyphens/>
        <w:autoSpaceDE w:val="0"/>
        <w:spacing w:after="0" w:line="240" w:lineRule="auto"/>
        <w:ind w:left="567" w:hanging="567"/>
        <w:rPr>
          <w:rFonts w:ascii="Times New Roman" w:eastAsia="Times New Roman" w:hAnsi="Times New Roman"/>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10.</w:t>
      </w:r>
      <w:r>
        <w:rPr>
          <w:rFonts w:ascii="Times New Roman" w:eastAsia="Times New Roman" w:hAnsi="Times New Roman"/>
          <w:b/>
          <w:bCs/>
          <w:color w:val="000000"/>
          <w:spacing w:val="-1"/>
          <w:lang w:eastAsia="ar-SA"/>
        </w:rPr>
        <w:tab/>
        <w:t>DATA DI REVISIONE DEL TESTO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222FF"/>
          <w:u w:val="single"/>
          <w:lang w:eastAsia="ar-SA"/>
        </w:rPr>
      </w:pPr>
      <w:r>
        <w:rPr>
          <w:rFonts w:ascii="Times New Roman" w:eastAsia="Times New Roman" w:hAnsi="Times New Roman"/>
          <w:color w:val="000000"/>
          <w:spacing w:val="-1"/>
          <w:lang w:eastAsia="ar-SA"/>
        </w:rPr>
        <w:t xml:space="preserve">Informazioni più dettagliate su questo medicinale sono disponibili sul sito web dell'Agenzia Europea </w:t>
      </w:r>
      <w:r>
        <w:rPr>
          <w:rFonts w:ascii="Times New Roman" w:eastAsia="Times New Roman" w:hAnsi="Times New Roman"/>
          <w:color w:val="000000"/>
          <w:lang w:eastAsia="ar-SA"/>
        </w:rPr>
        <w:t xml:space="preserve">dei Medicinali: </w:t>
      </w:r>
      <w:hyperlink r:id="rId9" w:history="1">
        <w:r>
          <w:rPr>
            <w:rFonts w:ascii="Times New Roman" w:eastAsia="Times New Roman" w:hAnsi="Times New Roman"/>
            <w:color w:val="0000FF"/>
            <w:u w:val="single"/>
            <w:lang w:eastAsia="ar-SA"/>
          </w:rPr>
          <w:t>http://www.ema.europa.eu</w:t>
        </w:r>
      </w:hyperlink>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br w:type="page"/>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jc w:val="center"/>
        <w:rPr>
          <w:rFonts w:ascii="Times New Roman" w:eastAsia="Times New Roman" w:hAnsi="Times New Roman"/>
          <w:lang w:eastAsia="ar-SA"/>
        </w:rPr>
      </w:pPr>
      <w:r>
        <w:rPr>
          <w:rFonts w:ascii="Times New Roman" w:eastAsia="Times New Roman" w:hAnsi="Times New Roman"/>
          <w:b/>
          <w:lang w:eastAsia="ar-SA"/>
        </w:rPr>
        <w:t>ALLEGATO II</w:t>
      </w:r>
    </w:p>
    <w:p>
      <w:pPr>
        <w:widowControl w:val="0"/>
        <w:suppressAutoHyphens/>
        <w:autoSpaceDE w:val="0"/>
        <w:spacing w:after="0" w:line="240" w:lineRule="auto"/>
        <w:rPr>
          <w:rFonts w:ascii="Times New Roman" w:eastAsia="Times New Roman" w:hAnsi="Times New Roman"/>
          <w:lang w:eastAsia="ar-SA"/>
        </w:rPr>
      </w:pPr>
    </w:p>
    <w:p>
      <w:pPr>
        <w:widowControl w:val="0"/>
        <w:tabs>
          <w:tab w:val="left" w:pos="7785"/>
        </w:tabs>
        <w:suppressAutoHyphens/>
        <w:autoSpaceDE w:val="0"/>
        <w:spacing w:after="0" w:line="240" w:lineRule="auto"/>
        <w:ind w:left="1701" w:right="1126" w:hanging="567"/>
        <w:rPr>
          <w:rFonts w:ascii="Times New Roman" w:eastAsia="Times New Roman" w:hAnsi="Times New Roman"/>
          <w:lang w:eastAsia="ar-SA"/>
        </w:rPr>
      </w:pPr>
      <w:r>
        <w:rPr>
          <w:rFonts w:ascii="Times New Roman" w:eastAsia="Times New Roman" w:hAnsi="Times New Roman"/>
          <w:b/>
          <w:lang w:eastAsia="ar-SA"/>
        </w:rPr>
        <w:t>A.</w:t>
      </w:r>
      <w:r>
        <w:rPr>
          <w:rFonts w:ascii="Times New Roman" w:eastAsia="Times New Roman" w:hAnsi="Times New Roman"/>
          <w:b/>
          <w:lang w:eastAsia="ar-SA"/>
        </w:rPr>
        <w:tab/>
        <w:t>PRODUTTORI RESPONSABILI DEL RILASCIO DEI LOTTI</w:t>
      </w:r>
    </w:p>
    <w:p>
      <w:pPr>
        <w:widowControl w:val="0"/>
        <w:tabs>
          <w:tab w:val="left" w:pos="7785"/>
        </w:tabs>
        <w:suppressAutoHyphens/>
        <w:autoSpaceDE w:val="0"/>
        <w:spacing w:after="0" w:line="240" w:lineRule="auto"/>
        <w:ind w:right="1416"/>
        <w:rPr>
          <w:rFonts w:ascii="Times New Roman" w:eastAsia="Times New Roman" w:hAnsi="Times New Roman"/>
          <w:b/>
          <w:lang w:eastAsia="ar-SA"/>
        </w:rPr>
      </w:pPr>
    </w:p>
    <w:p>
      <w:pPr>
        <w:widowControl w:val="0"/>
        <w:tabs>
          <w:tab w:val="left" w:pos="-720"/>
        </w:tabs>
        <w:suppressAutoHyphens/>
        <w:autoSpaceDE w:val="0"/>
        <w:spacing w:after="0" w:line="240" w:lineRule="auto"/>
        <w:ind w:left="1701" w:right="1126" w:hanging="567"/>
        <w:rPr>
          <w:rFonts w:ascii="Times New Roman" w:eastAsia="Times New Roman" w:hAnsi="Times New Roman"/>
          <w:b/>
          <w:lang w:eastAsia="ar-SA"/>
        </w:rPr>
      </w:pPr>
      <w:r>
        <w:rPr>
          <w:rFonts w:ascii="Times New Roman" w:eastAsia="Times New Roman" w:hAnsi="Times New Roman"/>
          <w:b/>
          <w:lang w:eastAsia="ar-SA"/>
        </w:rPr>
        <w:t>B.</w:t>
      </w:r>
      <w:r>
        <w:rPr>
          <w:rFonts w:ascii="Times New Roman" w:eastAsia="Times New Roman" w:hAnsi="Times New Roman"/>
          <w:b/>
          <w:lang w:eastAsia="ar-SA"/>
        </w:rPr>
        <w:tab/>
        <w:t>CONDIZIONI O LIMITAZIONI DI FORNITURA E UTILIZZO</w:t>
      </w:r>
    </w:p>
    <w:p>
      <w:pPr>
        <w:widowControl w:val="0"/>
        <w:tabs>
          <w:tab w:val="left" w:pos="-720"/>
        </w:tabs>
        <w:suppressAutoHyphens/>
        <w:autoSpaceDE w:val="0"/>
        <w:spacing w:after="0" w:line="240" w:lineRule="auto"/>
        <w:ind w:left="1701" w:right="1126" w:hanging="567"/>
        <w:rPr>
          <w:rFonts w:ascii="Times New Roman" w:eastAsia="Times New Roman" w:hAnsi="Times New Roman"/>
          <w:b/>
          <w:lang w:eastAsia="ar-SA"/>
        </w:rPr>
      </w:pPr>
    </w:p>
    <w:p>
      <w:pPr>
        <w:widowControl w:val="0"/>
        <w:tabs>
          <w:tab w:val="left" w:pos="-720"/>
        </w:tabs>
        <w:suppressAutoHyphens/>
        <w:autoSpaceDE w:val="0"/>
        <w:spacing w:after="0" w:line="240" w:lineRule="auto"/>
        <w:ind w:left="1701" w:right="1126" w:hanging="567"/>
        <w:rPr>
          <w:rFonts w:ascii="Times New Roman" w:eastAsia="Times New Roman" w:hAnsi="Times New Roman"/>
          <w:b/>
          <w:lang w:eastAsia="ar-SA"/>
        </w:rPr>
      </w:pPr>
      <w:r>
        <w:rPr>
          <w:rFonts w:ascii="Times New Roman" w:eastAsia="Times New Roman" w:hAnsi="Times New Roman"/>
          <w:b/>
          <w:lang w:eastAsia="ar-SA"/>
        </w:rPr>
        <w:t>C.</w:t>
      </w:r>
      <w:r>
        <w:rPr>
          <w:rFonts w:ascii="Times New Roman" w:eastAsia="Times New Roman" w:hAnsi="Times New Roman"/>
          <w:b/>
          <w:lang w:eastAsia="ar-SA"/>
        </w:rPr>
        <w:tab/>
        <w:t>ALTRE CONDIZIONI E REQUISITI DELL’AUTORIZZAZIONE ALL’IMMISSIONE IN COMMERCIO</w:t>
      </w:r>
    </w:p>
    <w:p>
      <w:pPr>
        <w:widowControl w:val="0"/>
        <w:tabs>
          <w:tab w:val="left" w:pos="-720"/>
        </w:tabs>
        <w:suppressAutoHyphens/>
        <w:autoSpaceDE w:val="0"/>
        <w:spacing w:after="0" w:line="240" w:lineRule="auto"/>
        <w:ind w:left="1701" w:right="1126" w:hanging="567"/>
        <w:rPr>
          <w:rFonts w:ascii="Times New Roman" w:eastAsia="Times New Roman" w:hAnsi="Times New Roman"/>
          <w:b/>
          <w:lang w:eastAsia="ar-SA"/>
        </w:rPr>
      </w:pPr>
    </w:p>
    <w:p>
      <w:pPr>
        <w:widowControl w:val="0"/>
        <w:tabs>
          <w:tab w:val="left" w:pos="-720"/>
        </w:tabs>
        <w:suppressAutoHyphens/>
        <w:autoSpaceDE w:val="0"/>
        <w:spacing w:after="0" w:line="240" w:lineRule="auto"/>
        <w:ind w:left="1701" w:right="1126" w:hanging="567"/>
        <w:rPr>
          <w:rFonts w:ascii="Times New Roman" w:eastAsia="Times New Roman" w:hAnsi="Times New Roman"/>
          <w:b/>
          <w:lang w:eastAsia="ar-SA"/>
        </w:rPr>
      </w:pPr>
      <w:r>
        <w:rPr>
          <w:rFonts w:ascii="Times New Roman" w:eastAsia="Times New Roman" w:hAnsi="Times New Roman"/>
          <w:b/>
          <w:lang w:eastAsia="ar-SA"/>
        </w:rPr>
        <w:t>D.</w:t>
      </w:r>
      <w:r>
        <w:rPr>
          <w:rFonts w:ascii="Times New Roman" w:eastAsia="Times New Roman" w:hAnsi="Times New Roman"/>
          <w:b/>
          <w:lang w:eastAsia="ar-SA"/>
        </w:rPr>
        <w:tab/>
        <w:t>CONDIZIONI O LIMITAZIONI PER QUANTO RIGUARDA L’USO SICURO ED EFFICACE DEL MEDICINALE</w:t>
      </w:r>
    </w:p>
    <w:p>
      <w:pPr>
        <w:widowControl w:val="0"/>
        <w:tabs>
          <w:tab w:val="left" w:pos="-720"/>
        </w:tabs>
        <w:suppressAutoHyphens/>
        <w:autoSpaceDE w:val="0"/>
        <w:spacing w:after="0" w:line="240" w:lineRule="auto"/>
        <w:ind w:left="1701" w:right="1126" w:hanging="567"/>
        <w:rPr>
          <w:rFonts w:ascii="Times New Roman" w:eastAsia="Times New Roman" w:hAnsi="Times New Roman"/>
          <w:b/>
          <w:lang w:eastAsia="ar-SA"/>
        </w:rPr>
      </w:pPr>
    </w:p>
    <w:p>
      <w:pPr>
        <w:pStyle w:val="TitleB"/>
      </w:pPr>
      <w:r>
        <w:rPr>
          <w:rFonts w:eastAsia="Times New Roman"/>
          <w:lang w:eastAsia="ar-SA"/>
        </w:rPr>
        <w:br w:type="page"/>
      </w:r>
      <w:r>
        <w:t>A.</w:t>
      </w:r>
      <w:r>
        <w:tab/>
        <w:t>PRODUTTORI RESPONSABILI DEL RILASCIO DEI LOTTI</w:t>
      </w:r>
    </w:p>
    <w:p>
      <w:pPr>
        <w:widowControl w:val="0"/>
        <w:suppressAutoHyphens/>
        <w:autoSpaceDE w:val="0"/>
        <w:spacing w:after="0" w:line="240" w:lineRule="auto"/>
        <w:ind w:left="567" w:hanging="567"/>
        <w:rPr>
          <w:rFonts w:ascii="Times New Roman" w:eastAsia="Lucida Sans Unicode" w:hAnsi="Times New Roman"/>
          <w:u w:val="single"/>
        </w:rPr>
      </w:pPr>
    </w:p>
    <w:p>
      <w:pPr>
        <w:widowControl w:val="0"/>
        <w:suppressAutoHyphens/>
        <w:autoSpaceDE w:val="0"/>
        <w:spacing w:after="0" w:line="240" w:lineRule="auto"/>
        <w:ind w:left="567" w:hanging="567"/>
        <w:rPr>
          <w:rFonts w:ascii="Times New Roman" w:eastAsia="Lucida Sans Unicode" w:hAnsi="Times New Roman"/>
          <w:u w:val="single"/>
        </w:rPr>
      </w:pPr>
      <w:r>
        <w:rPr>
          <w:rFonts w:ascii="Times New Roman" w:eastAsia="Lucida Sans Unicode" w:hAnsi="Times New Roman"/>
          <w:u w:val="single"/>
        </w:rPr>
        <w:t>Nome ed indirizzo del produttore responsabile del rilascio dei lotti</w:t>
      </w:r>
    </w:p>
    <w:p>
      <w:pPr>
        <w:widowControl w:val="0"/>
        <w:suppressAutoHyphens/>
        <w:autoSpaceDE w:val="0"/>
        <w:spacing w:after="0" w:line="240" w:lineRule="auto"/>
        <w:ind w:left="567" w:hanging="567"/>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iCs/>
          <w:lang w:eastAsia="ar-SA"/>
        </w:rPr>
      </w:pPr>
      <w:r>
        <w:rPr>
          <w:rFonts w:ascii="Times New Roman" w:eastAsia="Times New Roman" w:hAnsi="Times New Roman"/>
          <w:iCs/>
          <w:lang w:eastAsia="ar-SA"/>
        </w:rPr>
        <w:t>KRKA, d.d., Novo mesto</w:t>
      </w:r>
    </w:p>
    <w:p>
      <w:pPr>
        <w:widowControl w:val="0"/>
        <w:suppressAutoHyphens/>
        <w:autoSpaceDE w:val="0"/>
        <w:spacing w:after="0" w:line="240" w:lineRule="auto"/>
        <w:rPr>
          <w:rFonts w:ascii="Times New Roman" w:eastAsia="Times New Roman" w:hAnsi="Times New Roman"/>
          <w:iCs/>
          <w:lang w:eastAsia="ar-SA"/>
        </w:rPr>
      </w:pPr>
      <w:r>
        <w:rPr>
          <w:rFonts w:ascii="Times New Roman" w:eastAsia="Times New Roman" w:hAnsi="Times New Roman"/>
          <w:iCs/>
          <w:lang w:eastAsia="ar-SA"/>
        </w:rPr>
        <w:t>Šmarješka cesta 6</w:t>
      </w:r>
    </w:p>
    <w:p>
      <w:pPr>
        <w:widowControl w:val="0"/>
        <w:suppressAutoHyphens/>
        <w:autoSpaceDE w:val="0"/>
        <w:spacing w:after="0" w:line="240" w:lineRule="auto"/>
        <w:rPr>
          <w:rFonts w:ascii="Times New Roman" w:eastAsia="Times New Roman" w:hAnsi="Times New Roman"/>
          <w:iCs/>
          <w:lang w:eastAsia="ar-SA"/>
        </w:rPr>
      </w:pPr>
      <w:r>
        <w:rPr>
          <w:rFonts w:ascii="Times New Roman" w:eastAsia="Times New Roman" w:hAnsi="Times New Roman"/>
          <w:iCs/>
          <w:lang w:eastAsia="ar-SA"/>
        </w:rPr>
        <w:t>8501 Novo mesto</w:t>
      </w:r>
    </w:p>
    <w:p>
      <w:pPr>
        <w:widowControl w:val="0"/>
        <w:suppressAutoHyphens/>
        <w:autoSpaceDE w:val="0"/>
        <w:spacing w:after="0" w:line="240" w:lineRule="auto"/>
        <w:rPr>
          <w:rFonts w:ascii="Times New Roman" w:eastAsia="Times New Roman" w:hAnsi="Times New Roman"/>
          <w:iCs/>
          <w:lang w:eastAsia="ar-SA"/>
        </w:rPr>
      </w:pPr>
      <w:r>
        <w:rPr>
          <w:rFonts w:ascii="Times New Roman" w:eastAsia="Times New Roman" w:hAnsi="Times New Roman"/>
          <w:iCs/>
          <w:lang w:eastAsia="ar-SA"/>
        </w:rPr>
        <w:t>Slovenia</w:t>
      </w:r>
    </w:p>
    <w:p>
      <w:pPr>
        <w:tabs>
          <w:tab w:val="left" w:pos="567"/>
        </w:tabs>
        <w:spacing w:after="0" w:line="240" w:lineRule="auto"/>
        <w:rPr>
          <w:rFonts w:ascii="Times New Roman" w:eastAsia="Times New Roman" w:hAnsi="Times New Roman"/>
          <w:iCs/>
        </w:rPr>
      </w:pPr>
    </w:p>
    <w:p>
      <w:pPr>
        <w:widowControl w:val="0"/>
        <w:suppressAutoHyphens/>
        <w:autoSpaceDE w:val="0"/>
        <w:spacing w:after="0" w:line="240" w:lineRule="auto"/>
        <w:ind w:right="-2"/>
        <w:rPr>
          <w:rFonts w:ascii="Times New Roman" w:eastAsia="Times New Roman" w:hAnsi="Times New Roman"/>
          <w:lang w:eastAsia="ar-SA"/>
        </w:rPr>
      </w:pPr>
      <w:r>
        <w:rPr>
          <w:rFonts w:ascii="Times New Roman" w:eastAsia="Times New Roman" w:hAnsi="Times New Roman"/>
          <w:lang w:eastAsia="ar-SA"/>
        </w:rPr>
        <w:t>TAD Pharma GmbH</w:t>
      </w:r>
    </w:p>
    <w:p>
      <w:pPr>
        <w:widowControl w:val="0"/>
        <w:suppressAutoHyphens/>
        <w:autoSpaceDE w:val="0"/>
        <w:spacing w:after="0" w:line="240" w:lineRule="auto"/>
        <w:ind w:right="-2"/>
        <w:rPr>
          <w:rFonts w:ascii="Times New Roman" w:eastAsia="Times New Roman" w:hAnsi="Times New Roman"/>
          <w:lang w:eastAsia="ar-SA"/>
        </w:rPr>
      </w:pPr>
      <w:r>
        <w:rPr>
          <w:rFonts w:ascii="Times New Roman" w:eastAsia="Times New Roman" w:hAnsi="Times New Roman"/>
          <w:lang w:eastAsia="ar-SA"/>
        </w:rPr>
        <w:t>Heinz-Lohmann-Straße 5</w:t>
      </w:r>
    </w:p>
    <w:p>
      <w:pPr>
        <w:widowControl w:val="0"/>
        <w:suppressAutoHyphens/>
        <w:autoSpaceDE w:val="0"/>
        <w:spacing w:after="0" w:line="240" w:lineRule="auto"/>
        <w:ind w:right="-2"/>
        <w:rPr>
          <w:rFonts w:ascii="Times New Roman" w:eastAsia="Times New Roman" w:hAnsi="Times New Roman"/>
          <w:lang w:eastAsia="ar-SA"/>
        </w:rPr>
      </w:pPr>
      <w:r>
        <w:rPr>
          <w:rFonts w:ascii="Times New Roman" w:eastAsia="Times New Roman" w:hAnsi="Times New Roman"/>
          <w:lang w:eastAsia="ar-SA"/>
        </w:rPr>
        <w:t>27472 Cuxhaven</w:t>
      </w:r>
    </w:p>
    <w:p>
      <w:pPr>
        <w:widowControl w:val="0"/>
        <w:suppressAutoHyphens/>
        <w:autoSpaceDE w:val="0"/>
        <w:spacing w:after="0" w:line="240" w:lineRule="auto"/>
        <w:ind w:right="-2"/>
        <w:rPr>
          <w:rFonts w:ascii="Times New Roman" w:eastAsia="Times New Roman" w:hAnsi="Times New Roman"/>
          <w:lang w:eastAsia="ar-SA"/>
        </w:rPr>
      </w:pPr>
      <w:r>
        <w:rPr>
          <w:rFonts w:ascii="Times New Roman" w:eastAsia="Times New Roman" w:hAnsi="Times New Roman"/>
          <w:lang w:eastAsia="ar-SA"/>
        </w:rPr>
        <w:t>Germania</w:t>
      </w:r>
    </w:p>
    <w:p>
      <w:pPr>
        <w:tabs>
          <w:tab w:val="left" w:pos="567"/>
        </w:tabs>
        <w:spacing w:after="0" w:line="240" w:lineRule="auto"/>
        <w:rPr>
          <w:rFonts w:ascii="Times New Roman" w:eastAsia="Times New Roman" w:hAnsi="Times New Roman"/>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Il foglio illustrativo del medicinale deve riportare il nome e l'indirizzo del produttore responsabile per il rilascio dello specifico lotto.</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pStyle w:val="TitleB"/>
      </w:pPr>
      <w:r>
        <w:t>B.</w:t>
      </w:r>
      <w:r>
        <w:tab/>
        <w:t>CONDIZIONI O LIMITAZIONI DI FORNITURA E UTILIZZO</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Lucida Sans Unicode" w:hAnsi="Times New Roman"/>
          <w:lang w:eastAsia="ar-SA"/>
        </w:rPr>
        <w:t>Medicinale soggetto a prescrizione medica.</w:t>
      </w:r>
    </w:p>
    <w:p>
      <w:pPr>
        <w:widowControl w:val="0"/>
        <w:numPr>
          <w:ilvl w:val="12"/>
          <w:numId w:val="0"/>
        </w:numPr>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pStyle w:val="TitleB"/>
      </w:pPr>
      <w:r>
        <w:t>C.</w:t>
      </w:r>
      <w:r>
        <w:tab/>
        <w:t>ALTRE CONDIZIONI E REQUISITI DELL’AUTORIZZAZIONE ALL’IMMISSIONE IN COMMERCIO</w:t>
      </w:r>
    </w:p>
    <w:p>
      <w:pPr>
        <w:widowControl w:val="0"/>
        <w:tabs>
          <w:tab w:val="left" w:pos="0"/>
          <w:tab w:val="left" w:pos="360"/>
        </w:tabs>
        <w:suppressAutoHyphens/>
        <w:autoSpaceDE w:val="0"/>
        <w:spacing w:after="0" w:line="240" w:lineRule="auto"/>
        <w:rPr>
          <w:rFonts w:ascii="Times New Roman" w:eastAsia="Lucida Sans Unicode" w:hAnsi="Times New Roman"/>
          <w:b/>
        </w:rPr>
      </w:pPr>
    </w:p>
    <w:p>
      <w:pPr>
        <w:widowControl w:val="0"/>
        <w:numPr>
          <w:ilvl w:val="0"/>
          <w:numId w:val="27"/>
        </w:numPr>
        <w:suppressAutoHyphens/>
        <w:autoSpaceDE w:val="0"/>
        <w:spacing w:after="0" w:line="240" w:lineRule="auto"/>
        <w:ind w:left="426" w:hanging="426"/>
        <w:rPr>
          <w:rFonts w:ascii="Times New Roman" w:eastAsia="Lucida Sans Unicode" w:hAnsi="Times New Roman"/>
          <w:i/>
          <w:iCs/>
        </w:rPr>
      </w:pPr>
      <w:r>
        <w:rPr>
          <w:rFonts w:ascii="Times New Roman" w:eastAsia="Times New Roman" w:hAnsi="Times New Roman"/>
          <w:b/>
          <w:lang w:eastAsia="ar-SA"/>
        </w:rPr>
        <w:t xml:space="preserve">Rapporti periodici di aggiornamento sulla sicurezza </w:t>
      </w:r>
      <w:r>
        <w:rPr>
          <w:rFonts w:ascii="Times New Roman" w:hAnsi="Times New Roman"/>
          <w:b/>
        </w:rPr>
        <w:t>(PSUR)</w:t>
      </w:r>
    </w:p>
    <w:p>
      <w:pPr>
        <w:widowControl w:val="0"/>
        <w:suppressAutoHyphens/>
        <w:autoSpaceDE w:val="0"/>
        <w:spacing w:after="0" w:line="240" w:lineRule="auto"/>
        <w:rPr>
          <w:rFonts w:ascii="Times New Roman" w:eastAsia="Lucida Sans Unicode" w:hAnsi="Times New Roman"/>
          <w:i/>
          <w:iCs/>
        </w:rPr>
      </w:pPr>
    </w:p>
    <w:p>
      <w:pPr>
        <w:widowControl w:val="0"/>
        <w:suppressAutoHyphens/>
        <w:autoSpaceDE w:val="0"/>
        <w:spacing w:after="0" w:line="240" w:lineRule="auto"/>
        <w:rPr>
          <w:rFonts w:ascii="Times New Roman" w:eastAsia="Times New Roman" w:hAnsi="Times New Roman"/>
          <w:lang w:eastAsia="ar-SA"/>
        </w:rPr>
      </w:pPr>
      <w:r>
        <w:rPr>
          <w:rFonts w:ascii="Times New Roman" w:hAnsi="Times New Roman"/>
        </w:rPr>
        <w:t xml:space="preserve">I requisiti definiti per la presentazione degli PSUR per questo medicinale sono definiti nell’elenco delle date di riferimento per l’Unione europea (elenco EURD) di cui all’articolo 107 quater, par. 7 della direttiva 2001/83/CE e successive modifiche, pubblicato sul </w:t>
      </w:r>
      <w:r>
        <w:rPr>
          <w:rFonts w:ascii="Times New Roman" w:hAnsi="Times New Roman"/>
          <w:noProof/>
        </w:rPr>
        <w:t>sito</w:t>
      </w:r>
      <w:r>
        <w:rPr>
          <w:rFonts w:ascii="Times New Roman" w:hAnsi="Times New Roman"/>
        </w:rPr>
        <w:t xml:space="preserve"> web dei medicinali europei.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pStyle w:val="TitleB"/>
      </w:pPr>
      <w:r>
        <w:t>D.</w:t>
      </w:r>
      <w:r>
        <w:tab/>
        <w:t>CONDIZIONI O LIMITAZIONI PER QUANTO RIGUARDA L’USO SICURO ED EFFICACE DEL MEDICINALE</w:t>
      </w:r>
    </w:p>
    <w:p>
      <w:pPr>
        <w:tabs>
          <w:tab w:val="left" w:pos="540"/>
        </w:tabs>
        <w:autoSpaceDE w:val="0"/>
        <w:autoSpaceDN w:val="0"/>
        <w:adjustRightInd w:val="0"/>
        <w:spacing w:after="0" w:line="240" w:lineRule="auto"/>
        <w:ind w:left="540"/>
        <w:rPr>
          <w:rFonts w:ascii="Times New Roman" w:eastAsia="Times New Roman" w:hAnsi="Times New Roman"/>
          <w:b/>
          <w:bCs/>
          <w:color w:val="000000"/>
        </w:rPr>
      </w:pPr>
    </w:p>
    <w:p>
      <w:pPr>
        <w:widowControl w:val="0"/>
        <w:numPr>
          <w:ilvl w:val="0"/>
          <w:numId w:val="26"/>
        </w:numPr>
        <w:tabs>
          <w:tab w:val="left" w:pos="540"/>
        </w:tabs>
        <w:suppressAutoHyphens/>
        <w:autoSpaceDE w:val="0"/>
        <w:autoSpaceDN w:val="0"/>
        <w:adjustRightInd w:val="0"/>
        <w:spacing w:after="0" w:line="240" w:lineRule="auto"/>
        <w:ind w:left="426"/>
        <w:rPr>
          <w:rFonts w:ascii="Times New Roman" w:eastAsia="Times New Roman" w:hAnsi="Times New Roman"/>
          <w:b/>
          <w:bCs/>
          <w:color w:val="000000"/>
        </w:rPr>
      </w:pPr>
      <w:r>
        <w:rPr>
          <w:rFonts w:ascii="Times New Roman" w:eastAsia="Times New Roman" w:hAnsi="Times New Roman"/>
          <w:b/>
          <w:bCs/>
          <w:color w:val="000000"/>
        </w:rPr>
        <w:t>Piano di gestione del rischio (RMP)</w:t>
      </w:r>
    </w:p>
    <w:p>
      <w:pPr>
        <w:tabs>
          <w:tab w:val="left" w:pos="540"/>
        </w:tabs>
        <w:autoSpaceDE w:val="0"/>
        <w:autoSpaceDN w:val="0"/>
        <w:adjustRightInd w:val="0"/>
        <w:spacing w:after="0" w:line="240" w:lineRule="auto"/>
        <w:ind w:left="540"/>
        <w:rPr>
          <w:rFonts w:ascii="Times New Roman" w:eastAsia="Times New Roman" w:hAnsi="Times New Roman"/>
          <w:b/>
          <w:bCs/>
          <w:color w:val="000000"/>
        </w:rPr>
      </w:pPr>
    </w:p>
    <w:p>
      <w:pPr>
        <w:tabs>
          <w:tab w:val="left" w:pos="540"/>
        </w:tabs>
        <w:autoSpaceDE w:val="0"/>
        <w:autoSpaceDN w:val="0"/>
        <w:adjustRightInd w:val="0"/>
        <w:spacing w:after="0" w:line="240" w:lineRule="auto"/>
        <w:rPr>
          <w:rFonts w:ascii="Times New Roman" w:eastAsia="Times New Roman" w:hAnsi="Times New Roman"/>
          <w:bCs/>
          <w:color w:val="000000"/>
        </w:rPr>
      </w:pPr>
      <w:r>
        <w:rPr>
          <w:rFonts w:ascii="Times New Roman" w:eastAsia="Times New Roman" w:hAnsi="Times New Roman"/>
          <w:bCs/>
          <w:color w:val="000000"/>
        </w:rPr>
        <w:t>Non applicabile</w:t>
      </w:r>
    </w:p>
    <w:p>
      <w:pPr>
        <w:widowControl w:val="0"/>
        <w:suppressAutoHyphens/>
        <w:autoSpaceDE w:val="0"/>
        <w:spacing w:after="0" w:line="240" w:lineRule="auto"/>
        <w:ind w:left="567" w:hanging="567"/>
        <w:rPr>
          <w:rFonts w:ascii="Times New Roman" w:eastAsia="Times New Roman" w:hAnsi="Times New Roman"/>
          <w:b/>
          <w:bCs/>
          <w:i/>
          <w:iCs/>
          <w:lang w:eastAsia="ar-SA"/>
        </w:rPr>
      </w:pPr>
    </w:p>
    <w:p>
      <w:pPr>
        <w:widowControl w:val="0"/>
        <w:suppressAutoHyphens/>
        <w:autoSpaceDE w:val="0"/>
        <w:spacing w:after="0" w:line="240" w:lineRule="auto"/>
        <w:ind w:left="567"/>
        <w:rPr>
          <w:rFonts w:ascii="Times New Roman" w:eastAsia="Times New Roman" w:hAnsi="Times New Roman"/>
          <w:b/>
          <w:lang w:eastAsia="ar-SA"/>
        </w:rPr>
      </w:pPr>
      <w:r>
        <w:rPr>
          <w:rFonts w:ascii="Times New Roman" w:eastAsia="Times New Roman" w:hAnsi="Times New Roman"/>
          <w:b/>
          <w:lang w:eastAsia="ar-SA"/>
        </w:rPr>
        <w:br w:type="page"/>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jc w:val="center"/>
        <w:rPr>
          <w:rFonts w:ascii="Times New Roman" w:eastAsia="Times New Roman" w:hAnsi="Times New Roman"/>
          <w:b/>
          <w:lang w:eastAsia="ar-SA"/>
        </w:rPr>
      </w:pPr>
    </w:p>
    <w:p>
      <w:pPr>
        <w:widowControl w:val="0"/>
        <w:suppressAutoHyphens/>
        <w:autoSpaceDE w:val="0"/>
        <w:spacing w:after="0" w:line="240" w:lineRule="auto"/>
        <w:jc w:val="center"/>
        <w:rPr>
          <w:rFonts w:ascii="Times New Roman" w:eastAsia="Times New Roman" w:hAnsi="Times New Roman"/>
          <w:b/>
          <w:lang w:eastAsia="ar-SA"/>
        </w:rPr>
      </w:pPr>
      <w:r>
        <w:rPr>
          <w:rFonts w:ascii="Times New Roman" w:eastAsia="Times New Roman" w:hAnsi="Times New Roman"/>
          <w:b/>
          <w:lang w:eastAsia="ar-SA"/>
        </w:rPr>
        <w:t>ALLEGATO III</w:t>
      </w:r>
    </w:p>
    <w:p>
      <w:pPr>
        <w:widowControl w:val="0"/>
        <w:suppressAutoHyphens/>
        <w:autoSpaceDE w:val="0"/>
        <w:spacing w:after="0" w:line="240" w:lineRule="auto"/>
        <w:jc w:val="center"/>
        <w:rPr>
          <w:rFonts w:ascii="Times New Roman" w:eastAsia="Times New Roman" w:hAnsi="Times New Roman"/>
          <w:lang w:eastAsia="ar-SA"/>
        </w:rPr>
      </w:pPr>
    </w:p>
    <w:p>
      <w:pPr>
        <w:pStyle w:val="TitleA"/>
      </w:pPr>
      <w:r>
        <w:t>ETICHETTATURA E FOGLIO ILLUSTRATIVO</w:t>
      </w:r>
    </w:p>
    <w:p>
      <w:pPr>
        <w:widowControl w:val="0"/>
        <w:suppressAutoHyphens/>
        <w:autoSpaceDE w:val="0"/>
        <w:spacing w:after="0" w:line="240" w:lineRule="auto"/>
        <w:rPr>
          <w:rFonts w:ascii="Times New Roman" w:eastAsia="Times New Roman" w:hAnsi="Times New Roman"/>
          <w:lang w:eastAsia="ar-SA"/>
        </w:rPr>
      </w:pPr>
    </w:p>
    <w:p>
      <w:pPr>
        <w:pageBreakBefore/>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jc w:val="center"/>
        <w:rPr>
          <w:rFonts w:ascii="Times New Roman" w:eastAsia="Times New Roman" w:hAnsi="Times New Roman"/>
          <w:b/>
          <w:bCs/>
          <w:color w:val="000000"/>
          <w:spacing w:val="-2"/>
          <w:lang w:eastAsia="ar-SA"/>
        </w:rPr>
      </w:pPr>
      <w:r>
        <w:rPr>
          <w:rFonts w:ascii="Times New Roman" w:eastAsia="Times New Roman" w:hAnsi="Times New Roman"/>
          <w:b/>
          <w:bCs/>
          <w:color w:val="000000"/>
          <w:spacing w:val="-2"/>
          <w:lang w:eastAsia="ar-SA"/>
        </w:rPr>
        <w:t>A. ETICHETTATURA</w:t>
      </w:r>
    </w:p>
    <w:p>
      <w:pPr>
        <w:pageBreakBefore/>
        <w:widowControl w:val="0"/>
        <w:shd w:val="clear" w:color="auto" w:fill="FFFFFF"/>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rPr>
          <w:trHeight w:val="879"/>
        </w:trPr>
        <w:tc>
          <w:tcPr>
            <w:tcW w:w="9358" w:type="dxa"/>
            <w:tcBorders>
              <w:top w:val="single" w:sz="4" w:space="0" w:color="000000"/>
              <w:left w:val="single" w:sz="4" w:space="0" w:color="000000"/>
              <w:bottom w:val="single" w:sz="4" w:space="0" w:color="000000"/>
              <w:right w:val="single" w:sz="4" w:space="0" w:color="000000"/>
            </w:tcBorders>
          </w:tcPr>
          <w:p>
            <w:pPr>
              <w:widowControl w:val="0"/>
              <w:shd w:val="clear" w:color="auto" w:fill="FFFFFF"/>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INFORMAZIONI DA APPORRE SUL CONFEZIONAMENTO SECONDARIO</w:t>
            </w:r>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b/>
                <w:lang w:eastAsia="ar-SA"/>
              </w:rPr>
            </w:pPr>
            <w:r>
              <w:rPr>
                <w:rFonts w:ascii="Times New Roman" w:eastAsia="Times New Roman" w:hAnsi="Times New Roman"/>
                <w:b/>
                <w:lang w:eastAsia="ar-SA"/>
              </w:rPr>
              <w:t>SCATOLA</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1.</w:t>
            </w:r>
            <w:r>
              <w:rPr>
                <w:rFonts w:ascii="Times New Roman" w:eastAsia="Times New Roman" w:hAnsi="Times New Roman"/>
                <w:b/>
                <w:lang w:eastAsia="ar-SA"/>
              </w:rPr>
              <w:tab/>
              <w:t>DENOMINAZIONE DEL MEDICINALE</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Clopidogrel TAD 75 mg compresse rivestite con film</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clopidogrel</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eastAsia="ar-SA"/>
              </w:rPr>
            </w:pPr>
            <w:r>
              <w:rPr>
                <w:rFonts w:ascii="Times New Roman" w:eastAsia="Times New Roman" w:hAnsi="Times New Roman"/>
                <w:b/>
                <w:lang w:eastAsia="ar-SA"/>
              </w:rPr>
              <w:t>2.</w:t>
            </w:r>
            <w:r>
              <w:rPr>
                <w:rFonts w:ascii="Times New Roman" w:eastAsia="Times New Roman" w:hAnsi="Times New Roman"/>
                <w:b/>
                <w:lang w:eastAsia="ar-SA"/>
              </w:rPr>
              <w:tab/>
              <w:t>COMPOSIZIONE QUALITATIVA E QUANTITATIVA IN TERMINI DI PRINCIPIO(I) ATTIVO(I)</w:t>
            </w:r>
          </w:p>
        </w:tc>
      </w:tr>
    </w:tbl>
    <w:p>
      <w:pPr>
        <w:widowControl w:val="0"/>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ind w:left="5"/>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Ogni compressa rivestita con film contiene 75 mg di clopidogrel (come cloridrato).</w:t>
      </w:r>
    </w:p>
    <w:p>
      <w:pPr>
        <w:widowControl w:val="0"/>
        <w:shd w:val="clear" w:color="auto" w:fill="FFFFFF"/>
        <w:suppressAutoHyphens/>
        <w:autoSpaceDE w:val="0"/>
        <w:spacing w:after="0" w:line="240" w:lineRule="auto"/>
        <w:ind w:left="5"/>
        <w:rPr>
          <w:rFonts w:ascii="Times New Roman" w:eastAsia="Times New Roman" w:hAnsi="Times New Roman"/>
          <w:color w:val="000000"/>
          <w:spacing w:val="-1"/>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3.</w:t>
            </w:r>
            <w:r>
              <w:rPr>
                <w:rFonts w:ascii="Times New Roman" w:eastAsia="Times New Roman" w:hAnsi="Times New Roman"/>
                <w:b/>
                <w:lang w:eastAsia="ar-SA"/>
              </w:rPr>
              <w:tab/>
              <w:t>ELENCO DEGLI ECCIPIENTI</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4.</w:t>
            </w:r>
            <w:r>
              <w:rPr>
                <w:rFonts w:ascii="Times New Roman" w:eastAsia="Times New Roman" w:hAnsi="Times New Roman"/>
                <w:b/>
                <w:lang w:eastAsia="ar-SA"/>
              </w:rPr>
              <w:tab/>
              <w:t>FORMA FARMACEUTICA E CONTENUTO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compressa rivestita con film</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7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14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28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30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50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56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84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90 compresse rivestite con film</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shd w:val="clear" w:color="auto" w:fill="CCCCCC"/>
          <w:lang w:eastAsia="ar-SA"/>
        </w:rPr>
        <w:t>100 compresse rivestite con film</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5.</w:t>
            </w:r>
            <w:r>
              <w:rPr>
                <w:rFonts w:ascii="Times New Roman" w:eastAsia="Times New Roman" w:hAnsi="Times New Roman"/>
                <w:b/>
                <w:lang w:eastAsia="ar-SA"/>
              </w:rPr>
              <w:tab/>
              <w:t>MODO E VIA(E) DI SOMMINISTRAZIONE</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Leggere il foglio illustrativo prima dell’uso.</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Uso orale</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eastAsia="ar-SA"/>
              </w:rPr>
            </w:pPr>
            <w:r>
              <w:rPr>
                <w:rFonts w:ascii="Times New Roman" w:eastAsia="Times New Roman" w:hAnsi="Times New Roman"/>
                <w:b/>
                <w:lang w:eastAsia="ar-SA"/>
              </w:rPr>
              <w:t>6</w:t>
            </w:r>
            <w:r>
              <w:rPr>
                <w:rFonts w:ascii="Times New Roman" w:eastAsia="Times New Roman" w:hAnsi="Times New Roman"/>
                <w:b/>
                <w:lang w:eastAsia="ar-SA"/>
              </w:rPr>
              <w:tab/>
              <w:t>AVVERTENZA PARTICOLARE CHE PRESCRIVA DI TENERE IL MEDICINALE FUORI DALLA VISTA E DALLA PORTATA DEI BAMBINI</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Tenere fuori dalla vista e dalla portata dei bambini.</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7.</w:t>
            </w:r>
            <w:r>
              <w:rPr>
                <w:rFonts w:ascii="Times New Roman" w:eastAsia="Times New Roman" w:hAnsi="Times New Roman"/>
                <w:b/>
                <w:lang w:eastAsia="ar-SA"/>
              </w:rPr>
              <w:tab/>
              <w:t>ALTRA(E) AVVERTENZA(E) PARTICOLARE(I), SE NECESSARIO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8.</w:t>
            </w:r>
            <w:r>
              <w:rPr>
                <w:rFonts w:ascii="Times New Roman" w:eastAsia="Times New Roman" w:hAnsi="Times New Roman"/>
                <w:b/>
                <w:lang w:eastAsia="ar-SA"/>
              </w:rPr>
              <w:tab/>
              <w:t>DATA DI SCADENZA</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EXP</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tabs>
                <w:tab w:val="left" w:pos="535"/>
              </w:tabs>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9.</w:t>
            </w:r>
            <w:r>
              <w:rPr>
                <w:rFonts w:ascii="Times New Roman" w:eastAsia="Times New Roman" w:hAnsi="Times New Roman"/>
                <w:b/>
                <w:lang w:eastAsia="ar-SA"/>
              </w:rPr>
              <w:tab/>
              <w:t>PRECAUZIONI PARTICOLARI PER LA CONSERVAZIONE</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Conservare nella confezione originale per proteggere il medicinale dall'umidità e dalla luce.</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eastAsia="ar-SA"/>
              </w:rPr>
            </w:pPr>
            <w:r>
              <w:rPr>
                <w:rFonts w:ascii="Times New Roman" w:eastAsia="Times New Roman" w:hAnsi="Times New Roman"/>
                <w:b/>
                <w:lang w:eastAsia="ar-SA"/>
              </w:rPr>
              <w:t>10.</w:t>
            </w:r>
            <w:r>
              <w:rPr>
                <w:rFonts w:ascii="Times New Roman" w:eastAsia="Times New Roman" w:hAnsi="Times New Roman"/>
                <w:b/>
                <w:lang w:eastAsia="ar-SA"/>
              </w:rPr>
              <w:tab/>
              <w:t>PRECAUZIONI PARTICOLARI PER LO SMALTIMENTO DEL MEDICINALE NON UTILIZZATO O DEI RIFIUTI DERIVATI DA TALE MEDICINALE, SE NECESSARIO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eastAsia="ar-SA"/>
              </w:rPr>
            </w:pPr>
            <w:r>
              <w:rPr>
                <w:rFonts w:ascii="Times New Roman" w:eastAsia="Times New Roman" w:hAnsi="Times New Roman"/>
                <w:b/>
                <w:lang w:eastAsia="ar-SA"/>
              </w:rPr>
              <w:t>11.</w:t>
            </w:r>
            <w:r>
              <w:rPr>
                <w:rFonts w:ascii="Times New Roman" w:eastAsia="Times New Roman" w:hAnsi="Times New Roman"/>
                <w:b/>
                <w:lang w:eastAsia="ar-SA"/>
              </w:rPr>
              <w:tab/>
              <w:t>NOME E INDIRIZZO DEL TITOLARE DELL’AUTORIZZAZIONE ALL’IMMISSIONE IN COMMERCIO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TAD Pharma GmbH, Heinz-Lohmann-Straße 5, 27472 Cuxhaven, Germania</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12.</w:t>
            </w:r>
            <w:r>
              <w:rPr>
                <w:rFonts w:ascii="Times New Roman" w:eastAsia="Times New Roman" w:hAnsi="Times New Roman"/>
                <w:b/>
                <w:lang w:eastAsia="ar-SA"/>
              </w:rPr>
              <w:tab/>
              <w:t>NUMERO(I) DELL’AUTORIZZAZIONE ALL’IMMISSIONE IN COMMERCIO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highlight w:val="lightGray"/>
          <w:lang w:eastAsia="ar-SA"/>
        </w:rPr>
        <w:t>7 compresse rivestite con film:</w:t>
      </w:r>
      <w:r>
        <w:rPr>
          <w:rFonts w:ascii="Times New Roman" w:eastAsia="Times New Roman" w:hAnsi="Times New Roman"/>
          <w:lang w:eastAsia="ar-SA"/>
        </w:rPr>
        <w:t xml:space="preserve"> EU/1/09/555/001</w:t>
      </w:r>
    </w:p>
    <w:p>
      <w:pPr>
        <w:widowControl w:val="0"/>
        <w:suppressAutoHyphens/>
        <w:autoSpaceDE w:val="0"/>
        <w:spacing w:after="0" w:line="240" w:lineRule="auto"/>
        <w:rPr>
          <w:rFonts w:ascii="Times New Roman" w:eastAsia="Times New Roman" w:hAnsi="Times New Roman"/>
          <w:highlight w:val="lightGray"/>
          <w:shd w:val="clear" w:color="auto" w:fill="CCCCCC"/>
          <w:lang w:eastAsia="ar-SA"/>
        </w:rPr>
      </w:pPr>
      <w:r>
        <w:rPr>
          <w:rFonts w:ascii="Times New Roman" w:eastAsia="Times New Roman" w:hAnsi="Times New Roman"/>
          <w:color w:val="000000"/>
          <w:highlight w:val="lightGray"/>
          <w:lang w:eastAsia="sl-SI"/>
        </w:rPr>
        <w:t>14 compresse rivestite con film</w:t>
      </w:r>
      <w:r>
        <w:rPr>
          <w:rFonts w:ascii="Times New Roman" w:eastAsia="Times New Roman" w:hAnsi="Times New Roman"/>
          <w:highlight w:val="lightGray"/>
          <w:lang w:eastAsia="ar-SA"/>
        </w:rPr>
        <w:t>: EU/1/09/555/002</w:t>
      </w:r>
    </w:p>
    <w:p>
      <w:pPr>
        <w:widowControl w:val="0"/>
        <w:suppressAutoHyphens/>
        <w:autoSpaceDE w:val="0"/>
        <w:spacing w:after="0" w:line="240" w:lineRule="auto"/>
        <w:rPr>
          <w:rFonts w:ascii="Times New Roman" w:eastAsia="Times New Roman" w:hAnsi="Times New Roman"/>
          <w:highlight w:val="lightGray"/>
          <w:shd w:val="clear" w:color="auto" w:fill="CCCCCC"/>
          <w:lang w:eastAsia="ar-SA"/>
        </w:rPr>
      </w:pPr>
      <w:r>
        <w:rPr>
          <w:rFonts w:ascii="Times New Roman" w:eastAsia="Times New Roman" w:hAnsi="Times New Roman"/>
          <w:color w:val="000000"/>
          <w:highlight w:val="lightGray"/>
          <w:lang w:eastAsia="sl-SI"/>
        </w:rPr>
        <w:t>28 compresse rivestite con film</w:t>
      </w:r>
      <w:r>
        <w:rPr>
          <w:rFonts w:ascii="Times New Roman" w:eastAsia="Times New Roman" w:hAnsi="Times New Roman"/>
          <w:highlight w:val="lightGray"/>
          <w:lang w:eastAsia="ar-SA"/>
        </w:rPr>
        <w:t>: EU/1/09/555/003</w:t>
      </w:r>
    </w:p>
    <w:p>
      <w:pPr>
        <w:widowControl w:val="0"/>
        <w:suppressAutoHyphens/>
        <w:autoSpaceDE w:val="0"/>
        <w:spacing w:after="0" w:line="240" w:lineRule="auto"/>
        <w:rPr>
          <w:rFonts w:ascii="Times New Roman" w:eastAsia="Times New Roman" w:hAnsi="Times New Roman"/>
          <w:highlight w:val="lightGray"/>
          <w:shd w:val="clear" w:color="auto" w:fill="CCCCCC"/>
          <w:lang w:eastAsia="ar-SA"/>
        </w:rPr>
      </w:pPr>
      <w:r>
        <w:rPr>
          <w:rFonts w:ascii="Times New Roman" w:eastAsia="Times New Roman" w:hAnsi="Times New Roman"/>
          <w:highlight w:val="lightGray"/>
          <w:lang w:eastAsia="ar-SA"/>
        </w:rPr>
        <w:t>30 compresse rivestite con film: EU/1/09/555/004</w:t>
      </w:r>
    </w:p>
    <w:p>
      <w:pPr>
        <w:widowControl w:val="0"/>
        <w:suppressAutoHyphens/>
        <w:autoSpaceDE w:val="0"/>
        <w:spacing w:after="0" w:line="240" w:lineRule="auto"/>
        <w:rPr>
          <w:rFonts w:ascii="Times New Roman" w:eastAsia="Times New Roman" w:hAnsi="Times New Roman"/>
          <w:highlight w:val="lightGray"/>
          <w:shd w:val="clear" w:color="auto" w:fill="CCCCCC"/>
          <w:lang w:eastAsia="ar-SA"/>
        </w:rPr>
      </w:pPr>
      <w:r>
        <w:rPr>
          <w:rFonts w:ascii="Times New Roman" w:eastAsia="Times New Roman" w:hAnsi="Times New Roman"/>
          <w:highlight w:val="lightGray"/>
          <w:lang w:eastAsia="ar-SA"/>
        </w:rPr>
        <w:t>50 compresse rivestite con film: EU/1/09/555/005</w:t>
      </w:r>
    </w:p>
    <w:p>
      <w:pPr>
        <w:widowControl w:val="0"/>
        <w:suppressAutoHyphens/>
        <w:autoSpaceDE w:val="0"/>
        <w:spacing w:after="0" w:line="240" w:lineRule="auto"/>
        <w:rPr>
          <w:rFonts w:ascii="Times New Roman" w:eastAsia="Times New Roman" w:hAnsi="Times New Roman"/>
          <w:highlight w:val="lightGray"/>
          <w:shd w:val="clear" w:color="auto" w:fill="CCCCCC"/>
          <w:lang w:eastAsia="ar-SA"/>
        </w:rPr>
      </w:pPr>
      <w:r>
        <w:rPr>
          <w:rFonts w:ascii="Times New Roman" w:eastAsia="Times New Roman" w:hAnsi="Times New Roman"/>
          <w:highlight w:val="lightGray"/>
          <w:lang w:eastAsia="ar-SA"/>
        </w:rPr>
        <w:t>56 compresse rivestite con film: EU/1/09/555/006</w:t>
      </w:r>
    </w:p>
    <w:p>
      <w:pPr>
        <w:widowControl w:val="0"/>
        <w:suppressAutoHyphens/>
        <w:autoSpaceDE w:val="0"/>
        <w:spacing w:after="0" w:line="240" w:lineRule="auto"/>
        <w:rPr>
          <w:rFonts w:ascii="Times New Roman" w:eastAsia="Times New Roman" w:hAnsi="Times New Roman"/>
          <w:highlight w:val="lightGray"/>
          <w:shd w:val="clear" w:color="auto" w:fill="CCCCCC"/>
          <w:lang w:eastAsia="ar-SA"/>
        </w:rPr>
      </w:pPr>
      <w:r>
        <w:rPr>
          <w:rFonts w:ascii="Times New Roman" w:eastAsia="Times New Roman" w:hAnsi="Times New Roman"/>
          <w:highlight w:val="lightGray"/>
          <w:lang w:eastAsia="ar-SA"/>
        </w:rPr>
        <w:t>84 compresse rivestite con film: EU/1/09/555/007</w:t>
      </w:r>
    </w:p>
    <w:p>
      <w:pPr>
        <w:widowControl w:val="0"/>
        <w:suppressAutoHyphens/>
        <w:autoSpaceDE w:val="0"/>
        <w:spacing w:after="0" w:line="240" w:lineRule="auto"/>
        <w:rPr>
          <w:rFonts w:ascii="Times New Roman" w:eastAsia="Times New Roman" w:hAnsi="Times New Roman"/>
          <w:highlight w:val="lightGray"/>
          <w:shd w:val="clear" w:color="auto" w:fill="CCCCCC"/>
          <w:lang w:eastAsia="ar-SA"/>
        </w:rPr>
      </w:pPr>
      <w:r>
        <w:rPr>
          <w:rFonts w:ascii="Times New Roman" w:eastAsia="Times New Roman" w:hAnsi="Times New Roman"/>
          <w:highlight w:val="lightGray"/>
          <w:lang w:eastAsia="ar-SA"/>
        </w:rPr>
        <w:t>90 compresse rivestite con film: EU/1/09/555/008</w:t>
      </w:r>
    </w:p>
    <w:p>
      <w:pPr>
        <w:widowControl w:val="0"/>
        <w:suppressAutoHyphens/>
        <w:autoSpaceDE w:val="0"/>
        <w:spacing w:after="0" w:line="240" w:lineRule="auto"/>
        <w:rPr>
          <w:rFonts w:ascii="Times New Roman" w:eastAsia="Times New Roman" w:hAnsi="Times New Roman"/>
          <w:shd w:val="clear" w:color="auto" w:fill="CCCCCC"/>
          <w:lang w:eastAsia="ar-SA"/>
        </w:rPr>
      </w:pPr>
      <w:r>
        <w:rPr>
          <w:rFonts w:ascii="Times New Roman" w:eastAsia="Times New Roman" w:hAnsi="Times New Roman"/>
          <w:highlight w:val="lightGray"/>
          <w:lang w:eastAsia="ar-SA"/>
        </w:rPr>
        <w:t>100 compresse rivestite con film: EU/1/09/555/009</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13.</w:t>
            </w:r>
            <w:r>
              <w:rPr>
                <w:rFonts w:ascii="Times New Roman" w:eastAsia="Times New Roman" w:hAnsi="Times New Roman"/>
                <w:b/>
                <w:lang w:eastAsia="ar-SA"/>
              </w:rPr>
              <w:tab/>
              <w:t>NUMERO DI LOTTO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Lot</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14.</w:t>
            </w:r>
            <w:r>
              <w:rPr>
                <w:rFonts w:ascii="Times New Roman" w:eastAsia="Times New Roman" w:hAnsi="Times New Roman"/>
                <w:b/>
                <w:lang w:eastAsia="ar-SA"/>
              </w:rPr>
              <w:tab/>
              <w:t>CONDIZIONE GENERALE DI FORNITURA</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15.</w:t>
            </w:r>
            <w:r>
              <w:rPr>
                <w:rFonts w:ascii="Times New Roman" w:eastAsia="Times New Roman" w:hAnsi="Times New Roman"/>
                <w:b/>
                <w:lang w:eastAsia="ar-SA"/>
              </w:rPr>
              <w:tab/>
              <w:t>ISTRUZIONI PER L’USO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b/>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16.</w:t>
            </w:r>
            <w:r>
              <w:rPr>
                <w:rFonts w:ascii="Times New Roman" w:eastAsia="Times New Roman" w:hAnsi="Times New Roman"/>
                <w:b/>
                <w:lang w:eastAsia="ar-SA"/>
              </w:rPr>
              <w:tab/>
              <w:t>INFORMAZIONI IN BRAILLE</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Clopidogrel TAD 75 mg</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i/>
          <w:noProof/>
        </w:rPr>
      </w:pPr>
      <w:r>
        <w:rPr>
          <w:rFonts w:ascii="Times New Roman" w:hAnsi="Times New Roman"/>
          <w:b/>
          <w:noProof/>
        </w:rPr>
        <w:t>17.</w:t>
      </w:r>
      <w:r>
        <w:rPr>
          <w:rFonts w:ascii="Times New Roman" w:hAnsi="Times New Roman"/>
          <w:b/>
          <w:noProof/>
        </w:rPr>
        <w:tab/>
        <w:t>IDENTIFICATIVO UNICO – CODICE A BARRE BIDIMENSIONALE</w:t>
      </w:r>
    </w:p>
    <w:p>
      <w:pPr>
        <w:spacing w:line="240" w:lineRule="auto"/>
        <w:rPr>
          <w:rFonts w:ascii="Times New Roman" w:hAnsi="Times New Roman"/>
          <w:noProof/>
          <w:highlight w:val="lightGray"/>
        </w:rPr>
      </w:pPr>
    </w:p>
    <w:p>
      <w:pPr>
        <w:spacing w:after="0" w:line="240" w:lineRule="auto"/>
        <w:rPr>
          <w:rFonts w:ascii="Times New Roman" w:hAnsi="Times New Roman"/>
          <w:noProof/>
          <w:highlight w:val="lightGray"/>
        </w:rPr>
      </w:pPr>
      <w:r>
        <w:rPr>
          <w:rFonts w:ascii="Times New Roman" w:hAnsi="Times New Roman"/>
          <w:noProof/>
          <w:highlight w:val="lightGray"/>
        </w:rPr>
        <w:t>Codice a barre bidimensionale con identificativo unico incluso.</w:t>
      </w:r>
    </w:p>
    <w:p>
      <w:pPr>
        <w:spacing w:after="0" w:line="240" w:lineRule="auto"/>
        <w:rPr>
          <w:rFonts w:ascii="Times New Roman" w:hAnsi="Times New Roman"/>
          <w:noProof/>
          <w:highlight w:val="lightGray"/>
          <w:shd w:val="clear" w:color="auto" w:fill="CCCCCC"/>
        </w:rPr>
      </w:pPr>
    </w:p>
    <w:p>
      <w:pPr>
        <w:spacing w:after="0" w:line="240" w:lineRule="auto"/>
        <w:rPr>
          <w:rFonts w:ascii="Times New Roman" w:hAnsi="Times New Roman"/>
          <w:noProof/>
          <w:highlight w:val="lightGray"/>
          <w:shd w:val="clear" w:color="auto" w:fill="CCCCCC"/>
        </w:rPr>
      </w:pPr>
    </w:p>
    <w:p>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i/>
          <w:noProof/>
        </w:rPr>
      </w:pPr>
      <w:r>
        <w:rPr>
          <w:rFonts w:ascii="Times New Roman" w:hAnsi="Times New Roman"/>
          <w:b/>
          <w:noProof/>
        </w:rPr>
        <w:t>18.</w:t>
      </w:r>
      <w:r>
        <w:rPr>
          <w:rFonts w:ascii="Times New Roman" w:hAnsi="Times New Roman"/>
          <w:b/>
          <w:noProof/>
        </w:rPr>
        <w:tab/>
        <w:t>IDENTIFICATIVO UNICO - DATI RESI LEGGIBILI</w:t>
      </w:r>
    </w:p>
    <w:p>
      <w:pPr>
        <w:tabs>
          <w:tab w:val="left" w:pos="720"/>
        </w:tabs>
        <w:spacing w:after="0" w:line="240" w:lineRule="auto"/>
        <w:rPr>
          <w:rFonts w:ascii="Times New Roman" w:hAnsi="Times New Roman"/>
          <w:noProof/>
        </w:rPr>
      </w:pPr>
    </w:p>
    <w:p>
      <w:pPr>
        <w:spacing w:after="0" w:line="240" w:lineRule="auto"/>
        <w:rPr>
          <w:rFonts w:ascii="Times New Roman" w:hAnsi="Times New Roman"/>
        </w:rPr>
      </w:pPr>
      <w:r>
        <w:rPr>
          <w:rFonts w:ascii="Times New Roman" w:hAnsi="Times New Roman"/>
        </w:rPr>
        <w:t>PC</w:t>
      </w:r>
    </w:p>
    <w:p>
      <w:pPr>
        <w:widowControl w:val="0"/>
        <w:spacing w:after="0" w:line="240" w:lineRule="auto"/>
        <w:rPr>
          <w:rFonts w:ascii="Times New Roman" w:hAnsi="Times New Roman"/>
        </w:rPr>
      </w:pPr>
      <w:r>
        <w:rPr>
          <w:rFonts w:ascii="Times New Roman" w:hAnsi="Times New Roman"/>
        </w:rPr>
        <w:t xml:space="preserve">SN </w:t>
      </w:r>
    </w:p>
    <w:p>
      <w:pPr>
        <w:widowControl w:val="0"/>
        <w:spacing w:after="0" w:line="240" w:lineRule="auto"/>
        <w:rPr>
          <w:rFonts w:ascii="Times New Roman" w:hAnsi="Times New Roman"/>
        </w:rPr>
      </w:pPr>
      <w:r>
        <w:rPr>
          <w:rFonts w:ascii="Times New Roman" w:hAnsi="Times New Roman"/>
        </w:rPr>
        <w:t>NN</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pageBreakBefore/>
        <w:widowControl w:val="0"/>
        <w:suppressAutoHyphens/>
        <w:autoSpaceDE w:val="0"/>
        <w:spacing w:after="0" w:line="240" w:lineRule="auto"/>
        <w:rPr>
          <w:rFonts w:ascii="Times New Roman" w:eastAsia="Times New Roman" w:hAnsi="Times New Roman"/>
          <w:b/>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INFORMAZIONI MINIME DA APPORRE SU BLISTER O STRIP</w:t>
            </w:r>
          </w:p>
          <w:p>
            <w:pPr>
              <w:widowControl w:val="0"/>
              <w:suppressAutoHyphens/>
              <w:autoSpaceDE w:val="0"/>
              <w:spacing w:after="0" w:line="240" w:lineRule="auto"/>
              <w:rPr>
                <w:rFonts w:ascii="Times New Roman" w:eastAsia="Times New Roman" w:hAnsi="Times New Roman"/>
                <w:b/>
                <w:lang w:eastAsia="ar-SA"/>
              </w:rPr>
            </w:pPr>
          </w:p>
          <w:p>
            <w:pPr>
              <w:widowControl w:val="0"/>
              <w:suppressAutoHyphens/>
              <w:autoSpaceDE w:val="0"/>
              <w:spacing w:after="0" w:line="240" w:lineRule="auto"/>
              <w:rPr>
                <w:rFonts w:ascii="Times New Roman" w:eastAsia="Times New Roman" w:hAnsi="Times New Roman"/>
                <w:b/>
                <w:lang w:eastAsia="ar-SA"/>
              </w:rPr>
            </w:pPr>
            <w:r>
              <w:rPr>
                <w:rFonts w:ascii="Times New Roman" w:eastAsia="Times New Roman" w:hAnsi="Times New Roman"/>
                <w:b/>
                <w:lang w:eastAsia="ar-SA"/>
              </w:rPr>
              <w:t>BLISTER</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1.</w:t>
            </w:r>
            <w:r>
              <w:rPr>
                <w:rFonts w:ascii="Times New Roman" w:eastAsia="Times New Roman" w:hAnsi="Times New Roman"/>
                <w:b/>
                <w:lang w:eastAsia="ar-SA"/>
              </w:rPr>
              <w:tab/>
              <w:t>DENOMINAZIONE DEL MEDICINALE</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Clopidogrel TAD 75 mg compresse rivestite con film</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clopidogrel</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eastAsia="ar-SA"/>
              </w:rPr>
            </w:pPr>
            <w:r>
              <w:rPr>
                <w:rFonts w:ascii="Times New Roman" w:eastAsia="Times New Roman" w:hAnsi="Times New Roman"/>
                <w:b/>
                <w:lang w:eastAsia="ar-SA"/>
              </w:rPr>
              <w:t>2.</w:t>
            </w:r>
            <w:r>
              <w:rPr>
                <w:rFonts w:ascii="Times New Roman" w:eastAsia="Times New Roman" w:hAnsi="Times New Roman"/>
                <w:b/>
                <w:lang w:eastAsia="ar-SA"/>
              </w:rPr>
              <w:tab/>
              <w:t>NOME DEL TITOLARE DELL’AUTORIZZAZIONE ALL’IMMISSIONE IN COMMERCIO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TAD Pharma GmbH</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3.</w:t>
            </w:r>
            <w:r>
              <w:rPr>
                <w:rFonts w:ascii="Times New Roman" w:eastAsia="Times New Roman" w:hAnsi="Times New Roman"/>
                <w:b/>
                <w:lang w:eastAsia="ar-SA"/>
              </w:rPr>
              <w:tab/>
              <w:t>DATA DI SCADENZA</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EXP</w:t>
      </w: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4.</w:t>
            </w:r>
            <w:r>
              <w:rPr>
                <w:rFonts w:ascii="Times New Roman" w:eastAsia="Times New Roman" w:hAnsi="Times New Roman"/>
                <w:b/>
                <w:lang w:eastAsia="ar-SA"/>
              </w:rPr>
              <w:tab/>
              <w:t>NUMERO DI LOTTO</w:t>
            </w:r>
          </w:p>
        </w:tc>
      </w:tr>
    </w:tbl>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Lot</w:t>
      </w:r>
    </w:p>
    <w:p>
      <w:pPr>
        <w:widowControl w:val="0"/>
        <w:tabs>
          <w:tab w:val="left" w:pos="709"/>
        </w:tabs>
        <w:suppressAutoHyphens/>
        <w:autoSpaceDE w:val="0"/>
        <w:spacing w:after="0" w:line="240" w:lineRule="auto"/>
        <w:rPr>
          <w:rFonts w:ascii="Times New Roman" w:eastAsia="Times New Roman" w:hAnsi="Times New Roman"/>
          <w:b/>
          <w:lang w:eastAsia="ar-SA"/>
        </w:rPr>
      </w:pPr>
    </w:p>
    <w:p>
      <w:pPr>
        <w:widowControl w:val="0"/>
        <w:tabs>
          <w:tab w:val="left" w:pos="709"/>
        </w:tabs>
        <w:suppressAutoHyphens/>
        <w:autoSpaceDE w:val="0"/>
        <w:spacing w:after="0" w:line="240" w:lineRule="auto"/>
        <w:rPr>
          <w:rFonts w:ascii="Times New Roman" w:eastAsia="Times New Roman" w:hAnsi="Times New Roman"/>
          <w:b/>
          <w:lang w:eastAsia="ar-SA"/>
        </w:rPr>
      </w:pPr>
    </w:p>
    <w:tbl>
      <w:tblPr>
        <w:tblW w:w="0" w:type="auto"/>
        <w:tblInd w:w="-30" w:type="dxa"/>
        <w:tblLayout w:type="fixed"/>
        <w:tblLook w:val="0000" w:firstRow="0" w:lastRow="0" w:firstColumn="0" w:lastColumn="0" w:noHBand="0" w:noVBand="0"/>
      </w:tblPr>
      <w:tblGrid>
        <w:gridCol w:w="9347"/>
      </w:tblGrid>
      <w:tr>
        <w:tc>
          <w:tcPr>
            <w:tcW w:w="9347" w:type="dxa"/>
            <w:tcBorders>
              <w:top w:val="single" w:sz="4" w:space="0" w:color="000000"/>
              <w:left w:val="single" w:sz="4" w:space="0" w:color="000000"/>
              <w:bottom w:val="single" w:sz="4" w:space="0" w:color="000000"/>
              <w:right w:val="single" w:sz="4" w:space="0" w:color="000000"/>
            </w:tcBorders>
          </w:tcPr>
          <w:p>
            <w:pPr>
              <w:widowControl w:val="0"/>
              <w:tabs>
                <w:tab w:val="left" w:pos="587"/>
              </w:tabs>
              <w:suppressAutoHyphens/>
              <w:autoSpaceDE w:val="0"/>
              <w:snapToGrid w:val="0"/>
              <w:spacing w:after="0" w:line="240" w:lineRule="auto"/>
              <w:rPr>
                <w:rFonts w:ascii="Times New Roman" w:eastAsia="Times New Roman" w:hAnsi="Times New Roman"/>
                <w:b/>
                <w:lang w:eastAsia="ar-SA"/>
              </w:rPr>
            </w:pPr>
            <w:r>
              <w:rPr>
                <w:rFonts w:ascii="Times New Roman" w:eastAsia="Times New Roman" w:hAnsi="Times New Roman"/>
                <w:b/>
                <w:lang w:eastAsia="ar-SA"/>
              </w:rPr>
              <w:t>5.</w:t>
            </w:r>
            <w:r>
              <w:rPr>
                <w:rFonts w:ascii="Times New Roman" w:eastAsia="Times New Roman" w:hAnsi="Times New Roman"/>
                <w:b/>
                <w:lang w:eastAsia="ar-SA"/>
              </w:rPr>
              <w:tab/>
              <w:t>ALTRO</w:t>
            </w:r>
          </w:p>
        </w:tc>
      </w:tr>
    </w:tbl>
    <w:p>
      <w:pPr>
        <w:widowControl w:val="0"/>
        <w:suppressAutoHyphens/>
        <w:autoSpaceDE w:val="0"/>
        <w:spacing w:after="0" w:line="240" w:lineRule="auto"/>
        <w:rPr>
          <w:rFonts w:ascii="Times New Roman" w:eastAsia="Times New Roman" w:hAnsi="Times New Roman"/>
          <w:lang w:eastAsia="ar-SA"/>
        </w:rPr>
      </w:pPr>
    </w:p>
    <w:p>
      <w:pPr>
        <w:pageBreakBefore/>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widowControl w:val="0"/>
        <w:suppressAutoHyphens/>
        <w:autoSpaceDE w:val="0"/>
        <w:spacing w:after="0" w:line="240" w:lineRule="auto"/>
        <w:rPr>
          <w:rFonts w:ascii="Times New Roman" w:eastAsia="Times New Roman" w:hAnsi="Times New Roman"/>
          <w:lang w:eastAsia="ar-SA"/>
        </w:rPr>
      </w:pPr>
    </w:p>
    <w:p>
      <w:pPr>
        <w:pStyle w:val="TitleA"/>
      </w:pPr>
      <w:r>
        <w:t>B. FOGLIO ILLUSTRATIVO</w:t>
      </w:r>
    </w:p>
    <w:p>
      <w:pPr>
        <w:pageBreakBefore/>
        <w:widowControl w:val="0"/>
        <w:shd w:val="clear" w:color="auto" w:fill="FFFFFF"/>
        <w:suppressAutoHyphens/>
        <w:autoSpaceDE w:val="0"/>
        <w:spacing w:after="0" w:line="240" w:lineRule="auto"/>
        <w:jc w:val="center"/>
        <w:rPr>
          <w:rFonts w:ascii="Times New Roman" w:eastAsia="Times New Roman" w:hAnsi="Times New Roman"/>
          <w:b/>
          <w:bCs/>
          <w:color w:val="000000"/>
          <w:lang w:eastAsia="ar-SA"/>
        </w:rPr>
      </w:pPr>
      <w:r>
        <w:rPr>
          <w:rFonts w:ascii="Times New Roman" w:eastAsia="Times New Roman" w:hAnsi="Times New Roman"/>
          <w:b/>
          <w:bCs/>
          <w:color w:val="000000"/>
          <w:lang w:eastAsia="ar-SA"/>
        </w:rPr>
        <w:t>Foglio illustrativo: Informazioni per l'utilizzatore</w:t>
      </w:r>
    </w:p>
    <w:p>
      <w:pPr>
        <w:widowControl w:val="0"/>
        <w:shd w:val="clear" w:color="auto" w:fill="FFFFFF"/>
        <w:suppressAutoHyphens/>
        <w:autoSpaceDE w:val="0"/>
        <w:spacing w:after="0" w:line="240" w:lineRule="auto"/>
        <w:jc w:val="center"/>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jc w:val="center"/>
        <w:rPr>
          <w:rFonts w:ascii="Times New Roman" w:eastAsia="Times New Roman" w:hAnsi="Times New Roman"/>
          <w:b/>
          <w:bCs/>
          <w:color w:val="000000"/>
          <w:lang w:eastAsia="ar-SA"/>
        </w:rPr>
      </w:pPr>
      <w:r>
        <w:rPr>
          <w:rFonts w:ascii="Times New Roman" w:eastAsia="Times New Roman" w:hAnsi="Times New Roman"/>
          <w:b/>
          <w:bCs/>
          <w:color w:val="000000"/>
          <w:lang w:eastAsia="ar-SA"/>
        </w:rPr>
        <w:t>Clopidogrel TAD 75 mg compresse rivestite con film</w:t>
      </w:r>
    </w:p>
    <w:p>
      <w:pPr>
        <w:widowControl w:val="0"/>
        <w:shd w:val="clear" w:color="auto" w:fill="FFFFFF"/>
        <w:suppressAutoHyphens/>
        <w:autoSpaceDE w:val="0"/>
        <w:spacing w:after="0" w:line="240" w:lineRule="auto"/>
        <w:jc w:val="center"/>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clopidogrel</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suppressAutoHyphens/>
        <w:spacing w:after="0" w:line="240" w:lineRule="auto"/>
        <w:ind w:left="567" w:hanging="567"/>
        <w:rPr>
          <w:rFonts w:ascii="Times New Roman" w:eastAsia="Times New Roman" w:hAnsi="Times New Roman"/>
        </w:rPr>
      </w:pPr>
      <w:r>
        <w:rPr>
          <w:rFonts w:ascii="Times New Roman" w:eastAsia="Times New Roman" w:hAnsi="Times New Roman"/>
          <w:b/>
        </w:rPr>
        <w:t>Legga attentamente questo foglio prima di prendere questo medicinale perché contiene importanti informazioni per lei.</w:t>
      </w:r>
    </w:p>
    <w:p>
      <w:pPr>
        <w:tabs>
          <w:tab w:val="left" w:pos="540"/>
        </w:tabs>
        <w:suppressAutoHyphens/>
        <w:spacing w:after="0" w:line="240" w:lineRule="auto"/>
        <w:ind w:left="567" w:hanging="567"/>
        <w:rPr>
          <w:rFonts w:ascii="Times New Roman" w:eastAsia="Times New Roman" w:hAnsi="Times New Roman"/>
        </w:rPr>
      </w:pPr>
      <w:r>
        <w:rPr>
          <w:rFonts w:ascii="Times New Roman" w:eastAsia="Times New Roman" w:hAnsi="Times New Roman"/>
          <w:b/>
        </w:rPr>
        <w:t>-</w:t>
      </w:r>
      <w:r>
        <w:rPr>
          <w:rFonts w:ascii="Times New Roman" w:eastAsia="Times New Roman" w:hAnsi="Times New Roman"/>
          <w:b/>
        </w:rPr>
        <w:tab/>
      </w:r>
      <w:r>
        <w:rPr>
          <w:rFonts w:ascii="Times New Roman" w:eastAsia="Times New Roman" w:hAnsi="Times New Roman"/>
        </w:rPr>
        <w:t>Conservi questo foglio. Potrebbe aver bisogno di leggerlo di nuovo.</w:t>
      </w:r>
    </w:p>
    <w:p>
      <w:pPr>
        <w:tabs>
          <w:tab w:val="left" w:pos="540"/>
        </w:tabs>
        <w:suppressAutoHyphens/>
        <w:spacing w:after="0" w:line="240" w:lineRule="auto"/>
        <w:ind w:left="567" w:hanging="567"/>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Se ha qualsiasi dubbio, si rivolga al medico o al farmacista.</w:t>
      </w:r>
    </w:p>
    <w:p>
      <w:pPr>
        <w:tabs>
          <w:tab w:val="left" w:pos="540"/>
        </w:tabs>
        <w:suppressAutoHyphens/>
        <w:spacing w:after="0" w:line="240" w:lineRule="auto"/>
        <w:ind w:left="567" w:hanging="567"/>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Questo medicinale è stato prescritto soltanto per lei. Non lo dia ad altre persone, anche se i sintomi della malattia sono uguali ai suoi, perché potrebbe essere pericoloso.</w:t>
      </w:r>
    </w:p>
    <w:p>
      <w:pPr>
        <w:tabs>
          <w:tab w:val="left" w:pos="540"/>
        </w:tabs>
        <w:suppressAutoHyphens/>
        <w:spacing w:after="0" w:line="240" w:lineRule="auto"/>
        <w:ind w:left="567" w:hanging="567"/>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Se si manifesta un qualsiasi effetto indesiderato, compresi quelli non elencati in questo foglio, si rivolga al medico o al farmacista. Vedere paragrafo 4.</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Contenuto di questo foglio:</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Che cos'è Clopidogrel TAD e a cosa serve</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Cosa deve sapere prima di prendere Clopidogrel TAD</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Come prendere Clopidogrel TAD</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Possibili effetti indesiderati</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Come conservare Clopidogrel TAD</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Contenuto della confezione e altre informazioni</w:t>
      </w:r>
    </w:p>
    <w:p>
      <w:pPr>
        <w:widowControl w:val="0"/>
        <w:shd w:val="clear" w:color="auto" w:fill="FFFFFF"/>
        <w:tabs>
          <w:tab w:val="left" w:pos="538"/>
        </w:tabs>
        <w:autoSpaceDE w:val="0"/>
        <w:spacing w:after="0" w:line="240" w:lineRule="auto"/>
        <w:rPr>
          <w:rFonts w:ascii="Times New Roman" w:eastAsia="Times New Roman" w:hAnsi="Times New Roman"/>
          <w:color w:val="000000"/>
          <w:lang w:eastAsia="ar-SA"/>
        </w:rPr>
      </w:pPr>
    </w:p>
    <w:p>
      <w:pPr>
        <w:widowControl w:val="0"/>
        <w:shd w:val="clear" w:color="auto" w:fill="FFFFFF"/>
        <w:tabs>
          <w:tab w:val="left" w:pos="538"/>
        </w:tabs>
        <w:autoSpaceDE w:val="0"/>
        <w:spacing w:after="0" w:line="240" w:lineRule="auto"/>
        <w:rPr>
          <w:rFonts w:ascii="Times New Roman" w:eastAsia="Times New Roman" w:hAnsi="Times New Roman"/>
          <w:color w:val="000000"/>
          <w:lang w:eastAsia="ar-SA"/>
        </w:rPr>
      </w:pPr>
    </w:p>
    <w:p>
      <w:pPr>
        <w:widowControl w:val="0"/>
        <w:numPr>
          <w:ilvl w:val="0"/>
          <w:numId w:val="5"/>
        </w:numPr>
        <w:shd w:val="clear" w:color="auto" w:fill="FFFFFF"/>
        <w:suppressAutoHyphens/>
        <w:autoSpaceDE w:val="0"/>
        <w:spacing w:after="0" w:line="240" w:lineRule="auto"/>
        <w:ind w:left="567" w:hanging="567"/>
        <w:rPr>
          <w:rFonts w:ascii="Times New Roman" w:eastAsia="Times New Roman" w:hAnsi="Times New Roman"/>
          <w:b/>
          <w:bCs/>
          <w:color w:val="000000"/>
          <w:lang w:eastAsia="ar-SA"/>
        </w:rPr>
      </w:pPr>
      <w:r>
        <w:rPr>
          <w:rFonts w:ascii="Times New Roman" w:eastAsia="Times New Roman" w:hAnsi="Times New Roman"/>
          <w:b/>
          <w:bCs/>
          <w:color w:val="000000"/>
          <w:lang w:eastAsia="ar-SA"/>
        </w:rPr>
        <w:t>Che cos'è Clopidogrel TAD e a cosa serve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Clopidogrel TAD contiene clopidogrel e appartiene ad un gruppo di medicinali chiamati antiaggreganti piastrinici. Le piastrine sono </w:t>
      </w:r>
      <w:r>
        <w:rPr>
          <w:rFonts w:ascii="Times New Roman" w:eastAsia="Times New Roman" w:hAnsi="Times New Roman"/>
          <w:color w:val="000000"/>
          <w:spacing w:val="-1"/>
          <w:lang w:eastAsia="ar-SA"/>
        </w:rPr>
        <w:t xml:space="preserve">elementi del sangue di dimensioni microscopiche e che si aggregano assieme durante la coagulazione del sangue. Impedendo tale aggregazione, i </w:t>
      </w:r>
      <w:r>
        <w:rPr>
          <w:rFonts w:ascii="Times New Roman" w:eastAsia="Times New Roman" w:hAnsi="Times New Roman"/>
          <w:color w:val="000000"/>
          <w:lang w:eastAsia="ar-SA"/>
        </w:rPr>
        <w:t xml:space="preserve">medicinali antiaggreganti piastrinici diminuiscono la possibilità di formazione di coaguli sanguigni </w:t>
      </w:r>
      <w:r>
        <w:rPr>
          <w:rFonts w:ascii="Times New Roman" w:eastAsia="Times New Roman" w:hAnsi="Times New Roman"/>
          <w:color w:val="000000"/>
          <w:spacing w:val="-1"/>
          <w:lang w:eastAsia="ar-SA"/>
        </w:rPr>
        <w:t>(un fenomeno chiamato trombosi).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Clopidogrel TAD</w:t>
      </w:r>
      <w:r>
        <w:rPr>
          <w:rFonts w:ascii="Times New Roman" w:eastAsia="Times New Roman" w:hAnsi="Times New Roman"/>
          <w:color w:val="000000"/>
          <w:spacing w:val="-1"/>
          <w:lang w:eastAsia="ar-SA"/>
        </w:rPr>
        <w:t xml:space="preserve"> viene assunto dagli adulti per prevenire la formazione di coaguli sanguigni (trombi) nei vasi sanguigni (arterie) </w:t>
      </w:r>
      <w:r>
        <w:rPr>
          <w:rFonts w:ascii="Times New Roman" w:eastAsia="Times New Roman" w:hAnsi="Times New Roman"/>
          <w:color w:val="000000"/>
          <w:lang w:eastAsia="ar-SA"/>
        </w:rPr>
        <w:t>induriti, processo conosciuto come aterotrombosi, che può causare eventi di origine aterotrombotica (come ictus, attacco cardiaco, o morte).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lang w:eastAsia="ar-SA"/>
        </w:rPr>
        <w:t>Clopidogrel TAD le è stato prescritto come aiuto nel prevenire la formazione di coaguli sanguigni e per ridurre il</w:t>
      </w:r>
      <w:r>
        <w:rPr>
          <w:rFonts w:ascii="Times New Roman" w:eastAsia="Times New Roman" w:hAnsi="Times New Roman"/>
          <w:lang w:eastAsia="ar-SA"/>
        </w:rPr>
        <w:t xml:space="preserve"> </w:t>
      </w:r>
      <w:r>
        <w:rPr>
          <w:rFonts w:ascii="Times New Roman" w:eastAsia="Times New Roman" w:hAnsi="Times New Roman"/>
          <w:color w:val="000000"/>
          <w:spacing w:val="-1"/>
          <w:lang w:eastAsia="ar-SA"/>
        </w:rPr>
        <w:t>rischio di questi gravi eventi perché:</w:t>
      </w:r>
    </w:p>
    <w:p>
      <w:pPr>
        <w:widowControl w:val="0"/>
        <w:numPr>
          <w:ilvl w:val="0"/>
          <w:numId w:val="3"/>
        </w:numPr>
        <w:shd w:val="clear" w:color="auto" w:fill="FFFFFF"/>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lei presenta una condizione nota come indurimento delle arterie (anche detta aterosclerosi), e</w:t>
      </w:r>
    </w:p>
    <w:p>
      <w:pPr>
        <w:pStyle w:val="EndnoteText"/>
        <w:widowControl/>
        <w:numPr>
          <w:ilvl w:val="0"/>
          <w:numId w:val="38"/>
        </w:numPr>
        <w:ind w:left="567" w:hanging="567"/>
        <w:rPr>
          <w:color w:val="000000"/>
          <w:spacing w:val="-1"/>
          <w:sz w:val="22"/>
          <w:szCs w:val="22"/>
        </w:rPr>
      </w:pPr>
      <w:r>
        <w:rPr>
          <w:color w:val="000000"/>
          <w:spacing w:val="-1"/>
          <w:sz w:val="22"/>
          <w:szCs w:val="22"/>
        </w:rPr>
        <w:t xml:space="preserve">lei ha avuto in precedenza un attacco cardiaco, un ictus o una condizione nota come arteriopatia </w:t>
      </w:r>
      <w:r>
        <w:rPr>
          <w:color w:val="000000"/>
          <w:sz w:val="22"/>
          <w:szCs w:val="22"/>
        </w:rPr>
        <w:t xml:space="preserve">obliterante periferica, </w:t>
      </w:r>
      <w:r>
        <w:rPr>
          <w:color w:val="000000"/>
          <w:spacing w:val="-1"/>
          <w:sz w:val="22"/>
          <w:szCs w:val="22"/>
        </w:rPr>
        <w:t>oppure</w:t>
      </w:r>
    </w:p>
    <w:p>
      <w:pPr>
        <w:pStyle w:val="EndnoteText"/>
        <w:widowControl/>
        <w:ind w:left="567" w:hanging="567"/>
        <w:rPr>
          <w:color w:val="000000"/>
          <w:spacing w:val="-1"/>
          <w:sz w:val="22"/>
          <w:szCs w:val="22"/>
        </w:rPr>
      </w:pPr>
      <w:r>
        <w:rPr>
          <w:color w:val="000000"/>
          <w:spacing w:val="-1"/>
          <w:sz w:val="22"/>
          <w:szCs w:val="22"/>
        </w:rPr>
        <w:t>-</w:t>
      </w:r>
      <w:r>
        <w:rPr>
          <w:color w:val="000000"/>
          <w:spacing w:val="-1"/>
          <w:sz w:val="22"/>
          <w:szCs w:val="22"/>
        </w:rPr>
        <w:tab/>
        <w:t>lei ha sofferto in precedenza di un grave dolore al petto noto come “angina instabile” o “infarto miocardico” (attacco cardiaco). Per curare questa condizione il medico può averle posizionato uno stent nell’arteria ostruita o ristretta per ristabilire il flusso del sangue. Il medico può averle prescritto anche acido acetilsalicilico (una sostanza presente in molti medicinali usati per alleviare il dolore e ridurre la febbre, come anche per prevenire la coagulazione del sangue),</w:t>
      </w:r>
    </w:p>
    <w:p>
      <w:pPr>
        <w:pStyle w:val="EndnoteText"/>
        <w:widowControl/>
        <w:numPr>
          <w:ilvl w:val="0"/>
          <w:numId w:val="3"/>
        </w:numPr>
        <w:tabs>
          <w:tab w:val="left" w:pos="567"/>
        </w:tabs>
        <w:suppressAutoHyphens w:val="0"/>
        <w:autoSpaceDE/>
        <w:ind w:left="567" w:hanging="567"/>
        <w:rPr>
          <w:color w:val="000000"/>
          <w:spacing w:val="-1"/>
          <w:sz w:val="22"/>
          <w:szCs w:val="22"/>
        </w:rPr>
      </w:pPr>
      <w:r>
        <w:rPr>
          <w:color w:val="000000"/>
          <w:spacing w:val="-1"/>
          <w:sz w:val="22"/>
          <w:szCs w:val="22"/>
        </w:rPr>
        <w:t>ha avuto sintomi di ictus che scompaiono in un breve periodo di tempo (noto anche come attacco ischemico transitorio) o ictus ischemico di gravità lieve. Il medico potrebbe prescriverle anche acido acetilsalicilico a partire dalle prime 24 ore.</w:t>
      </w:r>
    </w:p>
    <w:p>
      <w:pPr>
        <w:tabs>
          <w:tab w:val="left" w:pos="567"/>
        </w:tabs>
        <w:spacing w:after="0" w:line="240" w:lineRule="auto"/>
        <w:ind w:left="540"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w:t>
      </w:r>
      <w:r>
        <w:rPr>
          <w:rFonts w:ascii="Times New Roman" w:eastAsia="Times New Roman" w:hAnsi="Times New Roman"/>
          <w:color w:val="000000"/>
          <w:spacing w:val="-1"/>
          <w:lang w:eastAsia="ar-SA"/>
        </w:rPr>
        <w:tab/>
        <w:t>lei ha il battito cardiaco irregolare, una condizione chiamata “fibrillazione atriale”, e non può assumere medicinali noti come “anticoagulanti orali” (antagonisti della vitamina K) che prevengono la formazione di nuovi coaguli e lo sviluppo di quelli già esistenti. Le sarà stato detto che gli “anticoagulanti orali” sono più efficaci dell’acido acetilsalicilico o dell’uso combinato di Clopidogrel TAD e di acido acetilsalicilico nel trattamento di questa condizione. Se lei non può assumere “anticoagulanti orali” e non ha un rischio di sanguinamento maggiore, il medico potrebbe averle prescritto Clopidogrel TAD più acido acetilsalicilico</w:t>
      </w:r>
      <w:r>
        <w:rPr>
          <w:rFonts w:ascii="Times New Roman" w:eastAsia="Times New Roman" w:hAnsi="Times New Roman"/>
          <w:color w:val="000000"/>
          <w:lang w:eastAsia="ar-SA"/>
        </w:rPr>
        <w:t>.</w:t>
      </w:r>
    </w:p>
    <w:p>
      <w:pPr>
        <w:widowControl w:val="0"/>
        <w:shd w:val="clear" w:color="auto" w:fill="FFFFFF"/>
        <w:suppressAutoHyphens/>
        <w:autoSpaceDE w:val="0"/>
        <w:spacing w:after="0" w:line="240" w:lineRule="auto"/>
        <w:ind w:left="567" w:hanging="567"/>
        <w:rPr>
          <w:rFonts w:ascii="Times New Roman" w:eastAsia="Times New Roman" w:hAnsi="Times New Roman"/>
          <w:color w:val="000000"/>
          <w:lang w:eastAsia="ar-SA"/>
        </w:rPr>
      </w:pPr>
    </w:p>
    <w:p>
      <w:pPr>
        <w:widowControl w:val="0"/>
        <w:shd w:val="clear" w:color="auto" w:fill="FFFFFF"/>
        <w:autoSpaceDE w:val="0"/>
        <w:spacing w:after="0" w:line="240" w:lineRule="auto"/>
        <w:rPr>
          <w:rFonts w:ascii="Times New Roman" w:eastAsia="Times New Roman" w:hAnsi="Times New Roman"/>
          <w:color w:val="000000"/>
          <w:lang w:eastAsia="ar-SA"/>
        </w:rPr>
      </w:pPr>
    </w:p>
    <w:p>
      <w:pPr>
        <w:widowControl w:val="0"/>
        <w:numPr>
          <w:ilvl w:val="0"/>
          <w:numId w:val="5"/>
        </w:numPr>
        <w:shd w:val="clear" w:color="auto" w:fill="FFFFFF"/>
        <w:suppressAutoHyphens/>
        <w:autoSpaceDE w:val="0"/>
        <w:spacing w:after="0" w:line="240" w:lineRule="auto"/>
        <w:ind w:left="567" w:hanging="567"/>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Cosa deve sapere prima di prendere Clopidogrel TAD</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 xml:space="preserve">Non prenda </w:t>
      </w:r>
      <w:r>
        <w:rPr>
          <w:rFonts w:ascii="Times New Roman" w:eastAsia="Times New Roman" w:hAnsi="Times New Roman"/>
          <w:b/>
          <w:color w:val="000000"/>
          <w:lang w:eastAsia="ar-SA"/>
        </w:rPr>
        <w:t>Clopidogrel TAD</w:t>
      </w:r>
    </w:p>
    <w:p>
      <w:pPr>
        <w:widowControl w:val="0"/>
        <w:numPr>
          <w:ilvl w:val="0"/>
          <w:numId w:val="10"/>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Se è allergico (ipersensibile) a clopidogrel o ad uno qualsiasi degli eccipienti di questo medicinale (elencati al paragrafo 6).</w:t>
      </w:r>
    </w:p>
    <w:p>
      <w:pPr>
        <w:widowControl w:val="0"/>
        <w:numPr>
          <w:ilvl w:val="0"/>
          <w:numId w:val="10"/>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Se ha un sanguinamento in atto, come ad esempio un'ulcera gastrica o un’emorragia in una zona del cervello.</w:t>
      </w:r>
    </w:p>
    <w:p>
      <w:pPr>
        <w:widowControl w:val="0"/>
        <w:numPr>
          <w:ilvl w:val="0"/>
          <w:numId w:val="10"/>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Se soffre di una grave malattia del fegato.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lang w:eastAsia="ar-SA"/>
        </w:rPr>
      </w:pPr>
      <w:r>
        <w:rPr>
          <w:rFonts w:ascii="Times New Roman" w:eastAsia="Times New Roman" w:hAnsi="Times New Roman"/>
          <w:color w:val="000000"/>
          <w:spacing w:val="-1"/>
          <w:lang w:eastAsia="ar-SA"/>
        </w:rPr>
        <w:t xml:space="preserve">Se ritiene che uno di questi casi la riguardi, o se ci fossero dubbi in proposito, consulti il medico prima di usare </w:t>
      </w:r>
      <w:r>
        <w:rPr>
          <w:rFonts w:ascii="Times New Roman" w:eastAsia="Times New Roman" w:hAnsi="Times New Roman"/>
          <w:color w:val="000000"/>
          <w:lang w:eastAsia="ar-SA"/>
        </w:rPr>
        <w:t>Clopidogrel TAD</w:t>
      </w:r>
      <w:r>
        <w:rPr>
          <w:rFonts w:ascii="Times New Roman" w:eastAsia="Times New Roman" w:hAnsi="Times New Roman"/>
          <w:color w:val="000000"/>
          <w:spacing w:val="-1"/>
          <w:lang w:eastAsia="ar-SA"/>
        </w:rPr>
        <w:t>.</w:t>
      </w:r>
    </w:p>
    <w:p>
      <w:pPr>
        <w:widowControl w:val="0"/>
        <w:shd w:val="clear" w:color="auto" w:fill="FFFFFF"/>
        <w:suppressAutoHyphens/>
        <w:autoSpaceDE w:val="0"/>
        <w:spacing w:after="0" w:line="240" w:lineRule="auto"/>
        <w:rPr>
          <w:rFonts w:ascii="Times New Roman" w:eastAsia="Times New Roman" w:hAnsi="Times New Roman"/>
          <w:lang w:eastAsia="ar-SA"/>
        </w:rPr>
      </w:pPr>
    </w:p>
    <w:p>
      <w:pPr>
        <w:spacing w:after="0" w:line="240" w:lineRule="auto"/>
        <w:rPr>
          <w:rFonts w:ascii="Times New Roman" w:hAnsi="Times New Roman"/>
          <w:b/>
        </w:rPr>
      </w:pPr>
      <w:r>
        <w:rPr>
          <w:rFonts w:ascii="Times New Roman" w:hAnsi="Times New Roman"/>
          <w:b/>
          <w:bCs/>
        </w:rPr>
        <w:t>Avvertenze e precauzioni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In presenza di una delle situazioni menzionate qui sotto, informi il medico prima di prendere Clopidogrel TAD:</w:t>
      </w:r>
    </w:p>
    <w:p>
      <w:pPr>
        <w:widowControl w:val="0"/>
        <w:numPr>
          <w:ilvl w:val="0"/>
          <w:numId w:val="7"/>
        </w:numPr>
        <w:shd w:val="clear" w:color="auto" w:fill="FFFFFF"/>
        <w:tabs>
          <w:tab w:val="clear" w:pos="360"/>
          <w:tab w:val="num" w:pos="567"/>
        </w:tabs>
        <w:suppressAutoHyphens/>
        <w:autoSpaceDE w:val="0"/>
        <w:spacing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se ha un rischio di emorragia come:</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una condizione medica che la pone a rischio di sanguinamento interno (come un'ulcera gastrica)</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un disturbo del sangue che la rende soggetto a sanguinamento interno (sanguinamento </w:t>
      </w:r>
      <w:r>
        <w:rPr>
          <w:rFonts w:ascii="Times New Roman" w:eastAsia="Times New Roman" w:hAnsi="Times New Roman"/>
          <w:color w:val="000000"/>
          <w:lang w:eastAsia="ar-SA"/>
        </w:rPr>
        <w:t>all'interno di qualunque tessuto, organo o articolazione del corpo)</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eastAsia="ar-SA"/>
        </w:rPr>
      </w:pPr>
      <w:r>
        <w:rPr>
          <w:rFonts w:ascii="Times New Roman" w:eastAsia="Times New Roman" w:hAnsi="Times New Roman"/>
          <w:color w:val="000000"/>
          <w:lang w:eastAsia="ar-SA"/>
        </w:rPr>
        <w:t>una ferita recente grave</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eastAsia="ar-SA"/>
        </w:rPr>
      </w:pPr>
      <w:r>
        <w:rPr>
          <w:rFonts w:ascii="Times New Roman" w:eastAsia="Times New Roman" w:hAnsi="Times New Roman"/>
          <w:color w:val="000000"/>
          <w:lang w:eastAsia="ar-SA"/>
        </w:rPr>
        <w:t>un intervento chirurgico recente (compreso un intervento ai denti)</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un intervento chirurgico (compreso un intervento ai denti) in programma nei successivi sette giorni</w:t>
      </w:r>
    </w:p>
    <w:p>
      <w:pPr>
        <w:widowControl w:val="0"/>
        <w:numPr>
          <w:ilvl w:val="0"/>
          <w:numId w:val="8"/>
        </w:numPr>
        <w:shd w:val="clear" w:color="auto" w:fill="FFFFFF"/>
        <w:tabs>
          <w:tab w:val="clear" w:pos="360"/>
          <w:tab w:val="left" w:pos="567"/>
          <w:tab w:val="left" w:pos="1701"/>
        </w:tabs>
        <w:suppressAutoHyphens/>
        <w:autoSpaceDE w:val="0"/>
        <w:spacing w:before="34"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lang w:eastAsia="ar-SA"/>
        </w:rPr>
        <w:t xml:space="preserve">se ha avuto un coagulo in un'arteria del cervello (ictus ischemico) che si è verificato negli ultimi </w:t>
      </w:r>
      <w:r>
        <w:rPr>
          <w:rFonts w:ascii="Times New Roman" w:eastAsia="Times New Roman" w:hAnsi="Times New Roman"/>
          <w:color w:val="000000"/>
          <w:spacing w:val="-1"/>
          <w:lang w:eastAsia="ar-SA"/>
        </w:rPr>
        <w:t>sette giorni</w:t>
      </w:r>
    </w:p>
    <w:p>
      <w:pPr>
        <w:widowControl w:val="0"/>
        <w:numPr>
          <w:ilvl w:val="0"/>
          <w:numId w:val="8"/>
        </w:numPr>
        <w:shd w:val="clear" w:color="auto" w:fill="FFFFFF"/>
        <w:tabs>
          <w:tab w:val="clear" w:pos="360"/>
          <w:tab w:val="left" w:pos="567"/>
          <w:tab w:val="left" w:pos="1701"/>
        </w:tabs>
        <w:suppressAutoHyphens/>
        <w:autoSpaceDE w:val="0"/>
        <w:spacing w:before="34"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lang w:eastAsia="ar-SA"/>
        </w:rPr>
        <w:t>se ha malattie del rene o del fegato</w:t>
      </w:r>
    </w:p>
    <w:p>
      <w:pPr>
        <w:widowControl w:val="0"/>
        <w:numPr>
          <w:ilvl w:val="0"/>
          <w:numId w:val="8"/>
        </w:numPr>
        <w:tabs>
          <w:tab w:val="clear" w:pos="360"/>
          <w:tab w:val="num" w:pos="567"/>
        </w:tabs>
        <w:suppressAutoHyphens/>
        <w:autoSpaceDE w:val="0"/>
        <w:spacing w:after="0" w:line="240" w:lineRule="auto"/>
        <w:ind w:left="567" w:hanging="567"/>
        <w:rPr>
          <w:rFonts w:ascii="Times New Roman" w:eastAsia="Times New Roman" w:hAnsi="Times New Roman"/>
          <w:lang w:eastAsia="ar-SA"/>
        </w:rPr>
      </w:pPr>
      <w:r>
        <w:rPr>
          <w:rFonts w:ascii="Times New Roman" w:eastAsia="Times New Roman" w:hAnsi="Times New Roman"/>
          <w:lang w:eastAsia="ar-SA"/>
        </w:rPr>
        <w:t>se ha avuto un’allergia o una reazione a qualsiasi medicinale usato per trattare la sua malattia</w:t>
      </w:r>
    </w:p>
    <w:p>
      <w:pPr>
        <w:widowControl w:val="0"/>
        <w:numPr>
          <w:ilvl w:val="0"/>
          <w:numId w:val="8"/>
        </w:numPr>
        <w:shd w:val="clear" w:color="auto" w:fill="FFFFFF"/>
        <w:tabs>
          <w:tab w:val="clear" w:pos="360"/>
          <w:tab w:val="left" w:pos="567"/>
          <w:tab w:val="left" w:pos="1701"/>
        </w:tabs>
        <w:autoSpaceDE w:val="0"/>
        <w:spacing w:before="34"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se ha avuto in passato un’emorragia cerebrale di origine non traumatica.</w:t>
      </w:r>
    </w:p>
    <w:p>
      <w:pPr>
        <w:widowControl w:val="0"/>
        <w:shd w:val="clear" w:color="auto" w:fill="FFFFFF"/>
        <w:tabs>
          <w:tab w:val="left" w:pos="622"/>
        </w:tabs>
        <w:autoSpaceDE w:val="0"/>
        <w:spacing w:before="14" w:after="0" w:line="240" w:lineRule="auto"/>
        <w:ind w:left="14"/>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Mentre sta prendendo </w:t>
      </w:r>
      <w:r>
        <w:rPr>
          <w:rFonts w:ascii="Times New Roman" w:eastAsia="Times New Roman" w:hAnsi="Times New Roman"/>
          <w:color w:val="000000"/>
          <w:lang w:eastAsia="ar-SA"/>
        </w:rPr>
        <w:t>Clopidogrel TAD</w:t>
      </w:r>
      <w:r>
        <w:rPr>
          <w:rFonts w:ascii="Times New Roman" w:eastAsia="Times New Roman" w:hAnsi="Times New Roman"/>
          <w:color w:val="000000"/>
          <w:spacing w:val="-1"/>
          <w:lang w:eastAsia="ar-SA"/>
        </w:rPr>
        <w:t>:</w:t>
      </w:r>
    </w:p>
    <w:p>
      <w:pPr>
        <w:widowControl w:val="0"/>
        <w:numPr>
          <w:ilvl w:val="0"/>
          <w:numId w:val="11"/>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Deve informare il medico nel caso in cui lei debba essere sottoposto ad intervento chirurgico </w:t>
      </w:r>
      <w:r>
        <w:rPr>
          <w:rFonts w:ascii="Times New Roman" w:eastAsia="Times New Roman" w:hAnsi="Times New Roman"/>
          <w:color w:val="000000"/>
          <w:lang w:eastAsia="ar-SA"/>
        </w:rPr>
        <w:t>(compreso un intervento ai denti)</w:t>
      </w:r>
    </w:p>
    <w:p>
      <w:pPr>
        <w:widowControl w:val="0"/>
        <w:numPr>
          <w:ilvl w:val="0"/>
          <w:numId w:val="11"/>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 xml:space="preserve">Deve anche informare immediatamente il medico se sviluppa una condizione medica </w:t>
      </w:r>
      <w:r>
        <w:rPr>
          <w:rFonts w:ascii="Times New Roman" w:eastAsia="Times New Roman" w:hAnsi="Times New Roman"/>
          <w:lang w:eastAsia="ar-SA"/>
        </w:rPr>
        <w:t xml:space="preserve">(anche nota come Porpora Trombotica Trombocitopenica o PTT) </w:t>
      </w:r>
      <w:r>
        <w:rPr>
          <w:rFonts w:ascii="Times New Roman" w:eastAsia="Times New Roman" w:hAnsi="Times New Roman"/>
          <w:color w:val="000000"/>
          <w:lang w:eastAsia="ar-SA"/>
        </w:rPr>
        <w:t xml:space="preserve">che include </w:t>
      </w:r>
      <w:r>
        <w:rPr>
          <w:rFonts w:ascii="Times New Roman" w:eastAsia="Times New Roman" w:hAnsi="Times New Roman"/>
          <w:color w:val="000000"/>
          <w:spacing w:val="-1"/>
          <w:lang w:eastAsia="ar-SA"/>
        </w:rPr>
        <w:t xml:space="preserve">febbre e contusioni sotto la pelle che appaiono come puntini rossi, con o senza affaticamento </w:t>
      </w:r>
      <w:r>
        <w:rPr>
          <w:rFonts w:ascii="Times New Roman" w:eastAsia="Times New Roman" w:hAnsi="Times New Roman"/>
          <w:color w:val="000000"/>
          <w:lang w:eastAsia="ar-SA"/>
        </w:rPr>
        <w:t xml:space="preserve">estremo inspiegato, confusione, ingiallimento della pelle o degli occhi (ittero) (vedere </w:t>
      </w:r>
      <w:r>
        <w:rPr>
          <w:rFonts w:ascii="Times New Roman" w:eastAsia="Times New Roman" w:hAnsi="Times New Roman"/>
          <w:lang w:eastAsia="ar-SA"/>
        </w:rPr>
        <w:t xml:space="preserve">paragrafo 4 </w:t>
      </w:r>
      <w:r>
        <w:rPr>
          <w:rFonts w:ascii="Times New Roman" w:eastAsia="Times New Roman" w:hAnsi="Times New Roman"/>
          <w:color w:val="000000"/>
          <w:lang w:eastAsia="ar-SA"/>
        </w:rPr>
        <w:t>"Possibili effetti indesiderati")</w:t>
      </w:r>
    </w:p>
    <w:p>
      <w:pPr>
        <w:widowControl w:val="0"/>
        <w:numPr>
          <w:ilvl w:val="0"/>
          <w:numId w:val="11"/>
        </w:numPr>
        <w:shd w:val="clear" w:color="auto" w:fill="FFFFFF"/>
        <w:tabs>
          <w:tab w:val="left" w:pos="567"/>
          <w:tab w:val="left" w:pos="3342"/>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 xml:space="preserve">Se si taglia o si ferisce, potrebbe essere necessario un tempo più lungo del solito perché il </w:t>
      </w:r>
      <w:r>
        <w:rPr>
          <w:rFonts w:ascii="Times New Roman" w:eastAsia="Times New Roman" w:hAnsi="Times New Roman"/>
          <w:color w:val="000000"/>
          <w:spacing w:val="-1"/>
          <w:lang w:eastAsia="ar-SA"/>
        </w:rPr>
        <w:t xml:space="preserve">sanguinamento si fermi. Questo è dovuto al modo in cui agisce il medicinale poiché impedisce </w:t>
      </w:r>
      <w:r>
        <w:rPr>
          <w:rFonts w:ascii="Times New Roman" w:eastAsia="Times New Roman" w:hAnsi="Times New Roman"/>
          <w:color w:val="000000"/>
          <w:lang w:eastAsia="ar-SA"/>
        </w:rPr>
        <w:t xml:space="preserve">la formazione di coaguli sanguigni. Per tagli e ferite minori, come tagliarsi da soli o farsi la </w:t>
      </w:r>
      <w:r>
        <w:rPr>
          <w:rFonts w:ascii="Times New Roman" w:eastAsia="Times New Roman" w:hAnsi="Times New Roman"/>
          <w:color w:val="000000"/>
          <w:spacing w:val="-1"/>
          <w:lang w:eastAsia="ar-SA"/>
        </w:rPr>
        <w:t xml:space="preserve">barba, questo solitamente non crea problemi. Tuttavia, se è preoccupato per il sanguinamento, </w:t>
      </w:r>
      <w:r>
        <w:rPr>
          <w:rFonts w:ascii="Times New Roman" w:eastAsia="Times New Roman" w:hAnsi="Times New Roman"/>
          <w:color w:val="000000"/>
          <w:lang w:eastAsia="ar-SA"/>
        </w:rPr>
        <w:t xml:space="preserve">contatti subito il medico (vedere </w:t>
      </w:r>
      <w:r>
        <w:rPr>
          <w:rFonts w:ascii="Times New Roman" w:eastAsia="Times New Roman" w:hAnsi="Times New Roman"/>
          <w:lang w:eastAsia="ar-SA"/>
        </w:rPr>
        <w:t xml:space="preserve">paragrafo 4 </w:t>
      </w:r>
      <w:r>
        <w:rPr>
          <w:rFonts w:ascii="Times New Roman" w:eastAsia="Times New Roman" w:hAnsi="Times New Roman"/>
          <w:color w:val="000000"/>
          <w:lang w:eastAsia="ar-SA"/>
        </w:rPr>
        <w:t>"Possibili effetti indesiderati")</w:t>
      </w:r>
    </w:p>
    <w:p>
      <w:pPr>
        <w:widowControl w:val="0"/>
        <w:numPr>
          <w:ilvl w:val="0"/>
          <w:numId w:val="11"/>
        </w:numPr>
        <w:shd w:val="clear" w:color="auto" w:fill="FFFFFF"/>
        <w:tabs>
          <w:tab w:val="left" w:pos="567"/>
          <w:tab w:val="left" w:pos="1728"/>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Il medico potrebbe prescriverle le analisi del sangue.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spacing w:after="0" w:line="240" w:lineRule="auto"/>
        <w:rPr>
          <w:rFonts w:ascii="Times New Roman" w:eastAsia="Times New Roman" w:hAnsi="Times New Roman"/>
          <w:b/>
        </w:rPr>
      </w:pPr>
      <w:r>
        <w:rPr>
          <w:rFonts w:ascii="Times New Roman" w:eastAsia="Times New Roman" w:hAnsi="Times New Roman"/>
          <w:b/>
        </w:rPr>
        <w:t>Bambini e adolescenti</w:t>
      </w:r>
    </w:p>
    <w:p>
      <w:pPr>
        <w:widowControl w:val="0"/>
        <w:shd w:val="clear" w:color="auto" w:fill="FFFFFF"/>
        <w:suppressAutoHyphens/>
        <w:autoSpaceDE w:val="0"/>
        <w:spacing w:after="0" w:line="240" w:lineRule="auto"/>
        <w:rPr>
          <w:rFonts w:ascii="Times New Roman" w:eastAsia="Times New Roman" w:hAnsi="Times New Roman"/>
          <w:bCs/>
          <w:color w:val="000000"/>
          <w:lang w:eastAsia="ar-SA"/>
        </w:rPr>
      </w:pPr>
      <w:r>
        <w:rPr>
          <w:rFonts w:ascii="Times New Roman" w:eastAsia="Times New Roman" w:hAnsi="Times New Roman"/>
          <w:bCs/>
          <w:color w:val="000000"/>
          <w:lang w:eastAsia="ar-SA"/>
        </w:rPr>
        <w:t>Non somministrare questo medicinale ai bambini perché non è efficace.</w:t>
      </w:r>
    </w:p>
    <w:p>
      <w:pPr>
        <w:widowControl w:val="0"/>
        <w:shd w:val="clear" w:color="auto" w:fill="FFFFFF"/>
        <w:suppressAutoHyphens/>
        <w:autoSpaceDE w:val="0"/>
        <w:spacing w:after="0" w:line="240" w:lineRule="auto"/>
        <w:rPr>
          <w:rFonts w:ascii="Times New Roman" w:eastAsia="Times New Roman" w:hAnsi="Times New Roman"/>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Altri medicinali e Clopidogrel TAD:</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Informi il medico o il farmacista se sta assumendo, ha recentemente assunto o potrebbe assumere qualsiasi altro </w:t>
      </w:r>
      <w:r>
        <w:rPr>
          <w:rFonts w:ascii="Times New Roman" w:eastAsia="Times New Roman" w:hAnsi="Times New Roman"/>
          <w:color w:val="000000"/>
          <w:lang w:eastAsia="ar-SA"/>
        </w:rPr>
        <w:t>medicinale, compresi quelli senza prescrizione medica.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Alcuni medicinali possono influenzare l'uso di Clopidogrel TAD o viceversa.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Deve informare in modo preciso il medico se sta prendendo:</w:t>
      </w:r>
    </w:p>
    <w:p>
      <w:pPr>
        <w:widowControl w:val="0"/>
        <w:numPr>
          <w:ilvl w:val="0"/>
          <w:numId w:val="24"/>
        </w:numPr>
        <w:suppressAutoHyphens/>
        <w:autoSpaceDE w:val="0"/>
        <w:spacing w:after="0" w:line="240" w:lineRule="auto"/>
        <w:ind w:left="567" w:hanging="567"/>
        <w:rPr>
          <w:rFonts w:ascii="Times New Roman" w:eastAsia="Times New Roman" w:hAnsi="Times New Roman"/>
          <w:lang w:eastAsia="ar-SA"/>
        </w:rPr>
      </w:pPr>
      <w:r>
        <w:rPr>
          <w:rFonts w:ascii="Times New Roman" w:hAnsi="Times New Roman"/>
        </w:rPr>
        <w:t>medicinali che possono aumentare il suo rischio di sanguinamento come:</w:t>
      </w:r>
    </w:p>
    <w:p>
      <w:pPr>
        <w:widowControl w:val="0"/>
        <w:numPr>
          <w:ilvl w:val="0"/>
          <w:numId w:val="34"/>
        </w:numPr>
        <w:tabs>
          <w:tab w:val="clear" w:pos="360"/>
          <w:tab w:val="num" w:pos="993"/>
        </w:tabs>
        <w:suppressAutoHyphens/>
        <w:autoSpaceDE w:val="0"/>
        <w:spacing w:after="0" w:line="240" w:lineRule="auto"/>
        <w:ind w:left="426" w:firstLine="0"/>
        <w:rPr>
          <w:rFonts w:ascii="Times New Roman" w:eastAsia="Times New Roman" w:hAnsi="Times New Roman"/>
          <w:lang w:eastAsia="ar-SA"/>
        </w:rPr>
      </w:pPr>
      <w:r>
        <w:rPr>
          <w:rFonts w:ascii="Times New Roman" w:eastAsia="Times New Roman" w:hAnsi="Times New Roman"/>
          <w:lang w:eastAsia="ar-SA"/>
        </w:rPr>
        <w:t>anticoagulanti orali, medicinali usati per ridurre la coagulazione del sangue,</w:t>
      </w:r>
    </w:p>
    <w:p>
      <w:pPr>
        <w:widowControl w:val="0"/>
        <w:numPr>
          <w:ilvl w:val="0"/>
          <w:numId w:val="34"/>
        </w:numPr>
        <w:tabs>
          <w:tab w:val="clear" w:pos="360"/>
          <w:tab w:val="left" w:pos="993"/>
        </w:tabs>
        <w:suppressAutoHyphens/>
        <w:autoSpaceDE w:val="0"/>
        <w:spacing w:after="0" w:line="240" w:lineRule="auto"/>
        <w:ind w:left="426" w:firstLine="0"/>
        <w:rPr>
          <w:rFonts w:ascii="Times New Roman" w:eastAsia="Times New Roman" w:hAnsi="Times New Roman"/>
          <w:lang w:eastAsia="ar-SA"/>
        </w:rPr>
      </w:pPr>
      <w:r>
        <w:rPr>
          <w:rFonts w:ascii="Times New Roman" w:eastAsia="Times New Roman" w:hAnsi="Times New Roman"/>
          <w:lang w:eastAsia="ar-SA"/>
        </w:rPr>
        <w:t xml:space="preserve">un medicinale antinfiammatorio non steroideo, generalmente usato per trattare gli stati </w:t>
      </w:r>
      <w:r>
        <w:rPr>
          <w:rFonts w:ascii="Times New Roman" w:eastAsia="Times New Roman" w:hAnsi="Times New Roman"/>
          <w:lang w:eastAsia="ar-SA"/>
        </w:rPr>
        <w:tab/>
        <w:t>dolorosi e/o infiammatori di muscoli o articolazioni,</w:t>
      </w:r>
    </w:p>
    <w:p>
      <w:pPr>
        <w:widowControl w:val="0"/>
        <w:numPr>
          <w:ilvl w:val="0"/>
          <w:numId w:val="34"/>
        </w:numPr>
        <w:tabs>
          <w:tab w:val="clear" w:pos="360"/>
          <w:tab w:val="num" w:pos="993"/>
        </w:tabs>
        <w:suppressAutoHyphens/>
        <w:autoSpaceDE w:val="0"/>
        <w:spacing w:after="0" w:line="240" w:lineRule="auto"/>
        <w:ind w:left="426" w:firstLine="0"/>
        <w:rPr>
          <w:rFonts w:ascii="Times New Roman" w:eastAsia="Times New Roman" w:hAnsi="Times New Roman"/>
          <w:lang w:eastAsia="ar-SA"/>
        </w:rPr>
      </w:pPr>
      <w:r>
        <w:rPr>
          <w:rFonts w:ascii="Times New Roman" w:eastAsia="Times New Roman" w:hAnsi="Times New Roman"/>
          <w:lang w:eastAsia="ar-SA"/>
        </w:rPr>
        <w:t>eparina o qualsiasi altro farmaco iniettabile usato per ridurre la coagulazione sanguigna,</w:t>
      </w:r>
    </w:p>
    <w:p>
      <w:pPr>
        <w:widowControl w:val="0"/>
        <w:numPr>
          <w:ilvl w:val="0"/>
          <w:numId w:val="34"/>
        </w:numPr>
        <w:tabs>
          <w:tab w:val="clear" w:pos="360"/>
          <w:tab w:val="num" w:pos="993"/>
        </w:tabs>
        <w:suppressAutoHyphens/>
        <w:autoSpaceDE w:val="0"/>
        <w:spacing w:after="0" w:line="240" w:lineRule="auto"/>
        <w:ind w:left="426" w:firstLine="0"/>
        <w:rPr>
          <w:rFonts w:ascii="Times New Roman" w:eastAsia="Times New Roman" w:hAnsi="Times New Roman"/>
          <w:lang w:eastAsia="ar-SA"/>
        </w:rPr>
      </w:pPr>
      <w:r>
        <w:rPr>
          <w:rFonts w:ascii="Times New Roman" w:eastAsia="Times New Roman" w:hAnsi="Times New Roman"/>
          <w:lang w:eastAsia="ar-SA"/>
        </w:rPr>
        <w:t>ticlopidina, o altri agenti antipiastrinici,</w:t>
      </w:r>
    </w:p>
    <w:p>
      <w:pPr>
        <w:numPr>
          <w:ilvl w:val="0"/>
          <w:numId w:val="34"/>
        </w:numPr>
        <w:tabs>
          <w:tab w:val="clear" w:pos="360"/>
          <w:tab w:val="num" w:pos="993"/>
        </w:tabs>
        <w:spacing w:after="0" w:line="240" w:lineRule="auto"/>
        <w:ind w:left="426" w:firstLine="0"/>
        <w:rPr>
          <w:rFonts w:ascii="Times New Roman" w:hAnsi="Times New Roman"/>
        </w:rPr>
      </w:pPr>
      <w:r>
        <w:rPr>
          <w:rFonts w:ascii="Times New Roman" w:hAnsi="Times New Roman"/>
        </w:rPr>
        <w:t xml:space="preserve">un inibitore selettivo della ricaptazione della serotonina (compreso ma non limitato a </w:t>
      </w:r>
      <w:r>
        <w:rPr>
          <w:rFonts w:ascii="Times New Roman" w:hAnsi="Times New Roman"/>
        </w:rPr>
        <w:tab/>
        <w:t>fluoxetina o fluvoxamina), medicinali normalmente utilizzati per trattare la depressione,</w:t>
      </w:r>
    </w:p>
    <w:p>
      <w:pPr>
        <w:numPr>
          <w:ilvl w:val="0"/>
          <w:numId w:val="34"/>
        </w:numPr>
        <w:tabs>
          <w:tab w:val="clear" w:pos="360"/>
          <w:tab w:val="num" w:pos="993"/>
        </w:tabs>
        <w:spacing w:after="0" w:line="240" w:lineRule="auto"/>
        <w:ind w:left="426" w:firstLine="0"/>
        <w:rPr>
          <w:rFonts w:ascii="Times New Roman" w:hAnsi="Times New Roman"/>
        </w:rPr>
      </w:pPr>
      <w:r>
        <w:rPr>
          <w:rFonts w:ascii="Times New Roman" w:hAnsi="Times New Roman"/>
        </w:rPr>
        <w:t>rifampicina (usata per trattare infezioni gravi),</w:t>
      </w:r>
    </w:p>
    <w:p>
      <w:pPr>
        <w:widowControl w:val="0"/>
        <w:numPr>
          <w:ilvl w:val="0"/>
          <w:numId w:val="6"/>
        </w:numPr>
        <w:tabs>
          <w:tab w:val="num" w:pos="-1560"/>
        </w:tabs>
        <w:suppressAutoHyphens/>
        <w:autoSpaceDE w:val="0"/>
        <w:spacing w:after="0" w:line="240" w:lineRule="auto"/>
        <w:ind w:left="567" w:hanging="567"/>
        <w:rPr>
          <w:rFonts w:ascii="Times New Roman" w:eastAsia="Times New Roman" w:hAnsi="Times New Roman"/>
          <w:lang w:eastAsia="ar-SA"/>
        </w:rPr>
      </w:pPr>
      <w:r>
        <w:rPr>
          <w:rFonts w:ascii="Times New Roman" w:eastAsia="Times New Roman" w:hAnsi="Times New Roman"/>
          <w:lang w:eastAsia="ar-SA"/>
        </w:rPr>
        <w:t xml:space="preserve">omeprazolo o esomeprazolo, medicinali usati per trattare problemi di stomaco, </w:t>
      </w:r>
    </w:p>
    <w:p>
      <w:pPr>
        <w:widowControl w:val="0"/>
        <w:numPr>
          <w:ilvl w:val="0"/>
          <w:numId w:val="6"/>
        </w:numPr>
        <w:tabs>
          <w:tab w:val="num" w:pos="-1560"/>
        </w:tabs>
        <w:suppressAutoHyphens/>
        <w:autoSpaceDE w:val="0"/>
        <w:spacing w:after="0" w:line="240" w:lineRule="auto"/>
        <w:ind w:left="567" w:hanging="567"/>
        <w:rPr>
          <w:rFonts w:ascii="Times New Roman" w:eastAsia="Times New Roman" w:hAnsi="Times New Roman"/>
          <w:lang w:eastAsia="ar-SA"/>
        </w:rPr>
      </w:pPr>
      <w:r>
        <w:rPr>
          <w:rFonts w:ascii="Times New Roman" w:eastAsia="Times New Roman" w:hAnsi="Times New Roman"/>
          <w:lang w:eastAsia="ar-SA"/>
        </w:rPr>
        <w:t>fluconazolo o voriconazolo medicinali usati per trattare le infezioni fungine,</w:t>
      </w:r>
    </w:p>
    <w:p>
      <w:pPr>
        <w:widowControl w:val="0"/>
        <w:numPr>
          <w:ilvl w:val="0"/>
          <w:numId w:val="6"/>
        </w:numPr>
        <w:suppressAutoHyphens/>
        <w:autoSpaceDE w:val="0"/>
        <w:spacing w:after="0" w:line="240" w:lineRule="auto"/>
        <w:ind w:left="567" w:hanging="567"/>
        <w:rPr>
          <w:rFonts w:ascii="Times New Roman" w:eastAsia="Times New Roman" w:hAnsi="Times New Roman"/>
          <w:lang w:eastAsia="ar-SA"/>
        </w:rPr>
      </w:pPr>
      <w:r>
        <w:rPr>
          <w:rFonts w:ascii="Times New Roman" w:eastAsia="Times New Roman" w:hAnsi="Times New Roman"/>
          <w:lang w:eastAsia="ar-SA"/>
        </w:rPr>
        <w:t>efavirenz o altri medicinali anti-retrovirali (usato per il trattamento dell’infezione da HIV),</w:t>
      </w:r>
    </w:p>
    <w:p>
      <w:pPr>
        <w:widowControl w:val="0"/>
        <w:numPr>
          <w:ilvl w:val="0"/>
          <w:numId w:val="6"/>
        </w:numPr>
        <w:tabs>
          <w:tab w:val="num" w:pos="-1560"/>
        </w:tabs>
        <w:suppressAutoHyphens/>
        <w:autoSpaceDE w:val="0"/>
        <w:spacing w:after="0" w:line="240" w:lineRule="auto"/>
        <w:ind w:left="567" w:hanging="567"/>
        <w:rPr>
          <w:rFonts w:ascii="Times New Roman" w:eastAsia="Times New Roman" w:hAnsi="Times New Roman"/>
          <w:lang w:eastAsia="ar-SA"/>
        </w:rPr>
      </w:pPr>
      <w:r>
        <w:rPr>
          <w:rFonts w:ascii="Times New Roman" w:eastAsia="Times New Roman" w:hAnsi="Times New Roman"/>
          <w:lang w:eastAsia="ar-SA"/>
        </w:rPr>
        <w:t>carbamazepina un medicinale usato per trattare alcune forme di epilessia,</w:t>
      </w:r>
    </w:p>
    <w:p>
      <w:pPr>
        <w:numPr>
          <w:ilvl w:val="0"/>
          <w:numId w:val="24"/>
        </w:numPr>
        <w:tabs>
          <w:tab w:val="clear" w:pos="360"/>
          <w:tab w:val="num" w:pos="567"/>
        </w:tabs>
        <w:spacing w:after="0" w:line="240" w:lineRule="auto"/>
        <w:ind w:left="567" w:hanging="567"/>
        <w:rPr>
          <w:rFonts w:ascii="Times New Roman" w:hAnsi="Times New Roman"/>
        </w:rPr>
      </w:pPr>
      <w:r>
        <w:rPr>
          <w:rFonts w:ascii="Times New Roman" w:hAnsi="Times New Roman"/>
        </w:rPr>
        <w:t>moclobemide, medicinale usato per trattare la depressione,</w:t>
      </w:r>
    </w:p>
    <w:p>
      <w:pPr>
        <w:widowControl w:val="0"/>
        <w:numPr>
          <w:ilvl w:val="0"/>
          <w:numId w:val="24"/>
        </w:numPr>
        <w:tabs>
          <w:tab w:val="clear" w:pos="360"/>
          <w:tab w:val="num" w:pos="-1560"/>
          <w:tab w:val="num" w:pos="567"/>
        </w:tabs>
        <w:suppressAutoHyphens/>
        <w:autoSpaceDE w:val="0"/>
        <w:spacing w:after="0" w:line="240" w:lineRule="auto"/>
        <w:ind w:left="567" w:hanging="567"/>
        <w:rPr>
          <w:rFonts w:ascii="Times New Roman" w:eastAsia="Times New Roman" w:hAnsi="Times New Roman"/>
          <w:lang w:eastAsia="ar-SA"/>
        </w:rPr>
      </w:pPr>
      <w:r>
        <w:rPr>
          <w:rFonts w:ascii="Times New Roman" w:eastAsia="Times New Roman" w:hAnsi="Times New Roman"/>
          <w:lang w:eastAsia="ar-SA"/>
        </w:rPr>
        <w:t>repaglinide, un medicinale usato per trattare il diabete,</w:t>
      </w:r>
    </w:p>
    <w:p>
      <w:pPr>
        <w:numPr>
          <w:ilvl w:val="0"/>
          <w:numId w:val="24"/>
        </w:numPr>
        <w:tabs>
          <w:tab w:val="clear" w:pos="360"/>
          <w:tab w:val="num" w:pos="567"/>
        </w:tabs>
        <w:spacing w:after="0" w:line="240" w:lineRule="auto"/>
        <w:ind w:left="567" w:hanging="567"/>
        <w:rPr>
          <w:rFonts w:ascii="Times New Roman" w:hAnsi="Times New Roman"/>
        </w:rPr>
      </w:pPr>
      <w:r>
        <w:rPr>
          <w:rFonts w:ascii="Times New Roman" w:hAnsi="Times New Roman"/>
        </w:rPr>
        <w:t>paclitaxel, un medicinale usato per trattare il cancro,</w:t>
      </w:r>
    </w:p>
    <w:p>
      <w:pPr>
        <w:widowControl w:val="0"/>
        <w:numPr>
          <w:ilvl w:val="0"/>
          <w:numId w:val="24"/>
        </w:numPr>
        <w:tabs>
          <w:tab w:val="clear" w:pos="360"/>
          <w:tab w:val="num" w:pos="567"/>
        </w:tabs>
        <w:spacing w:after="0" w:line="240" w:lineRule="auto"/>
        <w:ind w:left="567" w:hanging="567"/>
        <w:rPr>
          <w:rFonts w:ascii="Times New Roman" w:hAnsi="Times New Roman"/>
        </w:rPr>
      </w:pPr>
      <w:r>
        <w:rPr>
          <w:rFonts w:ascii="Times New Roman" w:hAnsi="Times New Roman"/>
        </w:rPr>
        <w:t>oppioidi: mentre è in terapia con clopidogrel, deve informare il medico prima che le venga prescritto qualsiasi oppioide (usato per trattare il dolore grave),</w:t>
      </w:r>
    </w:p>
    <w:p>
      <w:pPr>
        <w:widowControl w:val="0"/>
        <w:numPr>
          <w:ilvl w:val="0"/>
          <w:numId w:val="24"/>
        </w:numPr>
        <w:tabs>
          <w:tab w:val="clear" w:pos="360"/>
        </w:tabs>
        <w:spacing w:after="0" w:line="240" w:lineRule="auto"/>
        <w:ind w:left="567" w:hanging="567"/>
        <w:rPr>
          <w:rFonts w:ascii="Times New Roman" w:hAnsi="Times New Roman"/>
        </w:rPr>
      </w:pPr>
      <w:r>
        <w:rPr>
          <w:rFonts w:ascii="Times New Roman" w:hAnsi="Times New Roman"/>
        </w:rPr>
        <w:t>rosuvastatina (usata per abbassare il livello di colesterolo).</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rPr>
        <w:t xml:space="preserve">Se ha avuto un grave dolore al petto (angina instabile o attacco cardiaco), </w:t>
      </w:r>
      <w:r>
        <w:rPr>
          <w:rFonts w:ascii="Times New Roman" w:hAnsi="Times New Roman"/>
        </w:rPr>
        <w:t>un attacco ischemico transitorio o un ictus ischemico di lieve gravità</w:t>
      </w:r>
      <w:r>
        <w:rPr>
          <w:color w:val="000000"/>
        </w:rPr>
        <w:t>,</w:t>
      </w:r>
      <w:r>
        <w:rPr>
          <w:rFonts w:ascii="Times New Roman" w:eastAsia="Times New Roman" w:hAnsi="Times New Roman"/>
          <w:color w:val="000000"/>
        </w:rPr>
        <w:t xml:space="preserve"> è possibile che le sia stato </w:t>
      </w:r>
      <w:r>
        <w:rPr>
          <w:rFonts w:ascii="Times New Roman" w:eastAsia="Times New Roman" w:hAnsi="Times New Roman"/>
          <w:color w:val="000000"/>
          <w:spacing w:val="-1"/>
        </w:rPr>
        <w:t xml:space="preserve">prescritto Clopidogrel TAD in associazione ad </w:t>
      </w:r>
      <w:r>
        <w:rPr>
          <w:rFonts w:ascii="Times New Roman" w:eastAsia="Times New Roman" w:hAnsi="Times New Roman"/>
          <w:color w:val="000000"/>
          <w:lang w:eastAsia="ar-SA"/>
        </w:rPr>
        <w:t>acido acetilsalicilico</w:t>
      </w:r>
      <w:r>
        <w:rPr>
          <w:rFonts w:ascii="Times New Roman" w:eastAsia="Times New Roman" w:hAnsi="Times New Roman"/>
          <w:color w:val="000000"/>
          <w:spacing w:val="-1"/>
          <w:lang w:eastAsia="ar-SA"/>
        </w:rPr>
        <w:t xml:space="preserve">, una sostanza presente in molti farmaci usati </w:t>
      </w:r>
      <w:r>
        <w:rPr>
          <w:rFonts w:ascii="Times New Roman" w:eastAsia="Times New Roman" w:hAnsi="Times New Roman"/>
          <w:color w:val="000000"/>
          <w:lang w:eastAsia="ar-SA"/>
        </w:rPr>
        <w:t>per alleviare il dolore e per ridurre la febbre. Un uso occasionale di acido acetilsalicilico (non più di 1.000 mg nelle 24 ore) non dovrebbe generalmente causare problemi, ma un uso prolungato in altre circostanze deve essere discusso con il medico.</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Clopidogrel TAD con cibo e bevande</w:t>
      </w:r>
    </w:p>
    <w:p>
      <w:pPr>
        <w:widowControl w:val="0"/>
        <w:shd w:val="clear" w:color="auto" w:fill="FFFFFF"/>
        <w:suppressAutoHyphens/>
        <w:autoSpaceDE w:val="0"/>
        <w:spacing w:after="0" w:line="240" w:lineRule="auto"/>
        <w:rPr>
          <w:rFonts w:ascii="Times New Roman" w:eastAsia="Times New Roman" w:hAnsi="Times New Roman"/>
          <w:bCs/>
          <w:color w:val="000000"/>
          <w:lang w:eastAsia="ar-SA"/>
        </w:rPr>
      </w:pPr>
      <w:r>
        <w:rPr>
          <w:rFonts w:ascii="Times New Roman" w:eastAsia="Times New Roman" w:hAnsi="Times New Roman"/>
          <w:bCs/>
          <w:color w:val="000000"/>
          <w:lang w:eastAsia="ar-SA"/>
        </w:rPr>
        <w:t>Clopidogrel TAD può essere preso con o senza cibo.</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ind w:left="10"/>
        <w:rPr>
          <w:rFonts w:ascii="Times New Roman" w:eastAsia="Times New Roman" w:hAnsi="Times New Roman"/>
          <w:b/>
          <w:bCs/>
          <w:color w:val="000000"/>
          <w:lang w:eastAsia="ar-SA"/>
        </w:rPr>
      </w:pPr>
      <w:r>
        <w:rPr>
          <w:rFonts w:ascii="Times New Roman" w:eastAsia="Times New Roman" w:hAnsi="Times New Roman"/>
          <w:b/>
          <w:bCs/>
          <w:color w:val="000000"/>
          <w:lang w:eastAsia="ar-SA"/>
        </w:rPr>
        <w:t>Gravidanza e allattamento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lang w:eastAsia="ar-SA"/>
        </w:rPr>
        <w:t>È preferibile non assumere questo medicinale durante la gravidanza.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Se è incinta o crede di esserlo, prima di prendere </w:t>
      </w:r>
      <w:r>
        <w:rPr>
          <w:rFonts w:ascii="Times New Roman" w:eastAsia="Times New Roman" w:hAnsi="Times New Roman"/>
          <w:color w:val="000000"/>
          <w:lang w:eastAsia="ar-SA"/>
        </w:rPr>
        <w:t>Clopidogrel TAD</w:t>
      </w:r>
      <w:r>
        <w:rPr>
          <w:rFonts w:ascii="Times New Roman" w:eastAsia="Times New Roman" w:hAnsi="Times New Roman"/>
          <w:color w:val="000000"/>
          <w:spacing w:val="-1"/>
          <w:lang w:eastAsia="ar-SA"/>
        </w:rPr>
        <w:t xml:space="preserve"> informi il medico o il farmacista. Nel caso si </w:t>
      </w:r>
      <w:r>
        <w:rPr>
          <w:rFonts w:ascii="Times New Roman" w:eastAsia="Times New Roman" w:hAnsi="Times New Roman"/>
          <w:color w:val="000000"/>
          <w:lang w:eastAsia="ar-SA"/>
        </w:rPr>
        <w:t>verifichi una gravidanza mentre assume Clopidogrel TAD, consulti immediatamente il medico, poiché durante la gravidanza si raccomanda di non prendere Clopidogrel TAD.</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Non deve allattare mentre assume questo medicinale.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Se sta allattando o intende allattare, consulti il medico prima di assumere questo medicinale.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Chieda consiglio al medico o al farmacista prima di prendere qualsiasi medicinale.</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Guida di veicoli e utilizzo di macchinari: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È improbabile che Clopidogrel TAD influenzi la capacità di guidare veicoli e di utilizzare macchinari.</w:t>
      </w:r>
    </w:p>
    <w:p>
      <w:pPr>
        <w:widowControl w:val="0"/>
        <w:shd w:val="clear" w:color="auto" w:fill="FFFFFF"/>
        <w:tabs>
          <w:tab w:val="left" w:pos="745"/>
        </w:tabs>
        <w:suppressAutoHyphens/>
        <w:autoSpaceDE w:val="0"/>
        <w:spacing w:after="0" w:line="240" w:lineRule="auto"/>
        <w:rPr>
          <w:rFonts w:ascii="Times New Roman" w:eastAsia="Times New Roman" w:hAnsi="Times New Roman"/>
          <w:b/>
          <w:bCs/>
          <w:color w:val="000000"/>
          <w:spacing w:val="-4"/>
          <w:lang w:eastAsia="ar-SA"/>
        </w:rPr>
      </w:pPr>
    </w:p>
    <w:p>
      <w:pPr>
        <w:widowControl w:val="0"/>
        <w:shd w:val="clear" w:color="auto" w:fill="FFFFFF"/>
        <w:tabs>
          <w:tab w:val="left" w:pos="745"/>
        </w:tabs>
        <w:suppressAutoHyphens/>
        <w:autoSpaceDE w:val="0"/>
        <w:spacing w:after="0" w:line="240" w:lineRule="auto"/>
        <w:rPr>
          <w:rFonts w:ascii="Times New Roman" w:eastAsia="Times New Roman" w:hAnsi="Times New Roman"/>
          <w:b/>
          <w:bCs/>
          <w:color w:val="000000"/>
          <w:spacing w:val="-4"/>
          <w:lang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3"/>
          <w:lang w:eastAsia="ar-SA"/>
        </w:rPr>
      </w:pPr>
      <w:r>
        <w:rPr>
          <w:rFonts w:ascii="Times New Roman" w:eastAsia="Times New Roman" w:hAnsi="Times New Roman"/>
          <w:b/>
          <w:bCs/>
          <w:color w:val="000000"/>
          <w:spacing w:val="-4"/>
          <w:lang w:eastAsia="ar-SA"/>
        </w:rPr>
        <w:t>3.</w:t>
      </w:r>
      <w:r>
        <w:rPr>
          <w:rFonts w:ascii="Times New Roman" w:eastAsia="Times New Roman" w:hAnsi="Times New Roman"/>
          <w:b/>
          <w:bCs/>
          <w:color w:val="000000"/>
          <w:lang w:eastAsia="ar-SA"/>
        </w:rPr>
        <w:tab/>
      </w:r>
      <w:r>
        <w:rPr>
          <w:rFonts w:ascii="Times New Roman" w:eastAsia="Times New Roman" w:hAnsi="Times New Roman"/>
          <w:b/>
          <w:bCs/>
          <w:color w:val="000000"/>
          <w:spacing w:val="3"/>
          <w:lang w:eastAsia="ar-SA"/>
        </w:rPr>
        <w:t>Come prendere Clopidogrel TAD</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Prenda </w:t>
      </w:r>
      <w:r>
        <w:rPr>
          <w:rFonts w:ascii="Times New Roman" w:eastAsia="Times New Roman" w:hAnsi="Times New Roman"/>
          <w:color w:val="000000"/>
          <w:lang w:eastAsia="ar-SA"/>
        </w:rPr>
        <w:t>questo medicinale</w:t>
      </w:r>
      <w:r>
        <w:rPr>
          <w:rFonts w:ascii="Times New Roman" w:eastAsia="Times New Roman" w:hAnsi="Times New Roman"/>
          <w:color w:val="000000"/>
          <w:spacing w:val="-1"/>
          <w:lang w:eastAsia="ar-SA"/>
        </w:rPr>
        <w:t xml:space="preserve"> seguendo sempre esattamente le istruzioni del medico</w:t>
      </w:r>
      <w:r>
        <w:rPr>
          <w:rFonts w:ascii="Times New Roman" w:eastAsia="Times New Roman" w:hAnsi="Times New Roman"/>
        </w:rPr>
        <w:t xml:space="preserve"> </w:t>
      </w:r>
      <w:r>
        <w:rPr>
          <w:rFonts w:ascii="Times New Roman" w:eastAsia="Times New Roman" w:hAnsi="Times New Roman"/>
          <w:color w:val="000000"/>
          <w:spacing w:val="-1"/>
          <w:lang w:eastAsia="ar-SA"/>
        </w:rPr>
        <w:t>o del farmacista. Se ha dubbi consulti il medico o il farmacista.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La dose raccomandata</w:t>
      </w:r>
      <w:r>
        <w:rPr>
          <w:rFonts w:ascii="Times New Roman" w:eastAsia="Times New Roman" w:hAnsi="Times New Roman"/>
          <w:lang w:eastAsia="ar-SA"/>
        </w:rPr>
        <w:t xml:space="preserve">, </w:t>
      </w:r>
      <w:r>
        <w:rPr>
          <w:rFonts w:ascii="Times New Roman" w:eastAsia="Times New Roman" w:hAnsi="Times New Roman"/>
        </w:rPr>
        <w:t>anche per i pazienti con diagnosi di “fibrillazione atriale” (un battito cardiaco irregolare),</w:t>
      </w:r>
      <w:r>
        <w:rPr>
          <w:rFonts w:ascii="Times New Roman" w:eastAsia="Times New Roman" w:hAnsi="Times New Roman"/>
          <w:color w:val="000000"/>
          <w:spacing w:val="-1"/>
          <w:lang w:eastAsia="ar-SA"/>
        </w:rPr>
        <w:t xml:space="preserve"> è una compressa di 75 mg di </w:t>
      </w:r>
      <w:r>
        <w:rPr>
          <w:rFonts w:ascii="Times New Roman" w:eastAsia="Times New Roman" w:hAnsi="Times New Roman"/>
          <w:color w:val="000000"/>
          <w:lang w:eastAsia="ar-SA"/>
        </w:rPr>
        <w:t xml:space="preserve">Clopidogrel TAD </w:t>
      </w:r>
      <w:r>
        <w:rPr>
          <w:rFonts w:ascii="Times New Roman" w:eastAsia="Times New Roman" w:hAnsi="Times New Roman"/>
          <w:color w:val="000000"/>
          <w:spacing w:val="-1"/>
          <w:lang w:eastAsia="ar-SA"/>
        </w:rPr>
        <w:t xml:space="preserve">al giorno, da </w:t>
      </w:r>
      <w:r>
        <w:rPr>
          <w:rFonts w:ascii="Times New Roman" w:eastAsia="Times New Roman" w:hAnsi="Times New Roman"/>
          <w:color w:val="000000"/>
          <w:lang w:eastAsia="ar-SA"/>
        </w:rPr>
        <w:t>prendere per via orale durante o lontano dai pasti, e alla stessa ora ogni giorno.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 xml:space="preserve">Se lei ha avuto un grave dolore al petto (angina instabile o attacco cardiaco), il medico può darle </w:t>
      </w:r>
      <w:r>
        <w:rPr>
          <w:rFonts w:ascii="Times New Roman" w:eastAsia="Times New Roman" w:hAnsi="Times New Roman"/>
          <w:color w:val="000000"/>
        </w:rPr>
        <w:t xml:space="preserve">300 mg o 600 mg di Clopidogrel TAD (4 o 8 compresse da 75 mg) una volta all'inizio del </w:t>
      </w:r>
      <w:r>
        <w:rPr>
          <w:rFonts w:ascii="Times New Roman" w:eastAsia="Times New Roman" w:hAnsi="Times New Roman"/>
          <w:color w:val="000000"/>
          <w:spacing w:val="-1"/>
        </w:rPr>
        <w:t xml:space="preserve">trattamento. Successivamente, la dose </w:t>
      </w:r>
      <w:r>
        <w:rPr>
          <w:rFonts w:ascii="Times New Roman" w:eastAsia="Times New Roman" w:hAnsi="Times New Roman"/>
        </w:rPr>
        <w:t>raccomandata</w:t>
      </w:r>
      <w:r>
        <w:rPr>
          <w:rFonts w:ascii="Times New Roman" w:eastAsia="Times New Roman" w:hAnsi="Times New Roman"/>
          <w:color w:val="000000"/>
          <w:spacing w:val="-1"/>
        </w:rPr>
        <w:t xml:space="preserve"> è una compressa di 75 mg di </w:t>
      </w:r>
      <w:r>
        <w:rPr>
          <w:rFonts w:ascii="Times New Roman" w:eastAsia="Times New Roman" w:hAnsi="Times New Roman"/>
          <w:color w:val="000000"/>
        </w:rPr>
        <w:t xml:space="preserve">Clopidogrel TAD </w:t>
      </w:r>
      <w:r>
        <w:rPr>
          <w:rFonts w:ascii="Times New Roman" w:eastAsia="Times New Roman" w:hAnsi="Times New Roman"/>
          <w:color w:val="000000"/>
          <w:spacing w:val="-1"/>
        </w:rPr>
        <w:t>al giorno, come descritto sopra.</w:t>
      </w:r>
    </w:p>
    <w:p>
      <w:pPr>
        <w:shd w:val="clear" w:color="auto" w:fill="FFFFFF"/>
        <w:tabs>
          <w:tab w:val="left" w:pos="567"/>
        </w:tabs>
        <w:spacing w:after="0" w:line="240" w:lineRule="auto"/>
        <w:rPr>
          <w:rFonts w:ascii="Times New Roman" w:eastAsia="Times New Roman" w:hAnsi="Times New Roman"/>
          <w:color w:val="000000"/>
          <w:spacing w:val="-1"/>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Se ha manifestato sintomi di un ictus che scompaiono in un breve periodo di tempo (noto anche come attacco ischemico transitorio) o un ictus ischemico di gravità lieve, il medico può prescriverle 300 mg di Clopidogrel TAD (4 compresse di 75 mg) una volta all'inizio del trattamento. A seguire, la dose raccomandata è una compressa da 75 mg di Clopidogrel TAD al giorno, come descritto sopra, in combinazione con acido acetilsalicilico per 3 settimane. In seguito il medico prescriverà Clopidogrel TAD da solo o acido acetilsalicilico da solo.</w:t>
      </w:r>
    </w:p>
    <w:p>
      <w:pPr>
        <w:shd w:val="clear" w:color="auto" w:fill="FFFFFF"/>
        <w:tabs>
          <w:tab w:val="left" w:pos="567"/>
        </w:tabs>
        <w:spacing w:after="0" w:line="240" w:lineRule="auto"/>
        <w:rPr>
          <w:rFonts w:ascii="Times New Roman" w:eastAsia="Times New Roman" w:hAnsi="Times New Roman"/>
          <w:color w:val="000000"/>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Clopidogrel TAD deve essere preso per tutto il tempo che il medico lo ritiene necessario.</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 xml:space="preserve">Se prende più </w:t>
      </w:r>
      <w:r>
        <w:rPr>
          <w:rFonts w:ascii="Times New Roman" w:eastAsia="Times New Roman" w:hAnsi="Times New Roman"/>
          <w:b/>
          <w:color w:val="000000"/>
          <w:lang w:eastAsia="ar-SA"/>
        </w:rPr>
        <w:t>Clopidogrel TAD</w:t>
      </w:r>
      <w:r>
        <w:rPr>
          <w:rFonts w:ascii="Times New Roman" w:eastAsia="Times New Roman" w:hAnsi="Times New Roman"/>
          <w:b/>
          <w:bCs/>
          <w:color w:val="000000"/>
          <w:spacing w:val="-1"/>
          <w:lang w:eastAsia="ar-SA"/>
        </w:rPr>
        <w:t xml:space="preserve"> di quanto deve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 xml:space="preserve">Contatti il medico o il Pronto Soccorso </w:t>
      </w:r>
      <w:r>
        <w:rPr>
          <w:rFonts w:ascii="Times New Roman" w:eastAsia="Times New Roman" w:hAnsi="Times New Roman"/>
          <w:lang w:eastAsia="ar-SA"/>
        </w:rPr>
        <w:t xml:space="preserve">del più vicino ospedale </w:t>
      </w:r>
      <w:r>
        <w:rPr>
          <w:rFonts w:ascii="Times New Roman" w:eastAsia="Times New Roman" w:hAnsi="Times New Roman"/>
          <w:color w:val="000000"/>
          <w:lang w:eastAsia="ar-SA"/>
        </w:rPr>
        <w:t>per il rischio di aumento di sanguinamento.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 xml:space="preserve">Se dimentica di prendere </w:t>
      </w:r>
      <w:r>
        <w:rPr>
          <w:rFonts w:ascii="Times New Roman" w:eastAsia="Times New Roman" w:hAnsi="Times New Roman"/>
          <w:b/>
          <w:color w:val="000000"/>
          <w:lang w:eastAsia="ar-SA"/>
        </w:rPr>
        <w:t>Clopidogrel TAD</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Se dimentica di prendere una dose di </w:t>
      </w:r>
      <w:r>
        <w:rPr>
          <w:rFonts w:ascii="Times New Roman" w:eastAsia="Times New Roman" w:hAnsi="Times New Roman"/>
          <w:color w:val="000000"/>
          <w:lang w:eastAsia="ar-SA"/>
        </w:rPr>
        <w:t>Clopidogrel TAD</w:t>
      </w:r>
      <w:r>
        <w:rPr>
          <w:rFonts w:ascii="Times New Roman" w:eastAsia="Times New Roman" w:hAnsi="Times New Roman"/>
          <w:color w:val="000000"/>
          <w:spacing w:val="-1"/>
          <w:lang w:eastAsia="ar-SA"/>
        </w:rPr>
        <w:t xml:space="preserve">, ma si ricorda entro le 12 ore dall'orario usuale, assuma una </w:t>
      </w:r>
      <w:r>
        <w:rPr>
          <w:rFonts w:ascii="Times New Roman" w:eastAsia="Times New Roman" w:hAnsi="Times New Roman"/>
          <w:color w:val="000000"/>
          <w:lang w:eastAsia="ar-SA"/>
        </w:rPr>
        <w:t>compressa subito e quindi prenda la successiva all'orario usuale.</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Se invece sono trascorse più di 12 ore, prenda semplicemente la dose successiva all'orario abituale. Non </w:t>
      </w:r>
      <w:r>
        <w:rPr>
          <w:rFonts w:ascii="Times New Roman" w:eastAsia="Times New Roman" w:hAnsi="Times New Roman"/>
          <w:color w:val="000000"/>
          <w:lang w:eastAsia="ar-SA"/>
        </w:rPr>
        <w:t>prenda una dose doppia per compensare la dimenticanza della dose.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 xml:space="preserve">Se interrompe il trattamento con </w:t>
      </w:r>
      <w:r>
        <w:rPr>
          <w:rFonts w:ascii="Times New Roman" w:eastAsia="Times New Roman" w:hAnsi="Times New Roman"/>
          <w:b/>
          <w:color w:val="000000"/>
          <w:lang w:eastAsia="ar-SA"/>
        </w:rPr>
        <w:t>Clopidogrel TAD</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Non interrompa il trattamento</w:t>
      </w:r>
      <w:r>
        <w:rPr>
          <w:rFonts w:ascii="Times New Roman" w:eastAsia="Times New Roman" w:hAnsi="Times New Roman"/>
          <w:b/>
          <w:lang w:eastAsia="ar-SA"/>
        </w:rPr>
        <w:t xml:space="preserve"> a meno che non glielo abbia detto il medico</w:t>
      </w:r>
      <w:r>
        <w:rPr>
          <w:rFonts w:ascii="Times New Roman" w:eastAsia="Times New Roman" w:hAnsi="Times New Roman"/>
          <w:color w:val="000000"/>
          <w:lang w:eastAsia="ar-SA"/>
        </w:rPr>
        <w:t>. Prima di interromperlo contatti il medico o il farmacista.</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Se ha qualsiasi dubbio sull'uso di questo medicinale, si rivolga al suo medico o al farmacista.</w:t>
      </w:r>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rPr>
          <w:rFonts w:ascii="Times New Roman" w:eastAsia="Times New Roman" w:hAnsi="Times New Roman"/>
          <w:lang w:eastAsia="ar-SA"/>
        </w:rPr>
      </w:pPr>
    </w:p>
    <w:p>
      <w:pPr>
        <w:widowControl w:val="0"/>
        <w:numPr>
          <w:ilvl w:val="0"/>
          <w:numId w:val="4"/>
        </w:numPr>
        <w:shd w:val="clear" w:color="auto" w:fill="FFFFFF"/>
        <w:suppressAutoHyphens/>
        <w:autoSpaceDE w:val="0"/>
        <w:spacing w:after="0" w:line="240" w:lineRule="auto"/>
        <w:ind w:left="567" w:hanging="567"/>
        <w:rPr>
          <w:rFonts w:ascii="Times New Roman" w:eastAsia="Times New Roman" w:hAnsi="Times New Roman"/>
          <w:b/>
          <w:bCs/>
          <w:color w:val="000000"/>
          <w:lang w:eastAsia="ar-SA"/>
        </w:rPr>
      </w:pPr>
      <w:r>
        <w:rPr>
          <w:rFonts w:ascii="Times New Roman" w:eastAsia="Times New Roman" w:hAnsi="Times New Roman"/>
          <w:b/>
          <w:bCs/>
          <w:color w:val="000000"/>
          <w:lang w:eastAsia="ar-SA"/>
        </w:rPr>
        <w:t>Possibili effetti indesiderati</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Come tutti i medicinali </w:t>
      </w:r>
      <w:r>
        <w:rPr>
          <w:rFonts w:ascii="Times New Roman" w:eastAsia="Times New Roman" w:hAnsi="Times New Roman"/>
          <w:color w:val="000000"/>
          <w:lang w:eastAsia="ar-SA"/>
        </w:rPr>
        <w:t xml:space="preserve">questo medicinale </w:t>
      </w:r>
      <w:r>
        <w:rPr>
          <w:rFonts w:ascii="Times New Roman" w:eastAsia="Times New Roman" w:hAnsi="Times New Roman"/>
          <w:color w:val="000000"/>
          <w:spacing w:val="-1"/>
          <w:lang w:eastAsia="ar-SA"/>
        </w:rPr>
        <w:t>può causare effetti indesiderati sebbene non tutte le persone li manifestino.</w:t>
      </w:r>
    </w:p>
    <w:p>
      <w:pPr>
        <w:widowControl w:val="0"/>
        <w:shd w:val="clear" w:color="auto" w:fill="FFFFFF"/>
        <w:suppressAutoHyphens/>
        <w:autoSpaceDE w:val="0"/>
        <w:spacing w:after="0" w:line="240" w:lineRule="auto"/>
        <w:ind w:left="14"/>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ind w:left="14"/>
        <w:rPr>
          <w:rFonts w:ascii="Times New Roman" w:eastAsia="Times New Roman" w:hAnsi="Times New Roman"/>
          <w:b/>
          <w:bCs/>
          <w:color w:val="000000"/>
          <w:lang w:eastAsia="ar-SA"/>
        </w:rPr>
      </w:pPr>
      <w:r>
        <w:rPr>
          <w:rFonts w:ascii="Times New Roman" w:eastAsia="Times New Roman" w:hAnsi="Times New Roman"/>
          <w:b/>
          <w:bCs/>
          <w:color w:val="000000"/>
          <w:lang w:eastAsia="ar-SA"/>
        </w:rPr>
        <w:t>Contatti il medico immediatamente se si presentano:</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febbre, segni di infezione o grave senso di debolezza. Questi effetti possono essere dovuti a una </w:t>
      </w:r>
      <w:r>
        <w:rPr>
          <w:rFonts w:ascii="Times New Roman" w:eastAsia="Times New Roman" w:hAnsi="Times New Roman"/>
          <w:color w:val="000000"/>
          <w:lang w:eastAsia="ar-SA"/>
        </w:rPr>
        <w:t>rara diminuzione di alcune cellule del sangue.</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hAnsi="Times New Roman"/>
        </w:rPr>
        <w:t xml:space="preserve">segni di disturbi al fegato come ingiallimento della pelle e/o degli occhi (ittero), con o senza sanguinamento che appare sotto la pelle come puntini rossi, e/o confusione (vedere </w:t>
      </w:r>
      <w:r>
        <w:rPr>
          <w:rFonts w:ascii="Times New Roman" w:eastAsia="Times New Roman" w:hAnsi="Times New Roman"/>
          <w:lang w:eastAsia="ar-SA"/>
        </w:rPr>
        <w:t>paragrafo 2</w:t>
      </w:r>
      <w:r>
        <w:rPr>
          <w:rFonts w:ascii="Times New Roman" w:eastAsia="Times New Roman" w:hAnsi="Times New Roman"/>
          <w:color w:val="000000"/>
          <w:lang w:eastAsia="ar-SA"/>
        </w:rPr>
        <w:t xml:space="preserve"> "</w:t>
      </w:r>
      <w:r>
        <w:rPr>
          <w:rFonts w:ascii="Times New Roman" w:eastAsia="Times New Roman" w:hAnsi="Times New Roman"/>
          <w:bCs/>
          <w:color w:val="000000"/>
          <w:lang w:eastAsia="ar-SA"/>
        </w:rPr>
        <w:t>Avvertenze e precauzioni</w:t>
      </w:r>
      <w:r>
        <w:rPr>
          <w:rFonts w:ascii="Times New Roman" w:eastAsia="Times New Roman" w:hAnsi="Times New Roman"/>
          <w:color w:val="000000"/>
          <w:lang w:eastAsia="ar-SA"/>
        </w:rPr>
        <w:t>")</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lang w:eastAsia="ar-SA"/>
        </w:rPr>
        <w:t>gonfiore nella bocca o disturbi della pelle quali rash, prurito, bolle della pelle. Questi possono essere segni di una reazione allergica.</w:t>
      </w:r>
    </w:p>
    <w:p>
      <w:pPr>
        <w:widowControl w:val="0"/>
        <w:shd w:val="clear" w:color="auto" w:fill="FFFFFF"/>
        <w:autoSpaceDE w:val="0"/>
        <w:spacing w:after="0" w:line="240" w:lineRule="auto"/>
        <w:ind w:left="709" w:hanging="425"/>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Il più comune effetto indesiderato segnalato con Clopidogrel TAD è il</w:t>
      </w:r>
      <w:r>
        <w:rPr>
          <w:rFonts w:ascii="Times New Roman" w:eastAsia="Times New Roman" w:hAnsi="Times New Roman"/>
          <w:lang w:eastAsia="ar-SA"/>
        </w:rPr>
        <w:t xml:space="preserve"> </w:t>
      </w:r>
      <w:r>
        <w:rPr>
          <w:rFonts w:ascii="Times New Roman" w:eastAsia="Times New Roman" w:hAnsi="Times New Roman"/>
          <w:b/>
          <w:bCs/>
          <w:color w:val="000000"/>
          <w:lang w:eastAsia="ar-SA"/>
        </w:rPr>
        <w:t>sanguinamento.</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 xml:space="preserve">Il sanguinamento può manifestarsi con sanguinamento nello stomaco o nell'intestino, </w:t>
      </w:r>
      <w:r>
        <w:rPr>
          <w:rFonts w:ascii="Times New Roman" w:eastAsia="Times New Roman" w:hAnsi="Times New Roman"/>
          <w:color w:val="000000"/>
          <w:spacing w:val="-1"/>
          <w:lang w:eastAsia="ar-SA"/>
        </w:rPr>
        <w:t xml:space="preserve">il formarsi di lividi, ematomi (sanguinamento insolito o ecchimosi sottopelle), sangue dal naso, sangue </w:t>
      </w:r>
      <w:r>
        <w:rPr>
          <w:rFonts w:ascii="Times New Roman" w:eastAsia="Times New Roman" w:hAnsi="Times New Roman"/>
          <w:color w:val="000000"/>
          <w:lang w:eastAsia="ar-SA"/>
        </w:rPr>
        <w:t>nelle urine. In pochi casi sono stati anche segnalati sanguinamento nell'occhio, intracranico, nei polmoni e nelle articolazioni.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color w:val="000000"/>
          <w:lang w:eastAsia="ar-SA"/>
        </w:rPr>
      </w:pPr>
      <w:r>
        <w:rPr>
          <w:rFonts w:ascii="Times New Roman" w:eastAsia="Times New Roman" w:hAnsi="Times New Roman"/>
          <w:b/>
          <w:bCs/>
          <w:color w:val="000000"/>
          <w:lang w:eastAsia="ar-SA"/>
        </w:rPr>
        <w:t xml:space="preserve">Se si presenta un sanguinamento prolungato mentre prende </w:t>
      </w:r>
      <w:r>
        <w:rPr>
          <w:rFonts w:ascii="Times New Roman" w:eastAsia="Times New Roman" w:hAnsi="Times New Roman"/>
          <w:b/>
          <w:color w:val="000000"/>
          <w:lang w:eastAsia="ar-SA"/>
        </w:rPr>
        <w:t>Clopidogrel TAD</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 xml:space="preserve">Nel caso in cui si tagliasse o si facesse male può essere necessario un tempo più lungo del solito perché il sanguinamento si fermi. Questo è dovuto al modo in cui agisce il medicinale poiché </w:t>
      </w:r>
      <w:r>
        <w:rPr>
          <w:rFonts w:ascii="Times New Roman" w:eastAsia="Times New Roman" w:hAnsi="Times New Roman"/>
          <w:color w:val="000000"/>
          <w:spacing w:val="-1"/>
          <w:lang w:eastAsia="ar-SA"/>
        </w:rPr>
        <w:t xml:space="preserve">impedisce la formazione di coaguli sanguigni. Per tagli e ferite minori, come tagliarsi da soli o farsi la barba, questo solitamente non crea problemi. Tuttavia se è preoccupato per il sanguinamento, contatti </w:t>
      </w:r>
      <w:r>
        <w:rPr>
          <w:rFonts w:ascii="Times New Roman" w:eastAsia="Times New Roman" w:hAnsi="Times New Roman"/>
          <w:color w:val="000000"/>
          <w:lang w:eastAsia="ar-SA"/>
        </w:rPr>
        <w:t xml:space="preserve">subito il medico (vedere </w:t>
      </w:r>
      <w:r>
        <w:rPr>
          <w:rFonts w:ascii="Times New Roman" w:eastAsia="Times New Roman" w:hAnsi="Times New Roman"/>
          <w:lang w:eastAsia="ar-SA"/>
        </w:rPr>
        <w:t>paragrafo 2</w:t>
      </w:r>
      <w:r>
        <w:rPr>
          <w:rFonts w:ascii="Times New Roman" w:eastAsia="Times New Roman" w:hAnsi="Times New Roman"/>
          <w:color w:val="000000"/>
          <w:lang w:eastAsia="ar-SA"/>
        </w:rPr>
        <w:t xml:space="preserve"> "</w:t>
      </w:r>
      <w:r>
        <w:rPr>
          <w:rFonts w:ascii="Times New Roman" w:eastAsia="Times New Roman" w:hAnsi="Times New Roman"/>
          <w:bCs/>
          <w:color w:val="000000"/>
          <w:lang w:eastAsia="ar-SA"/>
        </w:rPr>
        <w:t>Avvertenze e precauzioni</w:t>
      </w:r>
      <w:r>
        <w:rPr>
          <w:rFonts w:ascii="Times New Roman" w:eastAsia="Times New Roman" w:hAnsi="Times New Roman"/>
          <w:color w:val="000000"/>
          <w:lang w:eastAsia="ar-SA"/>
        </w:rPr>
        <w:t>").</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Altri effetti indesiderati comprendono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Effetti indesiderati comuni (possono interessare fino a 1 paziente su 10):</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Diarrea, dolore addominale indigestione o bruciori allo stomaco.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Effetti indesiderati non comuni (possono interessare fino a 1 paziente su 100):</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Mal di testa, ulcera gastrica, vomito, nausea, costipazione, gas in eccesso nello stomaco o nell’intestino, rash, prurito, capogiro, sensazioni di formicolio e intorpidimento.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Effetti indesiderati rari (possono interessare fino a 1 paziente su 1000):</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Vertigine</w:t>
      </w:r>
      <w:r>
        <w:rPr>
          <w:rFonts w:ascii="Times New Roman" w:eastAsia="Times New Roman" w:hAnsi="Times New Roman"/>
        </w:rPr>
        <w:t>, aumento di volume delle mammelle nei maschi.</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Effetti indesiderati molto rari (possono interessare fino a 1 paziente su 10.000):</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Ittero; dolore addominale grave con o senza dolore alla schiena; febbre, difficoltà di respiro a volte associata a tosse; reazioni allergiche generalizzate (per esempio, sensazione diffusa di calore con improvviso malessere generale fino a svenimento); gonfiore nella bocca; bolle della pelle; allergia della pelle; dolore alla bocca (stomatite); diminuzione della pressione sanguigna; confusione; allucinazioni; dolore alle articolazioni; dolore muscolare; alterazioni o perdita del gusto.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tabs>
          <w:tab w:val="left" w:pos="540"/>
        </w:tabs>
        <w:spacing w:after="0" w:line="240" w:lineRule="auto"/>
        <w:rPr>
          <w:rFonts w:ascii="Times New Roman" w:hAnsi="Times New Roman"/>
        </w:rPr>
      </w:pPr>
      <w:r>
        <w:rPr>
          <w:rFonts w:ascii="Times New Roman" w:hAnsi="Times New Roman"/>
        </w:rPr>
        <w:t>Effetti indesiderati con frequenza non nota (la frequenza non può essere definita sulla base dei dati disponibili): reazioni di ipersensibilità con dolore toracico o addominale, sintomi persistenti di ipoglicemia.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Inoltre, il medico può aver identificato alterazioni degli esami del sangue e delle urine.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autoSpaceDE w:val="0"/>
        <w:spacing w:after="0" w:line="240" w:lineRule="auto"/>
        <w:ind w:right="-85"/>
        <w:rPr>
          <w:rFonts w:ascii="Times New Roman" w:eastAsia="Times New Roman" w:hAnsi="Times New Roman"/>
          <w:b/>
          <w:spacing w:val="-1"/>
          <w:u w:val="single"/>
          <w:lang w:eastAsia="ar-SA"/>
        </w:rPr>
      </w:pPr>
      <w:r>
        <w:rPr>
          <w:rFonts w:ascii="Times New Roman" w:eastAsia="Times New Roman" w:hAnsi="Times New Roman"/>
          <w:b/>
          <w:spacing w:val="-1"/>
          <w:u w:val="single"/>
          <w:lang w:eastAsia="ar-SA"/>
        </w:rPr>
        <w:t>Segnalazioni di effetti indesiderati</w:t>
      </w:r>
    </w:p>
    <w:p>
      <w:pPr>
        <w:tabs>
          <w:tab w:val="left" w:pos="567"/>
        </w:tabs>
        <w:suppressAutoHyphens/>
        <w:spacing w:after="0" w:line="240" w:lineRule="auto"/>
        <w:rPr>
          <w:rFonts w:ascii="Times New Roman" w:eastAsia="Times New Roman" w:hAnsi="Times New Roman"/>
        </w:rPr>
      </w:pPr>
      <w:r>
        <w:rPr>
          <w:rFonts w:ascii="Times New Roman" w:eastAsia="Times New Roman" w:hAnsi="Times New Roman"/>
        </w:rPr>
        <w:t xml:space="preserve">Se manifesta un qualsiasi effetto indesiderato, compresi quelli non elencati in questo foglio, si rivolga al medico o al farmacista. Lei può inoltre segnalare gli effetti indesiderati direttamente tramite </w:t>
      </w:r>
      <w:r>
        <w:rPr>
          <w:rFonts w:ascii="Times New Roman" w:eastAsia="Times New Roman" w:hAnsi="Times New Roman"/>
          <w:highlight w:val="lightGray"/>
        </w:rPr>
        <w:t>il sistema nazionale di segnalazione riportato nell’</w:t>
      </w:r>
      <w:hyperlink r:id="rId10" w:history="1">
        <w:r>
          <w:rPr>
            <w:rFonts w:ascii="Times New Roman" w:eastAsia="Times New Roman" w:hAnsi="Times New Roman"/>
            <w:color w:val="0000FF"/>
            <w:highlight w:val="lightGray"/>
            <w:u w:val="single"/>
          </w:rPr>
          <w:t>Allegato V</w:t>
        </w:r>
      </w:hyperlink>
      <w:r>
        <w:rPr>
          <w:rFonts w:ascii="Times New Roman" w:eastAsia="Times New Roman" w:hAnsi="Times New Roman"/>
        </w:rPr>
        <w:t>.</w:t>
      </w:r>
    </w:p>
    <w:p>
      <w:pPr>
        <w:tabs>
          <w:tab w:val="left" w:pos="567"/>
        </w:tabs>
        <w:suppressAutoHyphens/>
        <w:spacing w:after="0" w:line="240" w:lineRule="auto"/>
        <w:rPr>
          <w:rFonts w:ascii="Times New Roman" w:eastAsia="Times New Roman" w:hAnsi="Times New Roman"/>
        </w:rPr>
      </w:pPr>
      <w:r>
        <w:rPr>
          <w:rFonts w:ascii="Times New Roman" w:eastAsia="Times New Roman" w:hAnsi="Times New Roman"/>
        </w:rPr>
        <w:t>Segnalando gli effetti indesiderati lei può contribuire a fornire maggiori informazioni sulla sicurezza di questo medicinale.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5.</w:t>
      </w:r>
      <w:r>
        <w:rPr>
          <w:rFonts w:ascii="Times New Roman" w:eastAsia="Times New Roman" w:hAnsi="Times New Roman"/>
          <w:b/>
          <w:bCs/>
          <w:color w:val="000000"/>
          <w:spacing w:val="-1"/>
          <w:lang w:eastAsia="ar-SA"/>
        </w:rPr>
        <w:tab/>
        <w:t>Come conservare Clopidogrel TAD</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hAnsi="Times New Roman"/>
        </w:rPr>
        <w:t xml:space="preserve">Conservi questo medicinale </w:t>
      </w:r>
      <w:r>
        <w:rPr>
          <w:rFonts w:ascii="Times New Roman" w:eastAsia="Times New Roman" w:hAnsi="Times New Roman"/>
          <w:lang w:eastAsia="ar-SA"/>
        </w:rPr>
        <w:t xml:space="preserve">questo medicinale </w:t>
      </w:r>
      <w:r>
        <w:rPr>
          <w:rFonts w:ascii="Times New Roman" w:eastAsia="Times New Roman" w:hAnsi="Times New Roman"/>
          <w:color w:val="000000"/>
          <w:lang w:eastAsia="ar-SA"/>
        </w:rPr>
        <w:t>fuori dalla vista e dalla portata dei bambini.</w:t>
      </w: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 xml:space="preserve">Non usi </w:t>
      </w:r>
      <w:r>
        <w:rPr>
          <w:rFonts w:ascii="Times New Roman" w:eastAsia="Times New Roman" w:hAnsi="Times New Roman"/>
          <w:lang w:eastAsia="ar-SA"/>
        </w:rPr>
        <w:t xml:space="preserve">questo medicinale </w:t>
      </w:r>
      <w:r>
        <w:rPr>
          <w:rFonts w:ascii="Times New Roman" w:eastAsia="Times New Roman" w:hAnsi="Times New Roman"/>
          <w:color w:val="000000"/>
          <w:spacing w:val="-1"/>
          <w:lang w:eastAsia="ar-SA"/>
        </w:rPr>
        <w:t>dopo la data di scadenza che è riportata sulla scatola e sul blister dopo EXP. La data di scadenza si riferisce all’ultimo giorno di quel mese.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Conservi il medicinale nella confezione originale per proteggerlo dall’umidità e dalla luce.</w:t>
      </w:r>
    </w:p>
    <w:p>
      <w:pPr>
        <w:widowControl w:val="0"/>
        <w:shd w:val="clear" w:color="auto" w:fill="FFFFFF"/>
        <w:suppressAutoHyphens/>
        <w:autoSpaceDE w:val="0"/>
        <w:spacing w:after="0" w:line="240" w:lineRule="auto"/>
        <w:rPr>
          <w:rFonts w:ascii="Times New Roman" w:eastAsia="Times New Roman" w:hAnsi="Times New Roman"/>
          <w:b/>
          <w:bCs/>
          <w:color w:val="000000"/>
          <w:spacing w:val="-16"/>
          <w:lang w:eastAsia="ar-SA"/>
        </w:rPr>
      </w:pP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Non getti alcun medicinale nell’acqua di scarico e nei rifiuti domestici. Chieda al farmacista come eliminare i medicinali che non utilizza più. Questo aiuterà a proteggere l’ambiente.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eastAsia="ar-SA"/>
        </w:rPr>
      </w:pPr>
      <w:r>
        <w:rPr>
          <w:rFonts w:ascii="Times New Roman" w:eastAsia="Times New Roman" w:hAnsi="Times New Roman"/>
          <w:b/>
          <w:bCs/>
          <w:color w:val="000000"/>
          <w:spacing w:val="-1"/>
          <w:lang w:eastAsia="ar-SA"/>
        </w:rPr>
        <w:t xml:space="preserve">6. </w:t>
      </w:r>
      <w:r>
        <w:rPr>
          <w:rFonts w:ascii="Times New Roman" w:eastAsia="Times New Roman" w:hAnsi="Times New Roman"/>
          <w:b/>
          <w:bCs/>
          <w:color w:val="000000"/>
          <w:spacing w:val="-1"/>
          <w:lang w:eastAsia="ar-SA"/>
        </w:rPr>
        <w:tab/>
      </w:r>
      <w:r>
        <w:rPr>
          <w:rFonts w:ascii="Times New Roman" w:hAnsi="Times New Roman"/>
          <w:b/>
        </w:rPr>
        <w:t>Contenuto della confezione e altre informazioni</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color w:val="000000"/>
          <w:lang w:eastAsia="ar-SA"/>
        </w:rPr>
      </w:pPr>
      <w:r>
        <w:rPr>
          <w:rFonts w:ascii="Times New Roman" w:eastAsia="Times New Roman" w:hAnsi="Times New Roman"/>
          <w:b/>
          <w:bCs/>
          <w:color w:val="000000"/>
          <w:lang w:eastAsia="ar-SA"/>
        </w:rPr>
        <w:t xml:space="preserve">Cosa contiene </w:t>
      </w:r>
      <w:r>
        <w:rPr>
          <w:rFonts w:ascii="Times New Roman" w:eastAsia="Times New Roman" w:hAnsi="Times New Roman"/>
          <w:b/>
          <w:color w:val="000000"/>
          <w:lang w:eastAsia="ar-SA"/>
        </w:rPr>
        <w:t>Clopidogrel TAD</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Il principio attivo è clopidogrel. Ogni compressa rivestita con film contiene 75 mg di clopidogrel (come cloridrato).</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eastAsia="ar-SA"/>
        </w:rPr>
      </w:pPr>
      <w:r>
        <w:rPr>
          <w:rFonts w:ascii="Times New Roman" w:eastAsia="Times New Roman" w:hAnsi="Times New Roman"/>
          <w:color w:val="000000"/>
          <w:spacing w:val="-1"/>
          <w:lang w:eastAsia="ar-SA"/>
        </w:rPr>
        <w:t xml:space="preserve">Gli eccipienti nel nucleo della compressa sono: cellulosa microcristallina, silice colloidale anidra, crospovidone (tipo A), macrogol </w:t>
      </w:r>
      <w:r>
        <w:rPr>
          <w:rFonts w:ascii="Times New Roman" w:eastAsia="Times New Roman" w:hAnsi="Times New Roman"/>
          <w:color w:val="000000"/>
          <w:lang w:eastAsia="ar-SA"/>
        </w:rPr>
        <w:t xml:space="preserve">6000, </w:t>
      </w:r>
      <w:r>
        <w:rPr>
          <w:rFonts w:ascii="Times New Roman" w:eastAsia="Times New Roman" w:hAnsi="Times New Roman"/>
          <w:color w:val="000000"/>
          <w:spacing w:val="-1"/>
          <w:lang w:eastAsia="ar-SA"/>
        </w:rPr>
        <w:t>olio di ricino idrogenato</w:t>
      </w:r>
      <w:r>
        <w:rPr>
          <w:rFonts w:ascii="Times New Roman" w:eastAsia="Times New Roman" w:hAnsi="Times New Roman"/>
          <w:color w:val="000000"/>
          <w:lang w:eastAsia="ar-SA"/>
        </w:rPr>
        <w:t xml:space="preserve"> e nel rivestimento della compressa: </w:t>
      </w:r>
      <w:r>
        <w:rPr>
          <w:rFonts w:ascii="Times New Roman" w:eastAsia="Times New Roman" w:hAnsi="Times New Roman"/>
          <w:lang w:eastAsia="ar-SA"/>
        </w:rPr>
        <w:t>alcool polivinilico</w:t>
      </w:r>
      <w:r>
        <w:rPr>
          <w:rFonts w:ascii="Times New Roman" w:eastAsia="Times New Roman" w:hAnsi="Times New Roman"/>
          <w:color w:val="000000"/>
          <w:lang w:eastAsia="ar-SA"/>
        </w:rPr>
        <w:t xml:space="preserve">, titanio diossido (E171), ossido di ferro rosso (E172), </w:t>
      </w:r>
      <w:r>
        <w:rPr>
          <w:rFonts w:ascii="Times New Roman" w:eastAsia="Times New Roman" w:hAnsi="Times New Roman"/>
          <w:spacing w:val="-2"/>
          <w:lang w:eastAsia="ar-SA"/>
        </w:rPr>
        <w:t xml:space="preserve">ossido di ferro giallo (E 172), </w:t>
      </w:r>
      <w:r>
        <w:rPr>
          <w:rFonts w:ascii="Times New Roman" w:eastAsia="Times New Roman" w:hAnsi="Times New Roman"/>
          <w:color w:val="000000"/>
          <w:lang w:eastAsia="ar-SA"/>
        </w:rPr>
        <w:t>talco e</w:t>
      </w:r>
      <w:r>
        <w:rPr>
          <w:rFonts w:ascii="Times New Roman" w:eastAsia="Times New Roman" w:hAnsi="Times New Roman"/>
          <w:color w:val="000000"/>
          <w:spacing w:val="-1"/>
          <w:lang w:eastAsia="ar-SA"/>
        </w:rPr>
        <w:t xml:space="preserve"> macrogol </w:t>
      </w:r>
      <w:r>
        <w:rPr>
          <w:rFonts w:ascii="Times New Roman" w:eastAsia="Times New Roman" w:hAnsi="Times New Roman"/>
          <w:color w:val="000000"/>
          <w:lang w:eastAsia="ar-SA"/>
        </w:rPr>
        <w:t>3000.</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 xml:space="preserve">Descrizione dell'aspetto di </w:t>
      </w:r>
      <w:r>
        <w:rPr>
          <w:rFonts w:ascii="Times New Roman" w:eastAsia="Times New Roman" w:hAnsi="Times New Roman"/>
          <w:b/>
          <w:color w:val="000000"/>
          <w:lang w:eastAsia="ar-SA"/>
        </w:rPr>
        <w:t>Clopidogrel TAD</w:t>
      </w:r>
      <w:r>
        <w:rPr>
          <w:rFonts w:ascii="Times New Roman" w:eastAsia="Times New Roman" w:hAnsi="Times New Roman"/>
          <w:b/>
          <w:bCs/>
          <w:color w:val="000000"/>
          <w:lang w:eastAsia="ar-SA"/>
        </w:rPr>
        <w:t xml:space="preserve"> e contenuto della confezione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Le compresse rivestite con film sono rosa, rotonde e leggermente convesse.</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r>
        <w:rPr>
          <w:rFonts w:ascii="Times New Roman" w:eastAsia="Times New Roman" w:hAnsi="Times New Roman"/>
          <w:color w:val="000000"/>
          <w:spacing w:val="1"/>
          <w:lang w:eastAsia="ar-SA"/>
        </w:rPr>
        <w:t>Vengono fornite in confezioni contenenti blister con 7, 14, 28, 30, 50, 56, 84, 90 e 100 compresse rivestite con film.</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È possibile che non tutte le confezioni siano commercializzate.</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Titolare dell'autorizzazione all'immissione in commercio</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TAD Pharma GmbH, Heinz-Lohmann-Straße 5, 27472 Cuxhaven, Germania</w:t>
      </w:r>
    </w:p>
    <w:p>
      <w:pPr>
        <w:widowControl w:val="0"/>
        <w:suppressAutoHyphens/>
        <w:autoSpaceDE w:val="0"/>
        <w:spacing w:after="0" w:line="240" w:lineRule="auto"/>
        <w:rPr>
          <w:rFonts w:ascii="Times New Roman" w:eastAsia="Times New Roman" w:hAnsi="Times New Roman"/>
          <w:b/>
          <w:bCs/>
          <w:shd w:val="clear" w:color="auto" w:fill="FFFF00"/>
          <w:lang w:eastAsia="ar-SA"/>
        </w:rPr>
      </w:pPr>
    </w:p>
    <w:p>
      <w:pPr>
        <w:widowControl w:val="0"/>
        <w:suppressAutoHyphens/>
        <w:autoSpaceDE w:val="0"/>
        <w:spacing w:after="0" w:line="240" w:lineRule="auto"/>
        <w:rPr>
          <w:rFonts w:ascii="Times New Roman" w:eastAsia="Times New Roman" w:hAnsi="Times New Roman"/>
          <w:b/>
          <w:bCs/>
          <w:lang w:eastAsia="ar-SA"/>
        </w:rPr>
      </w:pPr>
      <w:r>
        <w:rPr>
          <w:rFonts w:ascii="Times New Roman" w:eastAsia="Times New Roman" w:hAnsi="Times New Roman"/>
          <w:b/>
          <w:bCs/>
          <w:lang w:eastAsia="ar-SA"/>
        </w:rPr>
        <w:t>Produttore</w:t>
      </w:r>
    </w:p>
    <w:p>
      <w:pPr>
        <w:widowControl w:val="0"/>
        <w:suppressAutoHyphens/>
        <w:autoSpaceDE w:val="0"/>
        <w:spacing w:after="0" w:line="240" w:lineRule="auto"/>
        <w:rPr>
          <w:rFonts w:ascii="Times New Roman" w:eastAsia="Times New Roman" w:hAnsi="Times New Roman"/>
          <w:lang w:eastAsia="ar-SA"/>
        </w:rPr>
      </w:pPr>
      <w:r>
        <w:rPr>
          <w:rFonts w:ascii="Times New Roman" w:eastAsia="Times New Roman" w:hAnsi="Times New Roman"/>
          <w:lang w:eastAsia="ar-SA"/>
        </w:rPr>
        <w:t>KRKA, d.d., Novo mesto, Šmarješka cesta 6, 8501 Novo mesto, Slovenia</w:t>
      </w:r>
    </w:p>
    <w:p>
      <w:pPr>
        <w:widowControl w:val="0"/>
        <w:suppressAutoHyphens/>
        <w:autoSpaceDE w:val="0"/>
        <w:spacing w:after="0" w:line="240" w:lineRule="auto"/>
        <w:rPr>
          <w:rFonts w:ascii="Times New Roman" w:eastAsia="Times New Roman" w:hAnsi="Times New Roman"/>
          <w:shd w:val="clear" w:color="auto" w:fill="C0C0C0"/>
          <w:lang w:eastAsia="ar-SA"/>
        </w:rPr>
      </w:pPr>
      <w:r>
        <w:rPr>
          <w:rFonts w:ascii="Times New Roman" w:eastAsia="Times New Roman" w:hAnsi="Times New Roman"/>
          <w:shd w:val="clear" w:color="auto" w:fill="C0C0C0"/>
          <w:lang w:eastAsia="ar-SA"/>
        </w:rPr>
        <w:t>TAD Pharma GmbH, Heinz-Lohmann-Straße 5, 27472 Cuxhaven</w:t>
      </w:r>
      <w:r>
        <w:rPr>
          <w:rFonts w:ascii="Times New Roman" w:eastAsia="Times New Roman" w:hAnsi="Times New Roman"/>
          <w:highlight w:val="lightGray"/>
          <w:shd w:val="clear" w:color="auto" w:fill="C0C0C0"/>
          <w:lang w:eastAsia="ar-SA"/>
        </w:rPr>
        <w:t xml:space="preserve">, </w:t>
      </w:r>
      <w:r>
        <w:rPr>
          <w:rFonts w:ascii="Times New Roman" w:eastAsia="Times New Roman" w:hAnsi="Times New Roman"/>
          <w:highlight w:val="lightGray"/>
          <w:lang w:eastAsia="ar-SA"/>
        </w:rPr>
        <w:t>Germania</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b/>
          <w:color w:val="000000"/>
          <w:spacing w:val="-1"/>
          <w:lang w:eastAsia="ar-SA"/>
        </w:rPr>
      </w:pPr>
      <w:r>
        <w:rPr>
          <w:rFonts w:ascii="Times New Roman" w:eastAsia="Times New Roman" w:hAnsi="Times New Roman"/>
          <w:b/>
          <w:color w:val="000000"/>
          <w:spacing w:val="-1"/>
          <w:lang w:eastAsia="ar-SA"/>
        </w:rPr>
        <w:t>Per ulteriori informazioni su questo medicinale, contatti il rappresentante locale del titolare dell'autorizzazione all'immissione in commercio:</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België/Belgique/Belgien</w:t>
            </w:r>
          </w:p>
          <w:p>
            <w:pPr>
              <w:tabs>
                <w:tab w:val="left" w:pos="567"/>
              </w:tabs>
              <w:spacing w:after="0" w:line="260" w:lineRule="exact"/>
              <w:rPr>
                <w:rFonts w:ascii="Times New Roman" w:eastAsia="Times New Roman" w:hAnsi="Times New Roman"/>
                <w:b/>
                <w:noProof/>
              </w:rPr>
            </w:pPr>
            <w:r>
              <w:rPr>
                <w:rFonts w:ascii="Times New Roman" w:eastAsia="Times New Roman" w:hAnsi="Times New Roman"/>
                <w:lang w:eastAsia="sl-SI"/>
              </w:rPr>
              <w:t>KRKA Belgium, SA.</w:t>
            </w:r>
          </w:p>
          <w:p>
            <w:pPr>
              <w:tabs>
                <w:tab w:val="left" w:pos="567"/>
              </w:tabs>
              <w:spacing w:after="0" w:line="260" w:lineRule="exact"/>
              <w:rPr>
                <w:rFonts w:ascii="Times New Roman" w:eastAsia="Times New Roman" w:hAnsi="Times New Roman"/>
                <w:b/>
                <w:noProof/>
              </w:rPr>
            </w:pPr>
            <w:r>
              <w:rPr>
                <w:rFonts w:ascii="Times New Roman" w:eastAsia="Times New Roman" w:hAnsi="Times New Roman"/>
                <w:noProof/>
              </w:rPr>
              <w:t>Tél/Tel:</w:t>
            </w:r>
            <w:r>
              <w:rPr>
                <w:rFonts w:ascii="Times New Roman" w:eastAsia="Times New Roman" w:hAnsi="Times New Roman"/>
                <w:b/>
                <w:noProof/>
              </w:rPr>
              <w:t xml:space="preserve"> </w:t>
            </w:r>
            <w:r>
              <w:rPr>
                <w:rFonts w:ascii="Times New Roman" w:eastAsia="Times New Roman" w:hAnsi="Times New Roman"/>
                <w:noProof/>
                <w:lang w:eastAsia="sl-SI"/>
              </w:rPr>
              <w:t xml:space="preserve">+ 32 (0) </w:t>
            </w:r>
            <w:r>
              <w:rPr>
                <w:rFonts w:ascii="Times New Roman" w:eastAsia="Times New Roman" w:hAnsi="Times New Roman"/>
                <w:szCs w:val="20"/>
                <w:lang w:eastAsia="sl-SI"/>
              </w:rPr>
              <w:t>487 50 73 62</w:t>
            </w:r>
          </w:p>
          <w:p>
            <w:pPr>
              <w:tabs>
                <w:tab w:val="left" w:pos="567"/>
              </w:tabs>
              <w:spacing w:after="0" w:line="260" w:lineRule="exact"/>
              <w:ind w:left="567" w:hanging="567"/>
              <w:rPr>
                <w:rFonts w:ascii="Times New Roman" w:eastAsia="Times New Roman" w:hAnsi="Times New Roman"/>
                <w:b/>
                <w:noProof/>
              </w:rPr>
            </w:pPr>
          </w:p>
        </w:tc>
        <w:tc>
          <w:tcPr>
            <w:tcW w:w="4679"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Lietuva</w:t>
            </w:r>
          </w:p>
          <w:p>
            <w:pPr>
              <w:widowControl w:val="0"/>
              <w:tabs>
                <w:tab w:val="left" w:pos="567"/>
              </w:tabs>
              <w:spacing w:after="0" w:line="260" w:lineRule="exact"/>
              <w:rPr>
                <w:rFonts w:ascii="Times New Roman" w:eastAsia="Times New Roman" w:hAnsi="Times New Roman"/>
                <w:lang w:eastAsia="sl-SI"/>
              </w:rPr>
            </w:pPr>
            <w:r>
              <w:rPr>
                <w:rFonts w:ascii="Times New Roman" w:eastAsia="Times New Roman" w:hAnsi="Times New Roman"/>
                <w:lang w:eastAsia="sl-SI"/>
              </w:rPr>
              <w:t>UAB KRKA Lietuva</w:t>
            </w:r>
          </w:p>
          <w:p>
            <w:pPr>
              <w:tabs>
                <w:tab w:val="left" w:pos="567"/>
              </w:tabs>
              <w:spacing w:after="0" w:line="260" w:lineRule="exact"/>
              <w:rPr>
                <w:rFonts w:ascii="Times New Roman" w:eastAsia="Times New Roman" w:hAnsi="Times New Roman"/>
                <w:b/>
                <w:noProof/>
              </w:rPr>
            </w:pPr>
            <w:r>
              <w:rPr>
                <w:rFonts w:ascii="Times New Roman" w:eastAsia="Times New Roman" w:hAnsi="Times New Roman"/>
                <w:noProof/>
              </w:rPr>
              <w:t>Tel:</w:t>
            </w:r>
            <w:r>
              <w:rPr>
                <w:rFonts w:ascii="Times New Roman" w:eastAsia="Times New Roman" w:hAnsi="Times New Roman"/>
                <w:b/>
                <w:noProof/>
              </w:rPr>
              <w:t xml:space="preserve"> </w:t>
            </w:r>
            <w:r>
              <w:rPr>
                <w:rFonts w:ascii="Times New Roman" w:eastAsia="Times New Roman" w:hAnsi="Times New Roman"/>
              </w:rPr>
              <w:t>+ 370 5 236 27 40</w:t>
            </w:r>
          </w:p>
          <w:p>
            <w:pPr>
              <w:numPr>
                <w:ilvl w:val="12"/>
                <w:numId w:val="0"/>
              </w:numPr>
              <w:tabs>
                <w:tab w:val="left" w:pos="567"/>
              </w:tabs>
              <w:spacing w:after="0" w:line="260" w:lineRule="exact"/>
              <w:ind w:right="-2"/>
              <w:rPr>
                <w:rFonts w:ascii="Times New Roman" w:eastAsia="Times New Roman" w:hAnsi="Times New Roman"/>
                <w:b/>
                <w:noProof/>
              </w:rPr>
            </w:pPr>
          </w:p>
        </w:tc>
      </w:tr>
      <w:tr>
        <w:tc>
          <w:tcPr>
            <w:tcW w:w="4395" w:type="dxa"/>
          </w:tcPr>
          <w:p>
            <w:pPr>
              <w:tabs>
                <w:tab w:val="left" w:pos="567"/>
              </w:tabs>
              <w:spacing w:after="0" w:line="260" w:lineRule="exact"/>
              <w:rPr>
                <w:rFonts w:ascii="Times New Roman" w:eastAsia="Times New Roman" w:hAnsi="Times New Roman"/>
                <w:b/>
                <w:noProof/>
                <w:lang w:val="ru-RU"/>
              </w:rPr>
            </w:pPr>
            <w:r>
              <w:rPr>
                <w:rFonts w:ascii="Times New Roman" w:eastAsia="Times New Roman" w:hAnsi="Times New Roman"/>
                <w:b/>
                <w:noProof/>
                <w:lang w:val="ru-RU"/>
              </w:rPr>
              <w:t>България</w:t>
            </w:r>
          </w:p>
          <w:p>
            <w:pPr>
              <w:tabs>
                <w:tab w:val="left" w:pos="567"/>
              </w:tabs>
              <w:spacing w:after="0" w:line="260" w:lineRule="exact"/>
              <w:rPr>
                <w:rFonts w:ascii="Times New Roman" w:eastAsia="Times New Roman" w:hAnsi="Times New Roman"/>
                <w:b/>
                <w:noProof/>
                <w:lang w:val="ru-RU"/>
              </w:rPr>
            </w:pPr>
            <w:r>
              <w:rPr>
                <w:rFonts w:ascii="Times New Roman" w:hAnsi="Times New Roman"/>
                <w:color w:val="000000"/>
                <w:lang w:val="ru-RU"/>
              </w:rPr>
              <w:t>КРКА</w:t>
            </w:r>
            <w:r>
              <w:rPr>
                <w:rFonts w:ascii="Times New Roman" w:hAnsi="Times New Roman"/>
                <w:color w:val="000000"/>
                <w:lang w:val="ru-RU" w:eastAsia="sl-SI"/>
              </w:rPr>
              <w:t xml:space="preserve"> </w:t>
            </w:r>
            <w:r>
              <w:rPr>
                <w:rFonts w:ascii="Times New Roman" w:hAnsi="Times New Roman"/>
                <w:color w:val="000000"/>
                <w:lang w:val="ru-RU"/>
              </w:rPr>
              <w:t>България</w:t>
            </w:r>
            <w:r>
              <w:rPr>
                <w:rFonts w:ascii="Times New Roman" w:hAnsi="Times New Roman"/>
                <w:color w:val="000000"/>
                <w:lang w:val="ru-RU" w:eastAsia="sl-SI"/>
              </w:rPr>
              <w:t xml:space="preserve"> </w:t>
            </w:r>
            <w:r>
              <w:rPr>
                <w:rFonts w:ascii="Times New Roman" w:hAnsi="Times New Roman"/>
                <w:color w:val="000000"/>
                <w:lang w:val="ru-RU"/>
              </w:rPr>
              <w:t>ЕООД</w:t>
            </w:r>
          </w:p>
          <w:p>
            <w:pPr>
              <w:tabs>
                <w:tab w:val="left" w:pos="567"/>
                <w:tab w:val="left" w:pos="2836"/>
              </w:tabs>
              <w:spacing w:after="0" w:line="260" w:lineRule="exact"/>
              <w:rPr>
                <w:rFonts w:ascii="Times New Roman" w:eastAsia="Times New Roman" w:hAnsi="Times New Roman"/>
                <w:b/>
                <w:noProof/>
                <w:lang w:val="ru-RU"/>
              </w:rPr>
            </w:pPr>
            <w:r>
              <w:rPr>
                <w:rFonts w:ascii="Times New Roman" w:eastAsia="Times New Roman" w:hAnsi="Times New Roman"/>
                <w:noProof/>
              </w:rPr>
              <w:t>Te</w:t>
            </w:r>
            <w:r>
              <w:rPr>
                <w:rFonts w:ascii="Times New Roman" w:hAnsi="Times New Roman"/>
                <w:lang w:val="ru-RU"/>
              </w:rPr>
              <w:t>л</w:t>
            </w:r>
            <w:r>
              <w:rPr>
                <w:rFonts w:ascii="Times New Roman" w:eastAsia="Times New Roman" w:hAnsi="Times New Roman"/>
                <w:noProof/>
                <w:lang w:val="ru-RU"/>
              </w:rPr>
              <w:t>.:</w:t>
            </w:r>
            <w:r>
              <w:rPr>
                <w:rFonts w:ascii="Times New Roman" w:eastAsia="Times New Roman" w:hAnsi="Times New Roman"/>
                <w:b/>
                <w:noProof/>
                <w:lang w:val="ru-RU"/>
              </w:rPr>
              <w:t xml:space="preserve"> + </w:t>
            </w:r>
            <w:r>
              <w:rPr>
                <w:rFonts w:ascii="Times New Roman" w:eastAsia="Times New Roman" w:hAnsi="Times New Roman"/>
                <w:lang w:val="ru-RU"/>
              </w:rPr>
              <w:t>359 (02)</w:t>
            </w:r>
            <w:r>
              <w:rPr>
                <w:rFonts w:ascii="Times New Roman" w:eastAsia="Times New Roman" w:hAnsi="Times New Roman"/>
                <w:b/>
                <w:lang w:val="ru-RU"/>
              </w:rPr>
              <w:t xml:space="preserve"> </w:t>
            </w:r>
            <w:r>
              <w:rPr>
                <w:rFonts w:ascii="Times New Roman" w:eastAsia="Times New Roman" w:hAnsi="Times New Roman"/>
                <w:lang w:val="ru-RU"/>
              </w:rPr>
              <w:t>962 34 50</w:t>
            </w:r>
          </w:p>
          <w:p>
            <w:pPr>
              <w:tabs>
                <w:tab w:val="left" w:pos="567"/>
              </w:tabs>
              <w:spacing w:after="0" w:line="260" w:lineRule="exact"/>
              <w:ind w:left="567" w:hanging="567"/>
              <w:rPr>
                <w:rFonts w:ascii="Times New Roman" w:eastAsia="Times New Roman" w:hAnsi="Times New Roman"/>
                <w:b/>
                <w:noProof/>
                <w:lang w:val="ru-RU"/>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Luxembourg/Luxemburg</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lang w:eastAsia="sl-SI"/>
              </w:rPr>
              <w:t>KRKA Belgium, SA.</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rPr>
              <w:t>Tél/Tel:</w:t>
            </w:r>
            <w:r>
              <w:rPr>
                <w:rFonts w:ascii="Times New Roman" w:eastAsia="Times New Roman" w:hAnsi="Times New Roman"/>
                <w:b/>
                <w:noProof/>
              </w:rPr>
              <w:t xml:space="preserve"> </w:t>
            </w:r>
            <w:r>
              <w:rPr>
                <w:rFonts w:ascii="Times New Roman" w:eastAsia="Times New Roman" w:hAnsi="Times New Roman"/>
                <w:noProof/>
                <w:lang w:eastAsia="sl-SI"/>
              </w:rPr>
              <w:t xml:space="preserve">+ 32 (0) </w:t>
            </w:r>
            <w:r>
              <w:rPr>
                <w:rFonts w:ascii="Times New Roman" w:eastAsia="Times New Roman" w:hAnsi="Times New Roman"/>
                <w:szCs w:val="20"/>
                <w:lang w:eastAsia="sl-SI"/>
              </w:rPr>
              <w:t>487 50 73 62</w:t>
            </w:r>
            <w:r>
              <w:rPr>
                <w:rFonts w:ascii="Times New Roman" w:eastAsia="Times New Roman" w:hAnsi="Times New Roman"/>
                <w:noProof/>
                <w:lang w:eastAsia="sl-SI"/>
              </w:rPr>
              <w:t xml:space="preserve"> (BE)</w:t>
            </w:r>
          </w:p>
        </w:tc>
      </w:tr>
      <w:tr>
        <w:trPr>
          <w:trHeight w:val="873"/>
        </w:trPr>
        <w:tc>
          <w:tcPr>
            <w:tcW w:w="4395" w:type="dxa"/>
          </w:tcPr>
          <w:p>
            <w:pPr>
              <w:tabs>
                <w:tab w:val="left" w:pos="567"/>
              </w:tabs>
              <w:spacing w:after="0" w:line="260" w:lineRule="exact"/>
              <w:rPr>
                <w:rFonts w:ascii="Times New Roman" w:eastAsia="Times New Roman" w:hAnsi="Times New Roman"/>
                <w:b/>
                <w:noProof/>
                <w:lang w:val="en-US"/>
              </w:rPr>
            </w:pPr>
            <w:r>
              <w:rPr>
                <w:rFonts w:ascii="Times New Roman" w:eastAsia="Times New Roman" w:hAnsi="Times New Roman"/>
                <w:b/>
                <w:noProof/>
                <w:lang w:val="en-US"/>
              </w:rPr>
              <w:t>Česká republika</w:t>
            </w:r>
          </w:p>
          <w:p>
            <w:pPr>
              <w:tabs>
                <w:tab w:val="left" w:pos="480"/>
                <w:tab w:val="left" w:pos="567"/>
              </w:tabs>
              <w:spacing w:after="0" w:line="260" w:lineRule="exact"/>
              <w:rPr>
                <w:rFonts w:ascii="Times New Roman" w:eastAsia="Times New Roman" w:hAnsi="Times New Roman"/>
                <w:color w:val="000000"/>
                <w:lang w:val="en-US"/>
              </w:rPr>
            </w:pPr>
            <w:r>
              <w:rPr>
                <w:rFonts w:ascii="Times New Roman" w:eastAsia="Times New Roman" w:hAnsi="Times New Roman"/>
                <w:color w:val="000000"/>
                <w:lang w:val="en-US"/>
              </w:rPr>
              <w:t>KRKA ČR, s.r.o.</w:t>
            </w:r>
          </w:p>
          <w:p>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Tel: + 420 (0) 221 115 150</w:t>
            </w:r>
          </w:p>
          <w:p>
            <w:pPr>
              <w:tabs>
                <w:tab w:val="left" w:pos="567"/>
              </w:tabs>
              <w:spacing w:after="0" w:line="260" w:lineRule="exact"/>
              <w:ind w:left="567" w:hanging="567"/>
              <w:rPr>
                <w:rFonts w:ascii="Times New Roman" w:eastAsia="Times New Roman" w:hAnsi="Times New Roman"/>
                <w:b/>
                <w:noProof/>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Magyarország</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color w:val="000000"/>
              </w:rPr>
              <w:t>KRKA Magyarország Kereskedelmi Kft.</w:t>
            </w:r>
          </w:p>
          <w:p>
            <w:pPr>
              <w:tabs>
                <w:tab w:val="left" w:pos="567"/>
                <w:tab w:val="left" w:pos="708"/>
              </w:tabs>
              <w:spacing w:after="0" w:line="260" w:lineRule="exact"/>
              <w:ind w:left="567" w:hanging="567"/>
              <w:rPr>
                <w:rFonts w:ascii="Times New Roman" w:eastAsia="Times New Roman" w:hAnsi="Times New Roman"/>
                <w:noProof/>
                <w:color w:val="000000"/>
              </w:rPr>
            </w:pPr>
            <w:r>
              <w:rPr>
                <w:rFonts w:ascii="Times New Roman" w:eastAsia="Times New Roman" w:hAnsi="Times New Roman"/>
                <w:noProof/>
              </w:rPr>
              <w:t>Tel.:</w:t>
            </w:r>
            <w:r>
              <w:rPr>
                <w:rFonts w:ascii="Times New Roman" w:eastAsia="Times New Roman" w:hAnsi="Times New Roman"/>
                <w:b/>
                <w:noProof/>
              </w:rPr>
              <w:t xml:space="preserve"> + </w:t>
            </w:r>
            <w:r>
              <w:rPr>
                <w:rFonts w:ascii="Times New Roman" w:eastAsia="Times New Roman" w:hAnsi="Times New Roman"/>
                <w:noProof/>
                <w:color w:val="000000"/>
              </w:rPr>
              <w:t xml:space="preserve">36 </w:t>
            </w:r>
            <w:r>
              <w:rPr>
                <w:rFonts w:ascii="Times New Roman" w:eastAsia="Times New Roman" w:hAnsi="Times New Roman"/>
              </w:rPr>
              <w:t xml:space="preserve">(1) </w:t>
            </w:r>
            <w:r>
              <w:rPr>
                <w:rFonts w:ascii="Times New Roman" w:eastAsia="Times New Roman" w:hAnsi="Times New Roman"/>
                <w:noProof/>
                <w:color w:val="000000"/>
              </w:rPr>
              <w:t>355 8490</w:t>
            </w:r>
          </w:p>
        </w:tc>
      </w:tr>
      <w:tr>
        <w:tc>
          <w:tcPr>
            <w:tcW w:w="4395" w:type="dxa"/>
          </w:tcPr>
          <w:p>
            <w:pPr>
              <w:tabs>
                <w:tab w:val="left" w:pos="567"/>
              </w:tabs>
              <w:spacing w:after="0" w:line="260" w:lineRule="exact"/>
              <w:rPr>
                <w:rFonts w:ascii="Times New Roman" w:eastAsia="Times New Roman" w:hAnsi="Times New Roman"/>
                <w:b/>
                <w:noProof/>
                <w:color w:val="000000"/>
              </w:rPr>
            </w:pPr>
            <w:r>
              <w:rPr>
                <w:rFonts w:ascii="Times New Roman" w:eastAsia="Times New Roman" w:hAnsi="Times New Roman"/>
                <w:b/>
                <w:noProof/>
                <w:color w:val="000000"/>
              </w:rPr>
              <w:t>Danmark</w:t>
            </w:r>
          </w:p>
          <w:p>
            <w:pPr>
              <w:tabs>
                <w:tab w:val="left" w:pos="567"/>
              </w:tabs>
              <w:spacing w:after="0" w:line="260" w:lineRule="exact"/>
              <w:rPr>
                <w:rFonts w:ascii="Times New Roman" w:eastAsia="Times New Roman" w:hAnsi="Times New Roman"/>
                <w:b/>
                <w:noProof/>
                <w:color w:val="000000"/>
              </w:rPr>
            </w:pPr>
            <w:r>
              <w:rPr>
                <w:rFonts w:ascii="Times New Roman" w:eastAsia="Times New Roman" w:hAnsi="Times New Roman"/>
                <w:noProof/>
                <w:color w:val="000000"/>
              </w:rPr>
              <w:t>KRKA Sverige AB</w:t>
            </w:r>
          </w:p>
          <w:p>
            <w:pPr>
              <w:tabs>
                <w:tab w:val="left" w:pos="567"/>
              </w:tabs>
              <w:spacing w:after="0" w:line="260" w:lineRule="exact"/>
              <w:rPr>
                <w:rFonts w:ascii="Times New Roman" w:eastAsia="Times New Roman" w:hAnsi="Times New Roman"/>
                <w:b/>
                <w:noProof/>
                <w:color w:val="000000"/>
              </w:rPr>
            </w:pPr>
            <w:r>
              <w:rPr>
                <w:rFonts w:ascii="Times New Roman" w:eastAsia="Times New Roman" w:hAnsi="Times New Roman"/>
                <w:noProof/>
                <w:color w:val="000000"/>
              </w:rPr>
              <w:t>Tlf:</w:t>
            </w:r>
            <w:r>
              <w:rPr>
                <w:rFonts w:ascii="Times New Roman" w:eastAsia="Times New Roman" w:hAnsi="Times New Roman"/>
                <w:b/>
                <w:noProof/>
                <w:color w:val="000000"/>
              </w:rPr>
              <w:t xml:space="preserve"> + </w:t>
            </w:r>
            <w:r>
              <w:rPr>
                <w:rFonts w:ascii="Times New Roman" w:eastAsia="Times New Roman" w:hAnsi="Times New Roman"/>
                <w:noProof/>
                <w:color w:val="000000"/>
              </w:rPr>
              <w:t>46 (0)</w:t>
            </w:r>
            <w:r>
              <w:rPr>
                <w:rFonts w:ascii="Times New Roman" w:eastAsia="Times New Roman" w:hAnsi="Times New Roman"/>
                <w:color w:val="000000"/>
              </w:rPr>
              <w:t>8 643 67 66 (SE)</w:t>
            </w:r>
          </w:p>
          <w:p>
            <w:pPr>
              <w:tabs>
                <w:tab w:val="left" w:pos="567"/>
              </w:tabs>
              <w:spacing w:after="0" w:line="260" w:lineRule="exact"/>
              <w:ind w:left="567" w:hanging="567"/>
              <w:rPr>
                <w:rFonts w:ascii="Times New Roman" w:eastAsia="Times New Roman" w:hAnsi="Times New Roman"/>
                <w:b/>
                <w:noProof/>
                <w:color w:val="000000"/>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Malta</w:t>
            </w:r>
          </w:p>
          <w:p>
            <w:pPr>
              <w:tabs>
                <w:tab w:val="left" w:pos="567"/>
              </w:tabs>
              <w:spacing w:after="0" w:line="260" w:lineRule="exact"/>
              <w:rPr>
                <w:rFonts w:ascii="Times New Roman" w:eastAsia="Times New Roman" w:hAnsi="Times New Roman"/>
              </w:rPr>
            </w:pPr>
            <w:r>
              <w:rPr>
                <w:rFonts w:ascii="Times New Roman" w:eastAsia="Times New Roman" w:hAnsi="Times New Roman"/>
              </w:rPr>
              <w:t>EJ Busuttil Ltd</w:t>
            </w:r>
          </w:p>
          <w:p>
            <w:pPr>
              <w:tabs>
                <w:tab w:val="left" w:pos="567"/>
                <w:tab w:val="left" w:pos="708"/>
              </w:tabs>
              <w:spacing w:after="0" w:line="260" w:lineRule="exact"/>
              <w:ind w:left="567" w:hanging="567"/>
              <w:rPr>
                <w:rFonts w:ascii="Times New Roman" w:hAnsi="Times New Roman"/>
              </w:rPr>
            </w:pPr>
            <w:r>
              <w:rPr>
                <w:rFonts w:ascii="Times New Roman" w:hAnsi="Times New Roman"/>
              </w:rPr>
              <w:t>Tel: + 356 21445885</w:t>
            </w:r>
          </w:p>
        </w:tc>
      </w:tr>
      <w:tr>
        <w:tc>
          <w:tcPr>
            <w:tcW w:w="4395" w:type="dxa"/>
          </w:tcPr>
          <w:p>
            <w:pPr>
              <w:tabs>
                <w:tab w:val="left" w:pos="567"/>
              </w:tabs>
              <w:spacing w:after="0" w:line="260" w:lineRule="exact"/>
              <w:rPr>
                <w:rFonts w:ascii="Times New Roman" w:eastAsia="Times New Roman" w:hAnsi="Times New Roman"/>
                <w:b/>
                <w:noProof/>
                <w:lang w:val="en-US"/>
              </w:rPr>
            </w:pPr>
            <w:r>
              <w:rPr>
                <w:rFonts w:ascii="Times New Roman" w:eastAsia="Times New Roman" w:hAnsi="Times New Roman"/>
                <w:b/>
                <w:noProof/>
                <w:lang w:val="en-US"/>
              </w:rPr>
              <w:t>Deutschland</w:t>
            </w:r>
          </w:p>
          <w:p>
            <w:pPr>
              <w:tabs>
                <w:tab w:val="left" w:pos="567"/>
              </w:tabs>
              <w:autoSpaceDE w:val="0"/>
              <w:autoSpaceDN w:val="0"/>
              <w:adjustRightInd w:val="0"/>
              <w:spacing w:after="0" w:line="260" w:lineRule="exact"/>
              <w:rPr>
                <w:rFonts w:ascii="Times New Roman" w:eastAsia="Times New Roman" w:hAnsi="Times New Roman"/>
                <w:lang w:val="en-US"/>
              </w:rPr>
            </w:pPr>
            <w:r>
              <w:rPr>
                <w:rFonts w:ascii="Times New Roman" w:eastAsia="Times New Roman" w:hAnsi="Times New Roman"/>
                <w:lang w:val="en-US"/>
              </w:rPr>
              <w:t>TAD Pharma GmbH</w:t>
            </w:r>
          </w:p>
          <w:p>
            <w:pPr>
              <w:tabs>
                <w:tab w:val="left" w:pos="567"/>
              </w:tabs>
              <w:spacing w:after="0" w:line="260" w:lineRule="exact"/>
              <w:rPr>
                <w:rFonts w:ascii="Times New Roman" w:eastAsia="Times New Roman" w:hAnsi="Times New Roman"/>
                <w:b/>
                <w:noProof/>
                <w:lang w:val="en-US"/>
              </w:rPr>
            </w:pPr>
            <w:r>
              <w:rPr>
                <w:rFonts w:ascii="Times New Roman" w:eastAsia="Times New Roman" w:hAnsi="Times New Roman"/>
                <w:lang w:val="en-US"/>
              </w:rPr>
              <w:t>Tel.: + 49 (0) 4721 606-0</w:t>
            </w:r>
          </w:p>
          <w:p>
            <w:pPr>
              <w:tabs>
                <w:tab w:val="left" w:pos="567"/>
              </w:tabs>
              <w:spacing w:after="0" w:line="260" w:lineRule="exact"/>
              <w:ind w:left="567" w:hanging="567"/>
              <w:rPr>
                <w:rFonts w:ascii="Times New Roman" w:eastAsia="Times New Roman" w:hAnsi="Times New Roman"/>
                <w:b/>
                <w:noProof/>
                <w:lang w:val="en-US"/>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Nederland</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lang w:eastAsia="sl-SI"/>
              </w:rPr>
              <w:t>KRKA Belgium, SA.</w:t>
            </w:r>
          </w:p>
          <w:p>
            <w:pPr>
              <w:numPr>
                <w:ilvl w:val="12"/>
                <w:numId w:val="0"/>
              </w:numPr>
              <w:tabs>
                <w:tab w:val="left" w:pos="567"/>
              </w:tabs>
              <w:spacing w:after="0" w:line="260" w:lineRule="exact"/>
              <w:ind w:right="-2"/>
              <w:rPr>
                <w:rFonts w:ascii="Times New Roman" w:eastAsia="Times New Roman" w:hAnsi="Times New Roman"/>
                <w:b/>
                <w:noProof/>
                <w:color w:val="000000"/>
              </w:rPr>
            </w:pPr>
            <w:r>
              <w:rPr>
                <w:rFonts w:ascii="Times New Roman" w:eastAsia="Times New Roman" w:hAnsi="Times New Roman"/>
                <w:noProof/>
              </w:rPr>
              <w:t>Tel:</w:t>
            </w:r>
            <w:r>
              <w:rPr>
                <w:rFonts w:ascii="Times New Roman" w:eastAsia="Times New Roman" w:hAnsi="Times New Roman"/>
                <w:b/>
                <w:noProof/>
              </w:rPr>
              <w:t xml:space="preserve"> </w:t>
            </w:r>
            <w:r>
              <w:rPr>
                <w:rFonts w:ascii="Times New Roman" w:eastAsia="Times New Roman" w:hAnsi="Times New Roman"/>
                <w:noProof/>
                <w:lang w:eastAsia="sl-SI"/>
              </w:rPr>
              <w:t xml:space="preserve">+ 32 (0) </w:t>
            </w:r>
            <w:r>
              <w:rPr>
                <w:rFonts w:ascii="Times New Roman" w:eastAsia="Times New Roman" w:hAnsi="Times New Roman"/>
                <w:szCs w:val="20"/>
                <w:lang w:eastAsia="sl-SI"/>
              </w:rPr>
              <w:t>487 50 73 62</w:t>
            </w:r>
            <w:r>
              <w:rPr>
                <w:rFonts w:ascii="Times New Roman" w:eastAsia="Times New Roman" w:hAnsi="Times New Roman"/>
                <w:noProof/>
                <w:lang w:eastAsia="sl-SI"/>
              </w:rPr>
              <w:t xml:space="preserve"> (BE)</w:t>
            </w:r>
          </w:p>
        </w:tc>
      </w:tr>
      <w:tr>
        <w:tc>
          <w:tcPr>
            <w:tcW w:w="4395"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Eesti</w:t>
            </w:r>
          </w:p>
          <w:p>
            <w:pPr>
              <w:tabs>
                <w:tab w:val="left" w:pos="567"/>
              </w:tabs>
              <w:spacing w:after="0" w:line="260" w:lineRule="exact"/>
              <w:rPr>
                <w:rFonts w:ascii="Times New Roman" w:eastAsia="Times New Roman" w:hAnsi="Times New Roman"/>
                <w:b/>
                <w:noProof/>
              </w:rPr>
            </w:pPr>
            <w:r>
              <w:rPr>
                <w:rFonts w:ascii="Times New Roman" w:eastAsia="Times New Roman" w:hAnsi="Times New Roman"/>
                <w:color w:val="000000"/>
              </w:rPr>
              <w:t>KRKA, d.d., Novo mesto Eesti filiaal</w:t>
            </w:r>
          </w:p>
          <w:p>
            <w:pPr>
              <w:tabs>
                <w:tab w:val="left" w:pos="567"/>
              </w:tabs>
              <w:spacing w:after="0" w:line="260" w:lineRule="exact"/>
              <w:rPr>
                <w:rFonts w:ascii="Times New Roman" w:eastAsia="Times New Roman" w:hAnsi="Times New Roman"/>
                <w:b/>
                <w:noProof/>
              </w:rPr>
            </w:pPr>
            <w:r>
              <w:rPr>
                <w:rFonts w:ascii="Times New Roman" w:eastAsia="Times New Roman" w:hAnsi="Times New Roman"/>
                <w:noProof/>
              </w:rPr>
              <w:t>Tel:</w:t>
            </w:r>
            <w:r>
              <w:rPr>
                <w:rFonts w:ascii="Times New Roman" w:eastAsia="Times New Roman" w:hAnsi="Times New Roman"/>
                <w:b/>
                <w:noProof/>
              </w:rPr>
              <w:t xml:space="preserve"> + </w:t>
            </w:r>
            <w:r>
              <w:rPr>
                <w:rFonts w:ascii="Times New Roman" w:eastAsia="Times New Roman" w:hAnsi="Times New Roman"/>
                <w:noProof/>
              </w:rPr>
              <w:t>372 (0)6 671 658</w:t>
            </w:r>
          </w:p>
          <w:p>
            <w:pPr>
              <w:tabs>
                <w:tab w:val="left" w:pos="567"/>
              </w:tabs>
              <w:spacing w:after="0" w:line="260" w:lineRule="exact"/>
              <w:ind w:left="567" w:hanging="567"/>
              <w:rPr>
                <w:rFonts w:ascii="Times New Roman" w:eastAsia="Times New Roman" w:hAnsi="Times New Roman"/>
                <w:b/>
                <w:noProof/>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Norge</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rPr>
              <w:t>KRKA Sverige AB</w:t>
            </w:r>
          </w:p>
          <w:p>
            <w:pPr>
              <w:numPr>
                <w:ilvl w:val="12"/>
                <w:numId w:val="0"/>
              </w:numPr>
              <w:tabs>
                <w:tab w:val="left" w:pos="567"/>
                <w:tab w:val="left" w:pos="708"/>
              </w:tabs>
              <w:spacing w:after="0" w:line="260" w:lineRule="exact"/>
              <w:ind w:right="-2"/>
              <w:rPr>
                <w:rFonts w:ascii="Times New Roman" w:eastAsia="Times New Roman" w:hAnsi="Times New Roman"/>
                <w:b/>
                <w:noProof/>
              </w:rPr>
            </w:pPr>
            <w:r>
              <w:rPr>
                <w:rFonts w:ascii="Times New Roman" w:eastAsia="Times New Roman" w:hAnsi="Times New Roman"/>
                <w:noProof/>
                <w:color w:val="000000"/>
              </w:rPr>
              <w:t>Tlf:</w:t>
            </w:r>
            <w:r>
              <w:rPr>
                <w:rFonts w:ascii="Times New Roman" w:eastAsia="Times New Roman" w:hAnsi="Times New Roman"/>
                <w:b/>
                <w:noProof/>
                <w:color w:val="000000"/>
              </w:rPr>
              <w:t xml:space="preserve"> + </w:t>
            </w:r>
            <w:r>
              <w:rPr>
                <w:rFonts w:ascii="Times New Roman" w:eastAsia="Times New Roman" w:hAnsi="Times New Roman"/>
                <w:noProof/>
                <w:color w:val="000000"/>
              </w:rPr>
              <w:t>46 (0)</w:t>
            </w:r>
            <w:r>
              <w:rPr>
                <w:rFonts w:ascii="Times New Roman" w:eastAsia="Times New Roman" w:hAnsi="Times New Roman"/>
                <w:color w:val="000000"/>
              </w:rPr>
              <w:t>8 643 67 66 (SE)</w:t>
            </w:r>
          </w:p>
        </w:tc>
      </w:tr>
      <w:tr>
        <w:tc>
          <w:tcPr>
            <w:tcW w:w="4395"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Ελλάδα</w:t>
            </w:r>
          </w:p>
          <w:p>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KRKA ΕΛΛΑΣ ΕΠΕ</w:t>
            </w:r>
          </w:p>
          <w:p>
            <w:pPr>
              <w:tabs>
                <w:tab w:val="left" w:pos="567"/>
              </w:tabs>
              <w:spacing w:after="0" w:line="260" w:lineRule="exact"/>
              <w:rPr>
                <w:rFonts w:ascii="Times New Roman" w:hAnsi="Times New Roman"/>
                <w:color w:val="000000"/>
              </w:rPr>
            </w:pPr>
            <w:r>
              <w:rPr>
                <w:rFonts w:ascii="Times New Roman" w:hAnsi="Times New Roman"/>
                <w:color w:val="000000"/>
              </w:rPr>
              <w:t xml:space="preserve">Τηλ: + 30 </w:t>
            </w:r>
            <w:r>
              <w:rPr>
                <w:rFonts w:ascii="Times New Roman" w:eastAsia="Times New Roman" w:hAnsi="Times New Roman"/>
                <w:color w:val="000000"/>
              </w:rPr>
              <w:t>2100101613</w:t>
            </w:r>
          </w:p>
          <w:p>
            <w:pPr>
              <w:tabs>
                <w:tab w:val="left" w:pos="567"/>
              </w:tabs>
              <w:spacing w:after="0" w:line="260" w:lineRule="exact"/>
              <w:ind w:left="567" w:hanging="567"/>
              <w:rPr>
                <w:rFonts w:ascii="Times New Roman" w:eastAsia="Times New Roman" w:hAnsi="Times New Roman"/>
                <w:b/>
                <w:noProof/>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lang w:val="en-US"/>
              </w:rPr>
            </w:pPr>
            <w:r>
              <w:rPr>
                <w:rFonts w:ascii="Times New Roman" w:eastAsia="Times New Roman" w:hAnsi="Times New Roman"/>
                <w:b/>
                <w:noProof/>
                <w:lang w:val="en-US"/>
              </w:rPr>
              <w:t>Österreich</w:t>
            </w:r>
          </w:p>
          <w:p>
            <w:pPr>
              <w:numPr>
                <w:ilvl w:val="12"/>
                <w:numId w:val="0"/>
              </w:numPr>
              <w:tabs>
                <w:tab w:val="left" w:pos="567"/>
                <w:tab w:val="left" w:pos="708"/>
              </w:tabs>
              <w:spacing w:after="0" w:line="260" w:lineRule="exact"/>
              <w:ind w:right="-2"/>
              <w:rPr>
                <w:rFonts w:ascii="Times New Roman" w:hAnsi="Times New Roman"/>
                <w:lang w:val="en-US"/>
              </w:rPr>
            </w:pPr>
            <w:r>
              <w:rPr>
                <w:rFonts w:ascii="Times New Roman" w:hAnsi="Times New Roman"/>
                <w:lang w:val="en-US"/>
              </w:rPr>
              <w:t>KRKA Pharma GmbH, Wien</w:t>
            </w:r>
          </w:p>
          <w:p>
            <w:pPr>
              <w:numPr>
                <w:ilvl w:val="12"/>
                <w:numId w:val="0"/>
              </w:numPr>
              <w:tabs>
                <w:tab w:val="left" w:pos="567"/>
                <w:tab w:val="left" w:pos="708"/>
              </w:tabs>
              <w:spacing w:after="0" w:line="260" w:lineRule="exact"/>
              <w:ind w:right="-2"/>
              <w:rPr>
                <w:rFonts w:ascii="Times New Roman" w:hAnsi="Times New Roman"/>
                <w:lang w:val="en-US"/>
              </w:rPr>
            </w:pPr>
            <w:r>
              <w:rPr>
                <w:rFonts w:ascii="Times New Roman" w:hAnsi="Times New Roman"/>
                <w:lang w:val="en-US"/>
              </w:rPr>
              <w:t>Tel:</w:t>
            </w:r>
            <w:r>
              <w:rPr>
                <w:rFonts w:ascii="Times New Roman" w:hAnsi="Times New Roman"/>
                <w:b/>
                <w:bCs/>
                <w:lang w:val="en-US"/>
              </w:rPr>
              <w:t xml:space="preserve"> + </w:t>
            </w:r>
            <w:r>
              <w:rPr>
                <w:rFonts w:ascii="Times New Roman" w:hAnsi="Times New Roman"/>
                <w:lang w:val="en-US"/>
              </w:rPr>
              <w:t>43 (0)1 66 24 300</w:t>
            </w:r>
          </w:p>
        </w:tc>
      </w:tr>
      <w:tr>
        <w:tc>
          <w:tcPr>
            <w:tcW w:w="4395"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España</w:t>
            </w:r>
          </w:p>
          <w:p>
            <w:pPr>
              <w:tabs>
                <w:tab w:val="left" w:pos="567"/>
                <w:tab w:val="left" w:pos="708"/>
              </w:tabs>
              <w:spacing w:after="0" w:line="260" w:lineRule="exact"/>
              <w:rPr>
                <w:rFonts w:ascii="Times New Roman" w:hAnsi="Times New Roman"/>
              </w:rPr>
            </w:pPr>
            <w:r>
              <w:rPr>
                <w:rFonts w:ascii="Times New Roman" w:hAnsi="Times New Roman"/>
              </w:rPr>
              <w:t>KRKA Farmacéutica, S.L.</w:t>
            </w:r>
          </w:p>
          <w:p>
            <w:pPr>
              <w:tabs>
                <w:tab w:val="left" w:pos="567"/>
                <w:tab w:val="left" w:pos="708"/>
              </w:tabs>
              <w:spacing w:after="0" w:line="260" w:lineRule="exact"/>
              <w:rPr>
                <w:rFonts w:ascii="Times New Roman" w:hAnsi="Times New Roman"/>
                <w:lang w:eastAsia="sl-SI"/>
              </w:rPr>
            </w:pPr>
            <w:r>
              <w:rPr>
                <w:rFonts w:ascii="Times New Roman" w:hAnsi="Times New Roman"/>
                <w:lang w:eastAsia="sl-SI"/>
              </w:rPr>
              <w:t>Tel: + 34 911 61 03 80</w:t>
            </w:r>
          </w:p>
          <w:p>
            <w:pPr>
              <w:tabs>
                <w:tab w:val="left" w:pos="567"/>
              </w:tabs>
              <w:spacing w:after="0" w:line="260" w:lineRule="exact"/>
              <w:ind w:left="567" w:hanging="567"/>
              <w:rPr>
                <w:rFonts w:ascii="Times New Roman" w:eastAsia="Times New Roman" w:hAnsi="Times New Roman"/>
                <w:b/>
                <w:noProof/>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lang w:val="en-US"/>
              </w:rPr>
            </w:pPr>
            <w:r>
              <w:rPr>
                <w:rFonts w:ascii="Times New Roman" w:eastAsia="Times New Roman" w:hAnsi="Times New Roman"/>
                <w:b/>
                <w:noProof/>
                <w:lang w:val="en-US"/>
              </w:rPr>
              <w:t>Polska</w:t>
            </w:r>
          </w:p>
          <w:p>
            <w:pPr>
              <w:numPr>
                <w:ilvl w:val="12"/>
                <w:numId w:val="0"/>
              </w:numPr>
              <w:tabs>
                <w:tab w:val="left" w:pos="567"/>
              </w:tabs>
              <w:spacing w:after="0" w:line="260" w:lineRule="exact"/>
              <w:ind w:right="-2"/>
              <w:rPr>
                <w:rFonts w:ascii="Times New Roman" w:eastAsia="Times New Roman" w:hAnsi="Times New Roman"/>
                <w:b/>
                <w:noProof/>
                <w:lang w:val="en-US"/>
              </w:rPr>
            </w:pPr>
            <w:r>
              <w:rPr>
                <w:rFonts w:ascii="Times New Roman" w:eastAsia="Times New Roman" w:hAnsi="Times New Roman"/>
                <w:noProof/>
                <w:lang w:val="en-US"/>
              </w:rPr>
              <w:t>KRKA-POLSKA Sp. z o.o.</w:t>
            </w:r>
          </w:p>
          <w:p>
            <w:pPr>
              <w:numPr>
                <w:ilvl w:val="12"/>
                <w:numId w:val="0"/>
              </w:numPr>
              <w:tabs>
                <w:tab w:val="left" w:pos="567"/>
              </w:tabs>
              <w:spacing w:after="0" w:line="260" w:lineRule="exact"/>
              <w:ind w:right="-2"/>
              <w:rPr>
                <w:rFonts w:ascii="Times New Roman" w:eastAsia="Times New Roman" w:hAnsi="Times New Roman"/>
                <w:color w:val="000000"/>
                <w:lang w:eastAsia="de-DE"/>
              </w:rPr>
            </w:pPr>
            <w:r>
              <w:rPr>
                <w:rFonts w:ascii="Times New Roman" w:eastAsia="Times New Roman" w:hAnsi="Times New Roman"/>
                <w:noProof/>
              </w:rPr>
              <w:t>Tel.:</w:t>
            </w:r>
            <w:r>
              <w:rPr>
                <w:rFonts w:ascii="Times New Roman" w:eastAsia="Times New Roman" w:hAnsi="Times New Roman"/>
                <w:b/>
                <w:noProof/>
              </w:rPr>
              <w:t xml:space="preserve"> + </w:t>
            </w:r>
            <w:r>
              <w:rPr>
                <w:rFonts w:ascii="Times New Roman" w:eastAsia="Times New Roman" w:hAnsi="Times New Roman"/>
                <w:noProof/>
              </w:rPr>
              <w:t>48 (0)22 573 7500</w:t>
            </w:r>
          </w:p>
        </w:tc>
      </w:tr>
      <w:tr>
        <w:tc>
          <w:tcPr>
            <w:tcW w:w="4395"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France</w:t>
            </w:r>
          </w:p>
          <w:p>
            <w:pPr>
              <w:tabs>
                <w:tab w:val="left" w:pos="567"/>
                <w:tab w:val="left" w:pos="708"/>
              </w:tabs>
              <w:spacing w:after="0" w:line="260" w:lineRule="exact"/>
              <w:rPr>
                <w:rFonts w:ascii="Times New Roman" w:hAnsi="Times New Roman"/>
                <w:bCs/>
              </w:rPr>
            </w:pPr>
            <w:r>
              <w:rPr>
                <w:rFonts w:ascii="Times New Roman" w:hAnsi="Times New Roman"/>
                <w:bCs/>
              </w:rPr>
              <w:t>KRKA France Eurl</w:t>
            </w:r>
          </w:p>
          <w:p>
            <w:pPr>
              <w:tabs>
                <w:tab w:val="left" w:pos="567"/>
                <w:tab w:val="left" w:pos="708"/>
              </w:tabs>
              <w:spacing w:after="0" w:line="260" w:lineRule="exact"/>
              <w:rPr>
                <w:rFonts w:ascii="Times New Roman" w:hAnsi="Times New Roman"/>
                <w:iCs/>
              </w:rPr>
            </w:pPr>
            <w:r>
              <w:rPr>
                <w:rFonts w:ascii="Times New Roman" w:hAnsi="Times New Roman"/>
                <w:iCs/>
              </w:rPr>
              <w:t>Tél:</w:t>
            </w:r>
            <w:r>
              <w:rPr>
                <w:rFonts w:ascii="Times New Roman" w:hAnsi="Times New Roman"/>
                <w:i/>
                <w:iCs/>
              </w:rPr>
              <w:t xml:space="preserve"> </w:t>
            </w:r>
            <w:r>
              <w:rPr>
                <w:rFonts w:ascii="Times New Roman" w:hAnsi="Times New Roman"/>
                <w:iCs/>
              </w:rPr>
              <w:t>+ 33 1 57 408 225</w:t>
            </w:r>
          </w:p>
          <w:p>
            <w:pPr>
              <w:tabs>
                <w:tab w:val="left" w:pos="567"/>
              </w:tabs>
              <w:spacing w:after="0" w:line="260" w:lineRule="exact"/>
              <w:ind w:left="567" w:hanging="567"/>
              <w:rPr>
                <w:rFonts w:ascii="Times New Roman" w:eastAsia="Times New Roman" w:hAnsi="Times New Roman"/>
                <w:b/>
                <w:noProof/>
              </w:rPr>
            </w:pPr>
          </w:p>
        </w:tc>
        <w:tc>
          <w:tcPr>
            <w:tcW w:w="4679" w:type="dxa"/>
            <w:hideMark/>
          </w:tcPr>
          <w:p>
            <w:pPr>
              <w:numPr>
                <w:ilvl w:val="12"/>
                <w:numId w:val="0"/>
              </w:numPr>
              <w:tabs>
                <w:tab w:val="left" w:pos="567"/>
                <w:tab w:val="left" w:pos="708"/>
              </w:tabs>
              <w:spacing w:after="0" w:line="260" w:lineRule="exact"/>
              <w:ind w:left="33" w:right="-2"/>
              <w:rPr>
                <w:rFonts w:ascii="Times New Roman" w:eastAsia="Times New Roman" w:hAnsi="Times New Roman"/>
                <w:b/>
                <w:noProof/>
              </w:rPr>
            </w:pPr>
            <w:r>
              <w:rPr>
                <w:rFonts w:ascii="Times New Roman" w:eastAsia="Times New Roman" w:hAnsi="Times New Roman"/>
                <w:b/>
                <w:noProof/>
              </w:rPr>
              <w:t>Portugal</w:t>
            </w:r>
          </w:p>
          <w:p>
            <w:pPr>
              <w:numPr>
                <w:ilvl w:val="12"/>
                <w:numId w:val="0"/>
              </w:numPr>
              <w:tabs>
                <w:tab w:val="left" w:pos="567"/>
              </w:tabs>
              <w:spacing w:after="0" w:line="260" w:lineRule="exact"/>
              <w:ind w:left="33" w:right="-2"/>
              <w:rPr>
                <w:rFonts w:ascii="Times New Roman" w:eastAsia="Times New Roman" w:hAnsi="Times New Roman"/>
                <w:b/>
                <w:szCs w:val="20"/>
                <w:lang w:eastAsia="sl-SI"/>
              </w:rPr>
            </w:pPr>
            <w:r>
              <w:rPr>
                <w:rFonts w:ascii="Times New Roman" w:eastAsia="Times New Roman" w:hAnsi="Times New Roman"/>
                <w:bCs/>
                <w:szCs w:val="20"/>
                <w:lang w:eastAsia="sl-SI"/>
              </w:rPr>
              <w:t>KRKA Farmacêutica, Sociedade Unipessoal Lda.</w:t>
            </w:r>
          </w:p>
          <w:p>
            <w:pPr>
              <w:numPr>
                <w:ilvl w:val="12"/>
                <w:numId w:val="0"/>
              </w:numPr>
              <w:tabs>
                <w:tab w:val="left" w:pos="567"/>
              </w:tabs>
              <w:spacing w:after="0" w:line="260" w:lineRule="exact"/>
              <w:ind w:left="33" w:right="-2"/>
              <w:rPr>
                <w:rFonts w:ascii="Times New Roman" w:eastAsia="Times New Roman" w:hAnsi="Times New Roman"/>
                <w:szCs w:val="20"/>
                <w:lang w:eastAsia="sl-SI"/>
              </w:rPr>
            </w:pPr>
            <w:r>
              <w:rPr>
                <w:rFonts w:ascii="Times New Roman" w:eastAsia="Times New Roman" w:hAnsi="Times New Roman"/>
                <w:szCs w:val="20"/>
                <w:lang w:eastAsia="sl-SI"/>
              </w:rPr>
              <w:t>Tel:</w:t>
            </w:r>
            <w:r>
              <w:rPr>
                <w:rFonts w:ascii="Times New Roman" w:eastAsia="Times New Roman" w:hAnsi="Times New Roman"/>
                <w:b/>
                <w:szCs w:val="20"/>
                <w:lang w:eastAsia="sl-SI"/>
              </w:rPr>
              <w:t xml:space="preserve"> + </w:t>
            </w:r>
            <w:r>
              <w:rPr>
                <w:rFonts w:ascii="Times New Roman" w:eastAsia="Times New Roman" w:hAnsi="Times New Roman"/>
                <w:szCs w:val="20"/>
                <w:lang w:eastAsia="sl-SI"/>
              </w:rPr>
              <w:t>351 (0)21 46 43 650</w:t>
            </w:r>
          </w:p>
          <w:p>
            <w:pPr>
              <w:tabs>
                <w:tab w:val="left" w:pos="567"/>
                <w:tab w:val="left" w:pos="708"/>
              </w:tabs>
              <w:autoSpaceDE w:val="0"/>
              <w:autoSpaceDN w:val="0"/>
              <w:adjustRightInd w:val="0"/>
              <w:spacing w:after="0" w:line="260" w:lineRule="exact"/>
              <w:ind w:left="33"/>
              <w:rPr>
                <w:rFonts w:ascii="Times New Roman" w:eastAsia="Times New Roman" w:hAnsi="Times New Roman"/>
                <w:color w:val="000000"/>
                <w:lang w:eastAsia="de-DE"/>
              </w:rPr>
            </w:pPr>
            <w:r>
              <w:rPr>
                <w:rFonts w:ascii="Times New Roman" w:eastAsia="Times New Roman" w:hAnsi="Times New Roman"/>
                <w:color w:val="000000"/>
                <w:lang w:eastAsia="de-DE"/>
              </w:rPr>
              <w:t xml:space="preserve"> </w:t>
            </w:r>
          </w:p>
        </w:tc>
      </w:tr>
      <w:tr>
        <w:tc>
          <w:tcPr>
            <w:tcW w:w="4395" w:type="dxa"/>
          </w:tcPr>
          <w:p>
            <w:pPr>
              <w:widowControl w:val="0"/>
              <w:tabs>
                <w:tab w:val="left" w:pos="567"/>
              </w:tabs>
              <w:spacing w:after="0" w:line="260" w:lineRule="exact"/>
              <w:rPr>
                <w:rFonts w:ascii="Times New Roman" w:eastAsia="Times New Roman" w:hAnsi="Times New Roman"/>
                <w:b/>
                <w:noProof/>
                <w:lang w:eastAsia="sl-SI"/>
              </w:rPr>
            </w:pPr>
            <w:r>
              <w:rPr>
                <w:rFonts w:ascii="Times New Roman" w:eastAsia="Times New Roman" w:hAnsi="Times New Roman"/>
                <w:b/>
                <w:noProof/>
                <w:lang w:eastAsia="sl-SI"/>
              </w:rPr>
              <w:t>Hrvatska</w:t>
            </w:r>
          </w:p>
          <w:p>
            <w:pPr>
              <w:widowControl w:val="0"/>
              <w:tabs>
                <w:tab w:val="left" w:pos="567"/>
              </w:tabs>
              <w:spacing w:after="0" w:line="260" w:lineRule="exact"/>
              <w:rPr>
                <w:rFonts w:ascii="Times New Roman" w:eastAsia="Times New Roman" w:hAnsi="Times New Roman"/>
                <w:noProof/>
                <w:lang w:eastAsia="sl-SI"/>
              </w:rPr>
            </w:pPr>
            <w:r>
              <w:rPr>
                <w:rFonts w:ascii="Times New Roman" w:eastAsia="Times New Roman" w:hAnsi="Times New Roman"/>
                <w:noProof/>
                <w:lang w:eastAsia="sl-SI"/>
              </w:rPr>
              <w:t>KRKA – FARMA d.o.o.</w:t>
            </w:r>
          </w:p>
          <w:p>
            <w:pPr>
              <w:tabs>
                <w:tab w:val="left" w:pos="567"/>
              </w:tabs>
              <w:spacing w:after="0" w:line="260" w:lineRule="exact"/>
              <w:rPr>
                <w:rFonts w:ascii="Times New Roman" w:eastAsia="Times New Roman" w:hAnsi="Times New Roman"/>
                <w:b/>
                <w:noProof/>
                <w:lang w:eastAsia="sl-SI"/>
              </w:rPr>
            </w:pPr>
            <w:r>
              <w:rPr>
                <w:rFonts w:ascii="Times New Roman" w:eastAsia="Times New Roman" w:hAnsi="Times New Roman"/>
                <w:noProof/>
                <w:lang w:eastAsia="sl-SI"/>
              </w:rPr>
              <w:t>Tel: + 385 1 6312 10</w:t>
            </w:r>
            <w:del w:id="7" w:author="MT" w:date="2025-04-02T10:50:00Z">
              <w:r>
                <w:rPr>
                  <w:rFonts w:ascii="Times New Roman" w:eastAsia="Times New Roman" w:hAnsi="Times New Roman"/>
                  <w:noProof/>
                  <w:lang w:eastAsia="sl-SI"/>
                </w:rPr>
                <w:delText>0</w:delText>
              </w:r>
            </w:del>
            <w:ins w:id="8" w:author="MT" w:date="2025-04-02T10:50:00Z">
              <w:r>
                <w:rPr>
                  <w:rFonts w:ascii="Times New Roman" w:eastAsia="Times New Roman" w:hAnsi="Times New Roman"/>
                  <w:noProof/>
                  <w:lang w:eastAsia="sl-SI"/>
                </w:rPr>
                <w:t>1</w:t>
              </w:r>
            </w:ins>
          </w:p>
          <w:p>
            <w:pPr>
              <w:tabs>
                <w:tab w:val="left" w:pos="567"/>
              </w:tabs>
              <w:spacing w:after="0" w:line="260" w:lineRule="exact"/>
              <w:ind w:left="567" w:hanging="567"/>
              <w:rPr>
                <w:rFonts w:ascii="Times New Roman" w:eastAsia="Times New Roman" w:hAnsi="Times New Roman"/>
                <w:b/>
                <w:noProof/>
              </w:rPr>
            </w:pPr>
          </w:p>
        </w:tc>
        <w:tc>
          <w:tcPr>
            <w:tcW w:w="4679" w:type="dxa"/>
          </w:tcPr>
          <w:p>
            <w:pPr>
              <w:numPr>
                <w:ilvl w:val="12"/>
                <w:numId w:val="0"/>
              </w:numPr>
              <w:tabs>
                <w:tab w:val="left" w:pos="567"/>
              </w:tabs>
              <w:spacing w:after="0" w:line="260" w:lineRule="exact"/>
              <w:ind w:right="-2"/>
              <w:rPr>
                <w:rFonts w:ascii="Times New Roman" w:eastAsia="Times New Roman" w:hAnsi="Times New Roman"/>
                <w:b/>
                <w:noProof/>
                <w:lang w:val="en-US"/>
              </w:rPr>
            </w:pPr>
            <w:r>
              <w:rPr>
                <w:rFonts w:ascii="Times New Roman" w:eastAsia="Times New Roman" w:hAnsi="Times New Roman"/>
                <w:b/>
                <w:noProof/>
                <w:lang w:val="en-US"/>
              </w:rPr>
              <w:t>România</w:t>
            </w:r>
          </w:p>
          <w:p>
            <w:pPr>
              <w:tabs>
                <w:tab w:val="left" w:pos="567"/>
                <w:tab w:val="left" w:pos="708"/>
              </w:tabs>
              <w:spacing w:after="0" w:line="260" w:lineRule="exact"/>
              <w:rPr>
                <w:rFonts w:ascii="Times New Roman" w:hAnsi="Times New Roman"/>
                <w:lang w:val="en-US"/>
              </w:rPr>
            </w:pPr>
            <w:r>
              <w:rPr>
                <w:rFonts w:ascii="Times New Roman" w:hAnsi="Times New Roman"/>
                <w:lang w:val="en-US"/>
              </w:rPr>
              <w:t>KRKA Romania S.R.L., Bucharest</w:t>
            </w:r>
          </w:p>
          <w:p>
            <w:pPr>
              <w:tabs>
                <w:tab w:val="left" w:pos="567"/>
                <w:tab w:val="left" w:pos="708"/>
              </w:tabs>
              <w:spacing w:after="0" w:line="260" w:lineRule="exact"/>
              <w:rPr>
                <w:rFonts w:ascii="Times New Roman" w:hAnsi="Times New Roman"/>
                <w:lang w:val="en-US"/>
              </w:rPr>
            </w:pPr>
            <w:r>
              <w:rPr>
                <w:rFonts w:ascii="Times New Roman" w:hAnsi="Times New Roman"/>
                <w:lang w:val="en-US"/>
              </w:rPr>
              <w:t>Tel:</w:t>
            </w:r>
            <w:r>
              <w:rPr>
                <w:rFonts w:ascii="Times New Roman" w:hAnsi="Times New Roman"/>
                <w:b/>
                <w:bCs/>
                <w:lang w:val="en-US"/>
              </w:rPr>
              <w:t xml:space="preserve"> + </w:t>
            </w:r>
            <w:r>
              <w:rPr>
                <w:rFonts w:ascii="Times New Roman" w:eastAsia="Times New Roman" w:hAnsi="Times New Roman"/>
                <w:lang w:val="en-US" w:eastAsia="sl-SI"/>
              </w:rPr>
              <w:t>4 021 310 66 05</w:t>
            </w:r>
          </w:p>
          <w:p>
            <w:pPr>
              <w:numPr>
                <w:ilvl w:val="12"/>
                <w:numId w:val="0"/>
              </w:numPr>
              <w:tabs>
                <w:tab w:val="left" w:pos="567"/>
              </w:tabs>
              <w:spacing w:after="0" w:line="260" w:lineRule="exact"/>
              <w:ind w:right="-2"/>
              <w:rPr>
                <w:rFonts w:ascii="Times New Roman" w:eastAsia="Times New Roman" w:hAnsi="Times New Roman"/>
                <w:b/>
                <w:noProof/>
                <w:lang w:val="en-US"/>
              </w:rPr>
            </w:pPr>
          </w:p>
        </w:tc>
      </w:tr>
      <w:tr>
        <w:tc>
          <w:tcPr>
            <w:tcW w:w="4395" w:type="dxa"/>
          </w:tcPr>
          <w:p>
            <w:pPr>
              <w:tabs>
                <w:tab w:val="left" w:pos="567"/>
              </w:tabs>
              <w:spacing w:after="0" w:line="260" w:lineRule="exact"/>
              <w:rPr>
                <w:rFonts w:ascii="Times New Roman" w:eastAsia="Times New Roman" w:hAnsi="Times New Roman"/>
                <w:b/>
                <w:noProof/>
                <w:lang w:val="en-US"/>
              </w:rPr>
            </w:pPr>
            <w:r>
              <w:rPr>
                <w:rFonts w:ascii="Times New Roman" w:eastAsia="Times New Roman" w:hAnsi="Times New Roman"/>
                <w:b/>
                <w:noProof/>
                <w:lang w:val="en-US"/>
              </w:rPr>
              <w:br w:type="page"/>
              <w:t>Ireland</w:t>
            </w:r>
          </w:p>
          <w:p>
            <w:pPr>
              <w:numPr>
                <w:ilvl w:val="12"/>
                <w:numId w:val="0"/>
              </w:numPr>
              <w:tabs>
                <w:tab w:val="left" w:pos="567"/>
              </w:tabs>
              <w:spacing w:after="0" w:line="260" w:lineRule="exact"/>
              <w:ind w:right="-2"/>
              <w:rPr>
                <w:rFonts w:ascii="Times New Roman" w:eastAsia="Times New Roman" w:hAnsi="Times New Roman"/>
                <w:lang w:val="en-US"/>
              </w:rPr>
            </w:pPr>
            <w:r>
              <w:rPr>
                <w:rFonts w:ascii="Times New Roman" w:eastAsia="Times New Roman" w:hAnsi="Times New Roman"/>
                <w:lang w:val="en-US"/>
              </w:rPr>
              <w:t>KRKA Pharma Dublin, Ltd.</w:t>
            </w:r>
          </w:p>
          <w:p>
            <w:pPr>
              <w:numPr>
                <w:ilvl w:val="12"/>
                <w:numId w:val="0"/>
              </w:numPr>
              <w:tabs>
                <w:tab w:val="left" w:pos="567"/>
              </w:tabs>
              <w:spacing w:after="0" w:line="260" w:lineRule="exact"/>
              <w:ind w:right="-2"/>
              <w:rPr>
                <w:rFonts w:ascii="Times New Roman" w:eastAsia="Times New Roman" w:hAnsi="Times New Roman"/>
                <w:lang w:val="en-US"/>
              </w:rPr>
            </w:pPr>
          </w:p>
          <w:p>
            <w:pPr>
              <w:numPr>
                <w:ilvl w:val="12"/>
                <w:numId w:val="0"/>
              </w:numPr>
              <w:tabs>
                <w:tab w:val="left" w:pos="567"/>
              </w:tabs>
              <w:spacing w:after="0" w:line="260" w:lineRule="exact"/>
              <w:ind w:right="-2"/>
              <w:rPr>
                <w:rFonts w:ascii="Times New Roman" w:eastAsia="Times New Roman" w:hAnsi="Times New Roman"/>
              </w:rPr>
            </w:pPr>
            <w:r>
              <w:rPr>
                <w:rFonts w:ascii="Times New Roman" w:eastAsia="Times New Roman" w:hAnsi="Times New Roman"/>
              </w:rPr>
              <w:t>Tel: + 353 1 413 3710</w:t>
            </w:r>
          </w:p>
          <w:p>
            <w:pPr>
              <w:tabs>
                <w:tab w:val="left" w:pos="567"/>
              </w:tabs>
              <w:spacing w:after="0" w:line="260" w:lineRule="exact"/>
              <w:rPr>
                <w:rFonts w:ascii="Times New Roman" w:eastAsia="Times New Roman" w:hAnsi="Times New Roman"/>
                <w:b/>
                <w:noProof/>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Slovenija</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rPr>
              <w:t>KRKA, d.d., Novo mesto</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rPr>
              <w:t>Tel:</w:t>
            </w:r>
            <w:r>
              <w:rPr>
                <w:rFonts w:ascii="Times New Roman" w:eastAsia="Times New Roman" w:hAnsi="Times New Roman"/>
                <w:b/>
                <w:noProof/>
              </w:rPr>
              <w:t xml:space="preserve"> </w:t>
            </w:r>
            <w:r>
              <w:rPr>
                <w:rFonts w:ascii="Times New Roman" w:eastAsia="Times New Roman" w:hAnsi="Times New Roman"/>
              </w:rPr>
              <w:t>+ 386 (0) 1 47 51 100</w:t>
            </w:r>
          </w:p>
        </w:tc>
      </w:tr>
      <w:tr>
        <w:tc>
          <w:tcPr>
            <w:tcW w:w="4395"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Ísland</w:t>
            </w:r>
          </w:p>
          <w:p>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KRKA Sverige AB</w:t>
            </w:r>
          </w:p>
          <w:p>
            <w:pPr>
              <w:tabs>
                <w:tab w:val="left" w:pos="567"/>
              </w:tabs>
              <w:spacing w:after="0" w:line="260" w:lineRule="exact"/>
              <w:rPr>
                <w:rFonts w:ascii="Times New Roman" w:eastAsia="Times New Roman" w:hAnsi="Times New Roman"/>
                <w:b/>
                <w:noProof/>
              </w:rPr>
            </w:pPr>
            <w:r>
              <w:rPr>
                <w:rFonts w:ascii="Times New Roman" w:eastAsia="Times New Roman" w:hAnsi="Times New Roman"/>
                <w:noProof/>
              </w:rPr>
              <w:t>Sími:</w:t>
            </w:r>
            <w:r>
              <w:rPr>
                <w:rFonts w:ascii="Times New Roman" w:eastAsia="Times New Roman" w:hAnsi="Times New Roman"/>
                <w:b/>
                <w:noProof/>
              </w:rPr>
              <w:t xml:space="preserve"> + </w:t>
            </w:r>
            <w:r>
              <w:rPr>
                <w:rFonts w:ascii="Times New Roman" w:eastAsia="Times New Roman" w:hAnsi="Times New Roman"/>
                <w:noProof/>
              </w:rPr>
              <w:t>46 (0)</w:t>
            </w:r>
            <w:r>
              <w:rPr>
                <w:rFonts w:ascii="Times New Roman" w:eastAsia="Times New Roman" w:hAnsi="Times New Roman"/>
              </w:rPr>
              <w:t>8 643 67 66 (SE)</w:t>
            </w:r>
          </w:p>
          <w:p>
            <w:pPr>
              <w:tabs>
                <w:tab w:val="left" w:pos="567"/>
              </w:tabs>
              <w:spacing w:after="0" w:line="260" w:lineRule="exact"/>
              <w:ind w:left="567" w:hanging="567"/>
              <w:rPr>
                <w:rFonts w:ascii="Times New Roman" w:eastAsia="Times New Roman" w:hAnsi="Times New Roman"/>
                <w:b/>
                <w:noProof/>
              </w:rPr>
            </w:pPr>
          </w:p>
        </w:tc>
        <w:tc>
          <w:tcPr>
            <w:tcW w:w="4679" w:type="dxa"/>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Slovenská republika</w:t>
            </w:r>
          </w:p>
          <w:p>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KRKA Slovensko, s.r.o.</w:t>
            </w:r>
          </w:p>
          <w:p>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Tel.: + 421 (0) 2 571 04 501</w:t>
            </w:r>
          </w:p>
          <w:p>
            <w:pPr>
              <w:numPr>
                <w:ilvl w:val="12"/>
                <w:numId w:val="0"/>
              </w:numPr>
              <w:tabs>
                <w:tab w:val="left" w:pos="567"/>
              </w:tabs>
              <w:spacing w:after="0" w:line="260" w:lineRule="exact"/>
              <w:ind w:right="-2"/>
              <w:rPr>
                <w:rFonts w:ascii="Times New Roman" w:eastAsia="Times New Roman" w:hAnsi="Times New Roman"/>
                <w:b/>
                <w:noProof/>
              </w:rPr>
            </w:pPr>
          </w:p>
        </w:tc>
      </w:tr>
      <w:tr>
        <w:tc>
          <w:tcPr>
            <w:tcW w:w="4395" w:type="dxa"/>
            <w:hideMark/>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Italia</w:t>
            </w:r>
          </w:p>
          <w:p>
            <w:pPr>
              <w:tabs>
                <w:tab w:val="left" w:pos="567"/>
                <w:tab w:val="left" w:pos="708"/>
              </w:tabs>
              <w:spacing w:after="0" w:line="260" w:lineRule="exact"/>
              <w:rPr>
                <w:rFonts w:ascii="Times New Roman" w:hAnsi="Times New Roman"/>
                <w:bCs/>
              </w:rPr>
            </w:pPr>
            <w:r>
              <w:rPr>
                <w:rFonts w:ascii="Times New Roman" w:hAnsi="Times New Roman"/>
                <w:bCs/>
              </w:rPr>
              <w:t>KRKA Farmaceutici Milano, S.r.l.</w:t>
            </w:r>
          </w:p>
          <w:p>
            <w:pPr>
              <w:tabs>
                <w:tab w:val="left" w:pos="567"/>
                <w:tab w:val="left" w:pos="708"/>
              </w:tabs>
              <w:spacing w:after="0" w:line="260" w:lineRule="exact"/>
              <w:ind w:left="567" w:hanging="567"/>
              <w:rPr>
                <w:rFonts w:ascii="Times New Roman" w:hAnsi="Times New Roman"/>
                <w:bCs/>
                <w:lang w:eastAsia="sl-SI"/>
              </w:rPr>
            </w:pPr>
            <w:r>
              <w:rPr>
                <w:rFonts w:ascii="Times New Roman" w:hAnsi="Times New Roman"/>
                <w:bCs/>
                <w:lang w:eastAsia="sl-SI"/>
              </w:rPr>
              <w:t xml:space="preserve">Tel: + 39 02 </w:t>
            </w:r>
            <w:r>
              <w:rPr>
                <w:rFonts w:ascii="Times New Roman" w:hAnsi="Times New Roman"/>
                <w:lang w:eastAsia="sl-SI"/>
              </w:rPr>
              <w:t>3300 8841</w:t>
            </w:r>
          </w:p>
        </w:tc>
        <w:tc>
          <w:tcPr>
            <w:tcW w:w="4679" w:type="dxa"/>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Suomi/Finland</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lang w:eastAsia="sl-SI"/>
              </w:rPr>
              <w:t>KRKA Finland Oy</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rPr>
              <w:t>Puh/Tel:</w:t>
            </w:r>
            <w:r>
              <w:rPr>
                <w:rFonts w:ascii="Times New Roman" w:eastAsia="Times New Roman" w:hAnsi="Times New Roman"/>
                <w:b/>
                <w:noProof/>
              </w:rPr>
              <w:t xml:space="preserve"> </w:t>
            </w:r>
            <w:r>
              <w:rPr>
                <w:rFonts w:ascii="Times New Roman" w:eastAsia="Times New Roman" w:hAnsi="Times New Roman"/>
                <w:noProof/>
                <w:lang w:eastAsia="sl-SI"/>
              </w:rPr>
              <w:t>+ 358 20 754 5330</w:t>
            </w:r>
          </w:p>
          <w:p>
            <w:pPr>
              <w:numPr>
                <w:ilvl w:val="12"/>
                <w:numId w:val="0"/>
              </w:numPr>
              <w:tabs>
                <w:tab w:val="left" w:pos="567"/>
              </w:tabs>
              <w:spacing w:after="0" w:line="260" w:lineRule="exact"/>
              <w:ind w:right="-2"/>
              <w:rPr>
                <w:rFonts w:ascii="Times New Roman" w:eastAsia="Times New Roman" w:hAnsi="Times New Roman"/>
                <w:b/>
                <w:noProof/>
              </w:rPr>
            </w:pPr>
          </w:p>
        </w:tc>
      </w:tr>
      <w:tr>
        <w:tc>
          <w:tcPr>
            <w:tcW w:w="4395" w:type="dxa"/>
          </w:tcPr>
          <w:p>
            <w:pPr>
              <w:tabs>
                <w:tab w:val="left" w:pos="567"/>
              </w:tabs>
              <w:spacing w:after="0" w:line="260" w:lineRule="exact"/>
              <w:rPr>
                <w:rFonts w:ascii="Times New Roman" w:eastAsia="Times New Roman" w:hAnsi="Times New Roman"/>
                <w:b/>
                <w:noProof/>
                <w:lang w:val="en-US"/>
              </w:rPr>
            </w:pPr>
            <w:r>
              <w:rPr>
                <w:rFonts w:ascii="Times New Roman" w:eastAsia="Times New Roman" w:hAnsi="Times New Roman"/>
                <w:b/>
                <w:noProof/>
              </w:rPr>
              <w:t>Κύπρος</w:t>
            </w:r>
          </w:p>
          <w:p>
            <w:pPr>
              <w:tabs>
                <w:tab w:val="left" w:pos="567"/>
              </w:tabs>
              <w:spacing w:after="0" w:line="260" w:lineRule="exact"/>
              <w:rPr>
                <w:rFonts w:ascii="Times New Roman" w:eastAsia="Times New Roman" w:hAnsi="Times New Roman"/>
                <w:b/>
                <w:noProof/>
                <w:lang w:val="en-US"/>
              </w:rPr>
            </w:pPr>
            <w:r>
              <w:rPr>
                <w:rFonts w:ascii="Times New Roman" w:eastAsia="Times New Roman" w:hAnsi="Times New Roman"/>
                <w:lang w:val="en-US"/>
              </w:rPr>
              <w:t>KI.PA. (PHARMACAL) LIMITED</w:t>
            </w:r>
          </w:p>
          <w:p>
            <w:pPr>
              <w:tabs>
                <w:tab w:val="left" w:pos="567"/>
              </w:tabs>
              <w:spacing w:after="0" w:line="260" w:lineRule="exact"/>
              <w:rPr>
                <w:rFonts w:ascii="Times New Roman" w:eastAsia="Times New Roman" w:hAnsi="Times New Roman"/>
                <w:b/>
                <w:noProof/>
                <w:lang w:val="en-US"/>
              </w:rPr>
            </w:pPr>
            <w:r>
              <w:rPr>
                <w:rFonts w:ascii="Times New Roman" w:eastAsia="Times New Roman" w:hAnsi="Times New Roman"/>
                <w:noProof/>
                <w:lang w:eastAsia="sl-SI"/>
              </w:rPr>
              <w:t>Τηλ</w:t>
            </w:r>
            <w:r>
              <w:rPr>
                <w:rFonts w:ascii="Times New Roman" w:eastAsia="Times New Roman" w:hAnsi="Times New Roman"/>
                <w:noProof/>
                <w:lang w:val="en-US"/>
              </w:rPr>
              <w:t>:</w:t>
            </w:r>
            <w:r>
              <w:rPr>
                <w:rFonts w:ascii="Times New Roman" w:eastAsia="Times New Roman" w:hAnsi="Times New Roman"/>
                <w:b/>
                <w:noProof/>
                <w:lang w:val="en-US"/>
              </w:rPr>
              <w:t xml:space="preserve"> + </w:t>
            </w:r>
            <w:r>
              <w:rPr>
                <w:rFonts w:ascii="Times New Roman" w:eastAsia="Times New Roman" w:hAnsi="Times New Roman"/>
                <w:noProof/>
                <w:lang w:val="en-US"/>
              </w:rPr>
              <w:t xml:space="preserve">357 </w:t>
            </w:r>
            <w:del w:id="9" w:author="MT" w:date="2025-04-02T10:50:00Z">
              <w:r>
                <w:rPr>
                  <w:rFonts w:ascii="Times New Roman" w:eastAsia="Times New Roman" w:hAnsi="Times New Roman"/>
                  <w:noProof/>
                  <w:lang w:val="en-US"/>
                </w:rPr>
                <w:delText>(0)</w:delText>
              </w:r>
            </w:del>
            <w:r>
              <w:rPr>
                <w:rFonts w:ascii="Times New Roman" w:eastAsia="Times New Roman" w:hAnsi="Times New Roman"/>
                <w:noProof/>
                <w:lang w:val="en-US"/>
              </w:rPr>
              <w:t>24 651 882 (CY)</w:t>
            </w:r>
          </w:p>
          <w:p>
            <w:pPr>
              <w:tabs>
                <w:tab w:val="left" w:pos="567"/>
              </w:tabs>
              <w:spacing w:after="0" w:line="260" w:lineRule="exact"/>
              <w:ind w:left="567" w:hanging="567"/>
              <w:rPr>
                <w:rFonts w:ascii="Times New Roman" w:eastAsia="Times New Roman" w:hAnsi="Times New Roman"/>
                <w:b/>
                <w:noProof/>
                <w:lang w:val="en-US"/>
              </w:rPr>
            </w:pPr>
          </w:p>
        </w:tc>
        <w:tc>
          <w:tcPr>
            <w:tcW w:w="4679" w:type="dxa"/>
            <w:hideMark/>
          </w:tcPr>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b/>
                <w:noProof/>
              </w:rPr>
              <w:t>Sverige</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rPr>
              <w:t>KRKA Sverige AB</w:t>
            </w:r>
          </w:p>
          <w:p>
            <w:pPr>
              <w:numPr>
                <w:ilvl w:val="12"/>
                <w:numId w:val="0"/>
              </w:numPr>
              <w:tabs>
                <w:tab w:val="left" w:pos="567"/>
              </w:tabs>
              <w:spacing w:after="0" w:line="260" w:lineRule="exact"/>
              <w:ind w:right="-2"/>
              <w:rPr>
                <w:rFonts w:ascii="Times New Roman" w:eastAsia="Times New Roman" w:hAnsi="Times New Roman"/>
                <w:b/>
                <w:noProof/>
              </w:rPr>
            </w:pPr>
            <w:r>
              <w:rPr>
                <w:rFonts w:ascii="Times New Roman" w:eastAsia="Times New Roman" w:hAnsi="Times New Roman"/>
                <w:noProof/>
              </w:rPr>
              <w:t>Tel:</w:t>
            </w:r>
            <w:r>
              <w:rPr>
                <w:rFonts w:ascii="Times New Roman" w:eastAsia="Times New Roman" w:hAnsi="Times New Roman"/>
                <w:b/>
                <w:noProof/>
              </w:rPr>
              <w:t xml:space="preserve"> + </w:t>
            </w:r>
            <w:r>
              <w:rPr>
                <w:rFonts w:ascii="Times New Roman" w:eastAsia="Times New Roman" w:hAnsi="Times New Roman"/>
                <w:noProof/>
              </w:rPr>
              <w:t>46 (0)</w:t>
            </w:r>
            <w:r>
              <w:rPr>
                <w:rFonts w:ascii="Times New Roman" w:eastAsia="Times New Roman" w:hAnsi="Times New Roman"/>
              </w:rPr>
              <w:t>8 643 67 66 (SE)</w:t>
            </w:r>
          </w:p>
        </w:tc>
      </w:tr>
      <w:tr>
        <w:tc>
          <w:tcPr>
            <w:tcW w:w="4395" w:type="dxa"/>
          </w:tcPr>
          <w:p>
            <w:pPr>
              <w:tabs>
                <w:tab w:val="left" w:pos="567"/>
              </w:tabs>
              <w:spacing w:after="0" w:line="260" w:lineRule="exact"/>
              <w:rPr>
                <w:rFonts w:ascii="Times New Roman" w:eastAsia="Times New Roman" w:hAnsi="Times New Roman"/>
                <w:b/>
                <w:noProof/>
              </w:rPr>
            </w:pPr>
            <w:r>
              <w:rPr>
                <w:rFonts w:ascii="Times New Roman" w:eastAsia="Times New Roman" w:hAnsi="Times New Roman"/>
                <w:b/>
                <w:noProof/>
              </w:rPr>
              <w:t>Latvija</w:t>
            </w:r>
          </w:p>
          <w:p>
            <w:pPr>
              <w:tabs>
                <w:tab w:val="left" w:pos="567"/>
              </w:tabs>
              <w:spacing w:after="0" w:line="260" w:lineRule="exact"/>
              <w:rPr>
                <w:rFonts w:ascii="Times New Roman" w:eastAsia="Times New Roman" w:hAnsi="Times New Roman"/>
                <w:b/>
                <w:noProof/>
                <w:lang w:eastAsia="sl-SI"/>
              </w:rPr>
            </w:pPr>
            <w:r>
              <w:rPr>
                <w:rFonts w:ascii="Times New Roman" w:eastAsia="Times New Roman" w:hAnsi="Times New Roman"/>
                <w:lang w:eastAsia="sl-SI"/>
              </w:rPr>
              <w:t>KRKA Latvija SIA</w:t>
            </w:r>
          </w:p>
          <w:p>
            <w:pPr>
              <w:tabs>
                <w:tab w:val="left" w:pos="567"/>
              </w:tabs>
              <w:spacing w:after="0" w:line="260" w:lineRule="exact"/>
              <w:rPr>
                <w:rFonts w:ascii="Times New Roman" w:eastAsia="Times New Roman" w:hAnsi="Times New Roman"/>
                <w:b/>
                <w:noProof/>
              </w:rPr>
            </w:pPr>
            <w:r>
              <w:rPr>
                <w:rFonts w:ascii="Times New Roman" w:eastAsia="Times New Roman" w:hAnsi="Times New Roman"/>
                <w:noProof/>
              </w:rPr>
              <w:t>Tel:</w:t>
            </w:r>
            <w:r>
              <w:rPr>
                <w:rFonts w:ascii="Times New Roman" w:eastAsia="Times New Roman" w:hAnsi="Times New Roman"/>
                <w:b/>
                <w:noProof/>
              </w:rPr>
              <w:t xml:space="preserve"> + </w:t>
            </w:r>
            <w:r>
              <w:rPr>
                <w:rFonts w:ascii="Times New Roman" w:eastAsia="Times New Roman" w:hAnsi="Times New Roman"/>
                <w:noProof/>
              </w:rPr>
              <w:t>371 6733 86 10</w:t>
            </w:r>
          </w:p>
          <w:p>
            <w:pPr>
              <w:tabs>
                <w:tab w:val="left" w:pos="567"/>
              </w:tabs>
              <w:spacing w:after="0" w:line="260" w:lineRule="exact"/>
              <w:ind w:left="567" w:hanging="567"/>
              <w:rPr>
                <w:rFonts w:ascii="Times New Roman" w:eastAsia="Times New Roman" w:hAnsi="Times New Roman"/>
                <w:b/>
                <w:noProof/>
              </w:rPr>
            </w:pPr>
          </w:p>
        </w:tc>
        <w:tc>
          <w:tcPr>
            <w:tcW w:w="4679" w:type="dxa"/>
          </w:tcPr>
          <w:p>
            <w:pPr>
              <w:numPr>
                <w:ilvl w:val="12"/>
                <w:numId w:val="0"/>
              </w:numPr>
              <w:tabs>
                <w:tab w:val="left" w:pos="567"/>
              </w:tabs>
              <w:spacing w:after="0" w:line="240" w:lineRule="auto"/>
              <w:rPr>
                <w:del w:id="10" w:author="MT" w:date="2025-04-02T10:50:00Z"/>
                <w:rFonts w:ascii="Times New Roman" w:hAnsi="Times New Roman"/>
                <w:b/>
                <w:lang w:val="en-US" w:eastAsia="sl-SI"/>
              </w:rPr>
            </w:pPr>
            <w:del w:id="11" w:author="MT" w:date="2025-04-02T10:50:00Z">
              <w:r>
                <w:rPr>
                  <w:rFonts w:ascii="Times New Roman" w:eastAsia="Times New Roman" w:hAnsi="Times New Roman"/>
                  <w:b/>
                  <w:noProof/>
                  <w:lang w:val="en-US"/>
                </w:rPr>
                <w:delText xml:space="preserve">United Kingdom </w:delText>
              </w:r>
              <w:r>
                <w:rPr>
                  <w:rFonts w:ascii="Times New Roman" w:hAnsi="Times New Roman"/>
                  <w:b/>
                  <w:lang w:val="en-US" w:eastAsia="sl-SI"/>
                </w:rPr>
                <w:delText>(Northern Ireland)</w:delText>
              </w:r>
            </w:del>
          </w:p>
          <w:p>
            <w:pPr>
              <w:numPr>
                <w:ilvl w:val="12"/>
                <w:numId w:val="0"/>
              </w:numPr>
              <w:tabs>
                <w:tab w:val="left" w:pos="567"/>
              </w:tabs>
              <w:spacing w:after="0" w:line="240" w:lineRule="auto"/>
              <w:rPr>
                <w:del w:id="12" w:author="MT" w:date="2025-04-02T10:50:00Z"/>
                <w:rFonts w:ascii="Times New Roman" w:hAnsi="Times New Roman"/>
                <w:lang w:val="en-US"/>
              </w:rPr>
            </w:pPr>
            <w:del w:id="13" w:author="MT" w:date="2025-04-02T10:50:00Z">
              <w:r>
                <w:rPr>
                  <w:rFonts w:ascii="Times New Roman" w:eastAsia="Times New Roman" w:hAnsi="Times New Roman"/>
                  <w:lang w:val="en-US"/>
                </w:rPr>
                <w:delText xml:space="preserve">KRKA </w:delText>
              </w:r>
              <w:r>
                <w:rPr>
                  <w:rFonts w:ascii="Times New Roman" w:hAnsi="Times New Roman"/>
                  <w:lang w:val="en-US" w:eastAsia="sl-SI"/>
                </w:rPr>
                <w:delText xml:space="preserve">Pharma Dublin, </w:delText>
              </w:r>
              <w:r>
                <w:rPr>
                  <w:rFonts w:ascii="Times New Roman" w:eastAsia="Times New Roman" w:hAnsi="Times New Roman"/>
                  <w:lang w:val="en-US"/>
                </w:rPr>
                <w:delText>Ltd.</w:delText>
              </w:r>
            </w:del>
          </w:p>
          <w:p>
            <w:pPr>
              <w:numPr>
                <w:ilvl w:val="12"/>
                <w:numId w:val="0"/>
              </w:numPr>
              <w:tabs>
                <w:tab w:val="left" w:pos="567"/>
              </w:tabs>
              <w:spacing w:after="0" w:line="240" w:lineRule="auto"/>
              <w:rPr>
                <w:del w:id="14" w:author="MT" w:date="2025-04-02T10:50:00Z"/>
                <w:rFonts w:ascii="Times New Roman" w:eastAsia="Times New Roman" w:hAnsi="Times New Roman"/>
                <w:b/>
                <w:noProof/>
                <w:lang w:eastAsia="sl-SI"/>
              </w:rPr>
            </w:pPr>
            <w:del w:id="15" w:author="MT" w:date="2025-04-02T10:50:00Z">
              <w:r>
                <w:rPr>
                  <w:rFonts w:ascii="Times New Roman" w:eastAsia="Times New Roman" w:hAnsi="Times New Roman"/>
                  <w:noProof/>
                  <w:lang w:eastAsia="sl-SI"/>
                </w:rPr>
                <w:delText xml:space="preserve">Tel: + </w:delText>
              </w:r>
              <w:r>
                <w:rPr>
                  <w:rFonts w:ascii="Times New Roman" w:hAnsi="Times New Roman"/>
                  <w:lang w:eastAsia="sl-SI"/>
                </w:rPr>
                <w:delText>353 1 413 3710</w:delText>
              </w:r>
            </w:del>
          </w:p>
          <w:p>
            <w:pPr>
              <w:numPr>
                <w:ilvl w:val="12"/>
                <w:numId w:val="0"/>
              </w:numPr>
              <w:tabs>
                <w:tab w:val="left" w:pos="567"/>
              </w:tabs>
              <w:spacing w:after="0" w:line="240" w:lineRule="auto"/>
              <w:rPr>
                <w:rFonts w:ascii="Times New Roman" w:eastAsia="Times New Roman" w:hAnsi="Times New Roman"/>
                <w:b/>
                <w:noProof/>
              </w:rPr>
            </w:pPr>
          </w:p>
        </w:tc>
      </w:tr>
    </w:tbl>
    <w:p>
      <w:pPr>
        <w:widowControl w:val="0"/>
        <w:suppressAutoHyphens/>
        <w:autoSpaceDE w:val="0"/>
        <w:spacing w:after="0" w:line="240" w:lineRule="auto"/>
        <w:rPr>
          <w:rFonts w:ascii="Times New Roman" w:eastAsia="Times New Roman" w:hAnsi="Times New Roman"/>
        </w:rPr>
      </w:pPr>
    </w:p>
    <w:p>
      <w:pPr>
        <w:widowControl w:val="0"/>
        <w:suppressAutoHyphens/>
        <w:autoSpaceDE w:val="0"/>
        <w:spacing w:after="0" w:line="240" w:lineRule="auto"/>
        <w:rPr>
          <w:rFonts w:ascii="Times New Roman" w:eastAsia="Times New Roman" w:hAnsi="Times New Roman"/>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Questo foglio illustrativo è stato aggiornato il</w:t>
      </w:r>
    </w:p>
    <w:p>
      <w:pPr>
        <w:widowControl w:val="0"/>
        <w:shd w:val="clear" w:color="auto" w:fill="FFFFFF"/>
        <w:suppressAutoHyphens/>
        <w:autoSpaceDE w:val="0"/>
        <w:spacing w:after="0" w:line="240" w:lineRule="auto"/>
        <w:rPr>
          <w:rFonts w:ascii="Times New Roman" w:eastAsia="Times New Roman" w:hAnsi="Times New Roman"/>
          <w:color w:val="000000"/>
          <w:spacing w:val="-1"/>
          <w:lang w:eastAsia="ar-SA"/>
        </w:rPr>
      </w:pPr>
    </w:p>
    <w:p>
      <w:pPr>
        <w:widowControl w:val="0"/>
        <w:shd w:val="clear" w:color="auto" w:fill="FFFFFF"/>
        <w:suppressAutoHyphens/>
        <w:autoSpaceDE w:val="0"/>
        <w:spacing w:after="0" w:line="240" w:lineRule="auto"/>
        <w:rPr>
          <w:rFonts w:ascii="Times New Roman" w:eastAsia="Times New Roman" w:hAnsi="Times New Roman"/>
          <w:color w:val="0222FF"/>
          <w:u w:val="single"/>
          <w:lang w:eastAsia="ar-SA"/>
        </w:rPr>
      </w:pPr>
      <w:r>
        <w:rPr>
          <w:rFonts w:ascii="Times New Roman" w:eastAsia="Times New Roman" w:hAnsi="Times New Roman"/>
          <w:color w:val="000000"/>
          <w:spacing w:val="-1"/>
          <w:lang w:eastAsia="ar-SA"/>
        </w:rPr>
        <w:t xml:space="preserve">Informazioni più dettagliate su questo medicinale sono disponibili sul sito web dell'Agenzia europea </w:t>
      </w:r>
      <w:r>
        <w:rPr>
          <w:rFonts w:ascii="Times New Roman" w:eastAsia="Times New Roman" w:hAnsi="Times New Roman"/>
          <w:color w:val="000000"/>
          <w:lang w:eastAsia="ar-SA"/>
        </w:rPr>
        <w:t xml:space="preserve">dei medicinali: </w:t>
      </w:r>
      <w:r>
        <w:rPr>
          <w:rFonts w:ascii="Times New Roman" w:eastAsia="Times New Roman" w:hAnsi="Times New Roman"/>
          <w:color w:val="0222FF"/>
          <w:u w:val="single"/>
          <w:lang w:eastAsia="ar-SA"/>
        </w:rPr>
        <w:t>http://www.ema.europa.eu/</w:t>
      </w:r>
    </w:p>
    <w:p>
      <w:pPr>
        <w:spacing w:line="240" w:lineRule="auto"/>
        <w:rPr>
          <w:rFonts w:ascii="Times New Roman" w:hAnsi="Times New Roman"/>
        </w:rPr>
      </w:pPr>
    </w:p>
    <w:sectPr>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DejaVu Sans">
    <w:charset w:val="00"/>
    <w:family w:val="swiss"/>
    <w:pitch w:val="variable"/>
  </w:font>
  <w:font w:name="(Tipo di carattere testo asiati">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4</w:t>
    </w:r>
    <w:r>
      <w:rPr>
        <w:rFonts w:ascii="Arial" w:hAnsi="Arial" w:cs="Arial"/>
        <w:sz w:val="16"/>
        <w:szCs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sz w:val="18"/>
          <w:szCs w:val="18"/>
          <w:lang w:val="en-US"/>
        </w:rPr>
      </w:pPr>
      <w:r>
        <w:rPr>
          <w:rStyle w:val="FootnoteReference"/>
          <w:sz w:val="18"/>
          <w:szCs w:val="18"/>
        </w:rPr>
        <w:footnoteRef/>
      </w:r>
      <w:r>
        <w:rPr>
          <w:sz w:val="18"/>
          <w:szCs w:val="18"/>
          <w:lang w:val="en-US"/>
        </w:rPr>
        <w:t xml:space="preserve"> </w:t>
      </w:r>
      <w:r>
        <w:rPr>
          <w:sz w:val="18"/>
          <w:szCs w:val="18"/>
          <w:lang w:val="en-GB"/>
        </w:rPr>
        <w:t>Age, Blood pressure, Clinical features, Duration, and Diabetes mellitus diagnosis</w:t>
      </w:r>
    </w:p>
    <w:p>
      <w:pPr>
        <w:pStyle w:val="FootnoteText"/>
        <w:rPr>
          <w:sz w:val="4"/>
          <w:szCs w:val="4"/>
          <w:lang w:val="en-US"/>
        </w:rPr>
      </w:pPr>
    </w:p>
  </w:footnote>
  <w:footnote w:id="3">
    <w:p>
      <w:pPr>
        <w:pStyle w:val="FootnoteText"/>
        <w:rPr>
          <w:sz w:val="18"/>
          <w:szCs w:val="18"/>
          <w:lang w:val="en-US"/>
        </w:rPr>
      </w:pPr>
      <w:r>
        <w:rPr>
          <w:rStyle w:val="FootnoteReference"/>
          <w:sz w:val="18"/>
          <w:szCs w:val="18"/>
        </w:rPr>
        <w:footnoteRef/>
      </w:r>
      <w:r>
        <w:rPr>
          <w:sz w:val="18"/>
          <w:szCs w:val="18"/>
          <w:lang w:val="en-US"/>
        </w:rPr>
        <w:t xml:space="preserve"> </w:t>
      </w:r>
      <w:r>
        <w:rPr>
          <w:sz w:val="18"/>
          <w:szCs w:val="18"/>
          <w:lang w:val="en-GB"/>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17289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48490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D0C59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CE4D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BDA8D7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B69DF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AE22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56D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046E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F443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2"/>
      <w:numFmt w:val="decimal"/>
      <w:lvlText w:val="6.%1"/>
      <w:lvlJc w:val="left"/>
      <w:pPr>
        <w:tabs>
          <w:tab w:val="num" w:pos="0"/>
        </w:tabs>
        <w:ind w:left="0" w:firstLine="0"/>
      </w:pPr>
      <w:rPr>
        <w:rFonts w:ascii="Times New Roman" w:hAnsi="Times New Roman" w:cs="Times New Roman"/>
      </w:rPr>
    </w:lvl>
  </w:abstractNum>
  <w:abstractNum w:abstractNumId="11" w15:restartNumberingAfterBreak="0">
    <w:nsid w:val="00000002"/>
    <w:multiLevelType w:val="multilevel"/>
    <w:tmpl w:val="00000002"/>
    <w:name w:val="WW8Num2"/>
    <w:lvl w:ilvl="0">
      <w:start w:val="1"/>
      <w:numFmt w:val="decimal"/>
      <w:lvlText w:val="%1."/>
      <w:lvlJc w:val="left"/>
      <w:pPr>
        <w:tabs>
          <w:tab w:val="num" w:pos="0"/>
        </w:tabs>
        <w:ind w:left="0" w:firstLine="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3"/>
    <w:multiLevelType w:val="singleLevel"/>
    <w:tmpl w:val="61D6DA82"/>
    <w:lvl w:ilvl="0">
      <w:start w:val="1"/>
      <w:numFmt w:val="bullet"/>
      <w:lvlText w:val="-"/>
      <w:lvlJc w:val="left"/>
      <w:pPr>
        <w:ind w:left="931" w:hanging="360"/>
      </w:pPr>
      <w:rPr>
        <w:rFonts w:ascii="Times New Roman" w:eastAsia="Times New Roman" w:hAnsi="Times New Roman" w:cs="Times New Roman" w:hint="default"/>
      </w:rPr>
    </w:lvl>
  </w:abstractNum>
  <w:abstractNum w:abstractNumId="13" w15:restartNumberingAfterBreak="0">
    <w:nsid w:val="00000004"/>
    <w:multiLevelType w:val="singleLevel"/>
    <w:tmpl w:val="00000004"/>
    <w:name w:val="WW8Num4"/>
    <w:lvl w:ilvl="0">
      <w:start w:val="4"/>
      <w:numFmt w:val="decimal"/>
      <w:lvlText w:val="%1."/>
      <w:lvlJc w:val="left"/>
      <w:pPr>
        <w:tabs>
          <w:tab w:val="num" w:pos="0"/>
        </w:tabs>
        <w:ind w:left="720" w:hanging="360"/>
      </w:pPr>
    </w:lvl>
  </w:abstractNum>
  <w:abstractNum w:abstractNumId="1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15" w15:restartNumberingAfterBreak="0">
    <w:nsid w:val="00000006"/>
    <w:multiLevelType w:val="singleLevel"/>
    <w:tmpl w:val="00000006"/>
    <w:name w:val="WW8Num6"/>
    <w:lvl w:ilvl="0">
      <w:numFmt w:val="bullet"/>
      <w:lvlText w:val="-"/>
      <w:lvlJc w:val="left"/>
      <w:pPr>
        <w:tabs>
          <w:tab w:val="num" w:pos="0"/>
        </w:tabs>
        <w:ind w:left="720" w:hanging="360"/>
      </w:pPr>
      <w:rPr>
        <w:rFonts w:ascii="Times New Roman" w:hAnsi="Times New Roman" w:cs="Times New Roman"/>
      </w:rPr>
    </w:lvl>
  </w:abstractNum>
  <w:abstractNum w:abstractNumId="16" w15:restartNumberingAfterBreak="0">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color w:val="000000"/>
        <w:sz w:val="22"/>
      </w:rPr>
    </w:lvl>
  </w:abstractNum>
  <w:abstractNum w:abstractNumId="17" w15:restartNumberingAfterBreak="0">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rPr>
    </w:lvl>
  </w:abstractNum>
  <w:abstractNum w:abstractNumId="18" w15:restartNumberingAfterBreak="0">
    <w:nsid w:val="00000009"/>
    <w:multiLevelType w:val="singleLevel"/>
    <w:tmpl w:val="78D857C4"/>
    <w:lvl w:ilvl="0">
      <w:numFmt w:val="bullet"/>
      <w:lvlText w:val="-"/>
      <w:lvlJc w:val="left"/>
      <w:pPr>
        <w:ind w:left="360" w:hanging="360"/>
      </w:pPr>
      <w:rPr>
        <w:rFonts w:ascii="Times New Roman" w:eastAsia="Times New Roman" w:hAnsi="Times New Roman" w:cs="Times New Roman" w:hint="default"/>
        <w:b/>
      </w:rPr>
    </w:lvl>
  </w:abstractNum>
  <w:abstractNum w:abstractNumId="19" w15:restartNumberingAfterBreak="0">
    <w:nsid w:val="0000000A"/>
    <w:multiLevelType w:val="singleLevel"/>
    <w:tmpl w:val="0000000A"/>
    <w:name w:val="WW8Num10"/>
    <w:lvl w:ilvl="0">
      <w:numFmt w:val="bullet"/>
      <w:lvlText w:val="-"/>
      <w:lvlJc w:val="left"/>
      <w:pPr>
        <w:tabs>
          <w:tab w:val="num" w:pos="0"/>
        </w:tabs>
        <w:ind w:left="720" w:hanging="360"/>
      </w:pPr>
      <w:rPr>
        <w:rFonts w:ascii="Times New Roman" w:hAnsi="Times New Roman" w:cs="Times New Roman"/>
      </w:rPr>
    </w:lvl>
  </w:abstractNum>
  <w:abstractNum w:abstractNumId="20" w15:restartNumberingAfterBreak="0">
    <w:nsid w:val="04E04780"/>
    <w:multiLevelType w:val="hybridMultilevel"/>
    <w:tmpl w:val="E8E8A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0E7313EB"/>
    <w:multiLevelType w:val="hybridMultilevel"/>
    <w:tmpl w:val="5770F3A2"/>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E9F1C5F"/>
    <w:multiLevelType w:val="hybridMultilevel"/>
    <w:tmpl w:val="5CA232B8"/>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40D6DC2"/>
    <w:multiLevelType w:val="hybridMultilevel"/>
    <w:tmpl w:val="02ACFE6C"/>
    <w:lvl w:ilvl="0" w:tplc="04100003">
      <w:start w:val="1"/>
      <w:numFmt w:val="bullet"/>
      <w:lvlText w:val="o"/>
      <w:lvlJc w:val="left"/>
      <w:pPr>
        <w:ind w:left="1146" w:hanging="360"/>
      </w:pPr>
      <w:rPr>
        <w:rFonts w:ascii="Courier New" w:hAnsi="Courier New" w:cs="Courier New" w:hint="default"/>
      </w:rPr>
    </w:lvl>
    <w:lvl w:ilvl="1" w:tplc="FFFFFFFF">
      <w:numFmt w:val="bullet"/>
      <w:lvlText w:val="•"/>
      <w:lvlJc w:val="left"/>
      <w:pPr>
        <w:ind w:left="1866" w:hanging="360"/>
      </w:pPr>
      <w:rPr>
        <w:rFonts w:ascii="Times New Roman" w:eastAsia="Times New Roman" w:hAnsi="Times New Roman" w:cs="Times New Roman"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4" w15:restartNumberingAfterBreak="0">
    <w:nsid w:val="194D4ECC"/>
    <w:multiLevelType w:val="hybridMultilevel"/>
    <w:tmpl w:val="32847DEC"/>
    <w:lvl w:ilvl="0" w:tplc="5A9EC2A8">
      <w:numFmt w:val="bullet"/>
      <w:lvlText w:val="-"/>
      <w:lvlJc w:val="left"/>
      <w:pPr>
        <w:tabs>
          <w:tab w:val="num" w:pos="360"/>
        </w:tabs>
        <w:ind w:left="360" w:hanging="360"/>
      </w:pPr>
      <w:rPr>
        <w:rFonts w:ascii="Times New Roman" w:eastAsia="Times New Roman" w:hAnsi="Times New Roman" w:cs="Times New Roman" w:hint="default"/>
        <w:b/>
        <w:color w:val="auto"/>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073BF9"/>
    <w:multiLevelType w:val="hybridMultilevel"/>
    <w:tmpl w:val="F506A180"/>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C36897"/>
    <w:multiLevelType w:val="hybridMultilevel"/>
    <w:tmpl w:val="4462DFC6"/>
    <w:lvl w:ilvl="0" w:tplc="08FAAF60">
      <w:start w:val="2"/>
      <w:numFmt w:val="bullet"/>
      <w:lvlText w:val="-"/>
      <w:lvlJc w:val="left"/>
      <w:pPr>
        <w:tabs>
          <w:tab w:val="num" w:pos="720"/>
        </w:tabs>
        <w:ind w:left="720" w:hanging="360"/>
      </w:pPr>
      <w:rPr>
        <w:rFonts w:ascii="Times New Roman" w:eastAsia="Times New Roman" w:hAnsi="Times New Roman" w:cs="Times New Roman" w:hint="default"/>
      </w:rPr>
    </w:lvl>
    <w:lvl w:ilvl="1" w:tplc="0000000E">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5E036CB"/>
    <w:multiLevelType w:val="hybridMultilevel"/>
    <w:tmpl w:val="DF30EBBC"/>
    <w:lvl w:ilvl="0" w:tplc="446A1F96">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9027BE"/>
    <w:multiLevelType w:val="hybridMultilevel"/>
    <w:tmpl w:val="365E10CA"/>
    <w:name w:val="WW8Num822"/>
    <w:lvl w:ilvl="0" w:tplc="61D6DA82">
      <w:start w:val="1"/>
      <w:numFmt w:val="bullet"/>
      <w:lvlText w:val="-"/>
      <w:lvlJc w:val="left"/>
      <w:pPr>
        <w:tabs>
          <w:tab w:val="num" w:pos="36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2B042C1"/>
    <w:multiLevelType w:val="hybridMultilevel"/>
    <w:tmpl w:val="FA121764"/>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40C6B31"/>
    <w:multiLevelType w:val="hybridMultilevel"/>
    <w:tmpl w:val="92B0D77C"/>
    <w:lvl w:ilvl="0" w:tplc="08FAAF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2B4628"/>
    <w:multiLevelType w:val="hybridMultilevel"/>
    <w:tmpl w:val="3CD65E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E47789D"/>
    <w:multiLevelType w:val="hybridMultilevel"/>
    <w:tmpl w:val="C602E07C"/>
    <w:name w:val="WW8Num82"/>
    <w:lvl w:ilvl="0" w:tplc="61D6DA82">
      <w:start w:val="1"/>
      <w:numFmt w:val="bullet"/>
      <w:lvlText w:val="-"/>
      <w:lvlJc w:val="left"/>
      <w:pPr>
        <w:tabs>
          <w:tab w:val="num" w:pos="36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2E4EF4"/>
    <w:multiLevelType w:val="hybridMultilevel"/>
    <w:tmpl w:val="3CDE95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59024C"/>
    <w:multiLevelType w:val="hybridMultilevel"/>
    <w:tmpl w:val="B85E9B66"/>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7B0095F"/>
    <w:multiLevelType w:val="hybridMultilevel"/>
    <w:tmpl w:val="2B42C982"/>
    <w:lvl w:ilvl="0" w:tplc="08E0FB3E">
      <w:start w:val="1"/>
      <w:numFmt w:val="upperLetter"/>
      <w:pStyle w:val="EMEA2"/>
      <w:lvlText w:val="%1."/>
      <w:lvlJc w:val="left"/>
      <w:pPr>
        <w:tabs>
          <w:tab w:val="num" w:pos="720"/>
        </w:tabs>
        <w:ind w:left="720" w:hanging="360"/>
      </w:pPr>
      <w:rPr>
        <w:rFonts w:ascii="Times New Roman" w:hAnsi="Times New Roman"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5252E9"/>
    <w:multiLevelType w:val="hybridMultilevel"/>
    <w:tmpl w:val="6BB43D52"/>
    <w:lvl w:ilvl="0" w:tplc="C08416C2">
      <w:start w:val="1"/>
      <w:numFmt w:val="bullet"/>
      <w:lvlText w:val=""/>
      <w:lvlJc w:val="left"/>
      <w:pPr>
        <w:tabs>
          <w:tab w:val="num" w:pos="851"/>
        </w:tabs>
        <w:ind w:left="851" w:hanging="567"/>
      </w:pPr>
      <w:rPr>
        <w:rFonts w:ascii="Symbol" w:hAnsi="Symbol"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92049C"/>
    <w:multiLevelType w:val="hybridMultilevel"/>
    <w:tmpl w:val="E55C8426"/>
    <w:lvl w:ilvl="0" w:tplc="04100001">
      <w:start w:val="1"/>
      <w:numFmt w:val="bullet"/>
      <w:lvlText w:val=""/>
      <w:lvlJc w:val="left"/>
      <w:pPr>
        <w:tabs>
          <w:tab w:val="num" w:pos="420"/>
        </w:tabs>
        <w:ind w:left="420" w:hanging="360"/>
      </w:pPr>
      <w:rPr>
        <w:rFonts w:ascii="Symbol" w:hAnsi="Symbol" w:hint="default"/>
        <w:color w:val="auto"/>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69B04D33"/>
    <w:multiLevelType w:val="hybridMultilevel"/>
    <w:tmpl w:val="DDCC8436"/>
    <w:lvl w:ilvl="0" w:tplc="295E5DB2">
      <w:start w:val="3"/>
      <w:numFmt w:val="bullet"/>
      <w:lvlText w:val="-"/>
      <w:lvlJc w:val="left"/>
      <w:pPr>
        <w:tabs>
          <w:tab w:val="num" w:pos="360"/>
        </w:tabs>
        <w:ind w:left="36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32493B"/>
    <w:multiLevelType w:val="hybridMultilevel"/>
    <w:tmpl w:val="3E0CC0C6"/>
    <w:lvl w:ilvl="0" w:tplc="61D6DA82">
      <w:start w:val="1"/>
      <w:numFmt w:val="bullet"/>
      <w:lvlText w:val="-"/>
      <w:lvlJc w:val="left"/>
      <w:pPr>
        <w:tabs>
          <w:tab w:val="num" w:pos="360"/>
        </w:tabs>
        <w:ind w:left="360" w:hanging="360"/>
      </w:pPr>
      <w:rPr>
        <w:rFonts w:ascii="Times New Roman" w:eastAsia="Times New Roman" w:hAnsi="Times New Roman" w:cs="Times New Roman" w:hint="default"/>
        <w:b/>
        <w:color w:val="auto"/>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491C9A"/>
    <w:multiLevelType w:val="hybridMultilevel"/>
    <w:tmpl w:val="0896D7D2"/>
    <w:lvl w:ilvl="0" w:tplc="04100003">
      <w:start w:val="1"/>
      <w:numFmt w:val="bullet"/>
      <w:lvlText w:val="o"/>
      <w:lvlJc w:val="left"/>
      <w:pPr>
        <w:tabs>
          <w:tab w:val="num" w:pos="360"/>
        </w:tabs>
        <w:ind w:left="360" w:hanging="360"/>
      </w:pPr>
      <w:rPr>
        <w:rFonts w:ascii="Courier New" w:hAnsi="Courier New" w:cs="Courier New" w:hint="default"/>
        <w:b/>
        <w:color w:val="auto"/>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4503CE"/>
    <w:multiLevelType w:val="hybridMultilevel"/>
    <w:tmpl w:val="A60A3F84"/>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8"/>
  </w:num>
  <w:num w:numId="7">
    <w:abstractNumId w:val="32"/>
  </w:num>
  <w:num w:numId="8">
    <w:abstractNumId w:val="28"/>
  </w:num>
  <w:num w:numId="9">
    <w:abstractNumId w:val="31"/>
  </w:num>
  <w:num w:numId="10">
    <w:abstractNumId w:val="41"/>
  </w:num>
  <w:num w:numId="11">
    <w:abstractNumId w:val="21"/>
  </w:num>
  <w:num w:numId="12">
    <w:abstractNumId w:val="36"/>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33"/>
  </w:num>
  <w:num w:numId="24">
    <w:abstractNumId w:val="24"/>
  </w:num>
  <w:num w:numId="25">
    <w:abstractNumId w:val="35"/>
  </w:num>
  <w:num w:numId="26">
    <w:abstractNumId w:val="20"/>
  </w:num>
  <w:num w:numId="27">
    <w:abstractNumId w:val="34"/>
  </w:num>
  <w:num w:numId="28">
    <w:abstractNumId w:val="30"/>
  </w:num>
  <w:num w:numId="29">
    <w:abstractNumId w:val="29"/>
  </w:num>
  <w:num w:numId="30">
    <w:abstractNumId w:val="38"/>
  </w:num>
  <w:num w:numId="31">
    <w:abstractNumId w:val="25"/>
  </w:num>
  <w:num w:numId="32">
    <w:abstractNumId w:val="37"/>
  </w:num>
  <w:num w:numId="33">
    <w:abstractNumId w:val="40"/>
  </w:num>
  <w:num w:numId="34">
    <w:abstractNumId w:val="39"/>
  </w:num>
  <w:num w:numId="35">
    <w:abstractNumId w:val="23"/>
  </w:num>
  <w:num w:numId="36">
    <w:abstractNumId w:val="26"/>
  </w:num>
  <w:num w:numId="37">
    <w:abstractNumId w:val="27"/>
  </w:num>
  <w:num w:numId="38">
    <w:abstractNumId w:val="2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T">
    <w15:presenceInfo w15:providerId="None" w15:userId="M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0"/>
  <w:activeWritingStyle w:appName="MSWord" w:lang="es-ES"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doNotTrackFormatting/>
  <w:defaultTabStop w:val="708"/>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28AC698-0696-403B-AD5E-678BF793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t-IT" w:eastAsia="en-US"/>
    </w:rPr>
  </w:style>
  <w:style w:type="paragraph" w:styleId="Heading1">
    <w:name w:val="heading 1"/>
    <w:basedOn w:val="Normal"/>
    <w:next w:val="Normal"/>
    <w:link w:val="Heading1Char"/>
    <w:uiPriority w:val="9"/>
    <w:qFormat/>
    <w:pPr>
      <w:keepNext/>
      <w:widowControl w:val="0"/>
      <w:suppressAutoHyphens/>
      <w:autoSpaceDE w:val="0"/>
      <w:spacing w:before="240" w:after="60" w:line="240" w:lineRule="auto"/>
      <w:outlineLvl w:val="0"/>
    </w:pPr>
    <w:rPr>
      <w:rFonts w:ascii="Cambria" w:eastAsia="Times New Roman" w:hAnsi="Cambria"/>
      <w:b/>
      <w:bCs/>
      <w:kern w:val="32"/>
      <w:sz w:val="32"/>
      <w:szCs w:val="32"/>
      <w:lang w:eastAsia="ar-SA"/>
    </w:rPr>
  </w:style>
  <w:style w:type="paragraph" w:styleId="Heading2">
    <w:name w:val="heading 2"/>
    <w:basedOn w:val="Normal"/>
    <w:next w:val="Normal"/>
    <w:link w:val="Heading2Char"/>
    <w:uiPriority w:val="9"/>
    <w:semiHidden/>
    <w:unhideWhenUsed/>
    <w:qFormat/>
    <w:pPr>
      <w:keepNext/>
      <w:widowControl w:val="0"/>
      <w:suppressAutoHyphens/>
      <w:autoSpaceDE w:val="0"/>
      <w:spacing w:before="240" w:after="60" w:line="240" w:lineRule="auto"/>
      <w:outlineLvl w:val="1"/>
    </w:pPr>
    <w:rPr>
      <w:rFonts w:ascii="Cambria" w:eastAsia="Times New Roman" w:hAnsi="Cambria"/>
      <w:b/>
      <w:bCs/>
      <w:i/>
      <w:iCs/>
      <w:sz w:val="28"/>
      <w:szCs w:val="28"/>
      <w:lang w:eastAsia="ar-SA"/>
    </w:rPr>
  </w:style>
  <w:style w:type="paragraph" w:styleId="Heading3">
    <w:name w:val="heading 3"/>
    <w:basedOn w:val="Normal"/>
    <w:next w:val="Normal"/>
    <w:link w:val="Heading3Char"/>
    <w:uiPriority w:val="9"/>
    <w:semiHidden/>
    <w:unhideWhenUsed/>
    <w:qFormat/>
    <w:pPr>
      <w:keepNext/>
      <w:widowControl w:val="0"/>
      <w:suppressAutoHyphens/>
      <w:autoSpaceDE w:val="0"/>
      <w:spacing w:before="240" w:after="60" w:line="240" w:lineRule="auto"/>
      <w:outlineLvl w:val="2"/>
    </w:pPr>
    <w:rPr>
      <w:rFonts w:ascii="Cambria" w:eastAsia="Times New Roman" w:hAnsi="Cambria"/>
      <w:b/>
      <w:bCs/>
      <w:sz w:val="26"/>
      <w:szCs w:val="26"/>
      <w:lang w:eastAsia="ar-SA"/>
    </w:rPr>
  </w:style>
  <w:style w:type="paragraph" w:styleId="Heading4">
    <w:name w:val="heading 4"/>
    <w:basedOn w:val="Normal"/>
    <w:next w:val="Normal"/>
    <w:link w:val="Heading4Char"/>
    <w:uiPriority w:val="9"/>
    <w:semiHidden/>
    <w:unhideWhenUsed/>
    <w:qFormat/>
    <w:pPr>
      <w:keepNext/>
      <w:widowControl w:val="0"/>
      <w:suppressAutoHyphens/>
      <w:autoSpaceDE w:val="0"/>
      <w:spacing w:before="240" w:after="60" w:line="240" w:lineRule="auto"/>
      <w:outlineLvl w:val="3"/>
    </w:pPr>
    <w:rPr>
      <w:rFonts w:eastAsia="Times New Roman"/>
      <w:b/>
      <w:bCs/>
      <w:sz w:val="28"/>
      <w:szCs w:val="28"/>
      <w:lang w:eastAsia="ar-SA"/>
    </w:rPr>
  </w:style>
  <w:style w:type="paragraph" w:styleId="Heading5">
    <w:name w:val="heading 5"/>
    <w:basedOn w:val="Normal"/>
    <w:next w:val="Normal"/>
    <w:link w:val="Heading5Char"/>
    <w:uiPriority w:val="9"/>
    <w:semiHidden/>
    <w:unhideWhenUsed/>
    <w:qFormat/>
    <w:pPr>
      <w:widowControl w:val="0"/>
      <w:suppressAutoHyphens/>
      <w:autoSpaceDE w:val="0"/>
      <w:spacing w:before="240" w:after="60" w:line="240" w:lineRule="auto"/>
      <w:outlineLvl w:val="4"/>
    </w:pPr>
    <w:rPr>
      <w:rFonts w:eastAsia="Times New Roman"/>
      <w:b/>
      <w:bCs/>
      <w:i/>
      <w:iCs/>
      <w:sz w:val="26"/>
      <w:szCs w:val="26"/>
      <w:lang w:eastAsia="ar-SA"/>
    </w:rPr>
  </w:style>
  <w:style w:type="paragraph" w:styleId="Heading6">
    <w:name w:val="heading 6"/>
    <w:basedOn w:val="Normal"/>
    <w:next w:val="Normal"/>
    <w:link w:val="Heading6Char"/>
    <w:uiPriority w:val="9"/>
    <w:semiHidden/>
    <w:unhideWhenUsed/>
    <w:qFormat/>
    <w:pPr>
      <w:widowControl w:val="0"/>
      <w:suppressAutoHyphens/>
      <w:autoSpaceDE w:val="0"/>
      <w:spacing w:before="240" w:after="60" w:line="240" w:lineRule="auto"/>
      <w:outlineLvl w:val="5"/>
    </w:pPr>
    <w:rPr>
      <w:rFonts w:eastAsia="Times New Roman"/>
      <w:b/>
      <w:bCs/>
      <w:sz w:val="20"/>
      <w:szCs w:val="20"/>
      <w:lang w:eastAsia="ar-SA"/>
    </w:rPr>
  </w:style>
  <w:style w:type="paragraph" w:styleId="Heading7">
    <w:name w:val="heading 7"/>
    <w:basedOn w:val="Normal"/>
    <w:next w:val="Normal"/>
    <w:link w:val="Heading7Char"/>
    <w:uiPriority w:val="9"/>
    <w:semiHidden/>
    <w:unhideWhenUsed/>
    <w:qFormat/>
    <w:pPr>
      <w:widowControl w:val="0"/>
      <w:suppressAutoHyphens/>
      <w:autoSpaceDE w:val="0"/>
      <w:spacing w:before="240" w:after="60" w:line="240" w:lineRule="auto"/>
      <w:outlineLvl w:val="6"/>
    </w:pPr>
    <w:rPr>
      <w:rFonts w:eastAsia="Times New Roman"/>
      <w:sz w:val="24"/>
      <w:szCs w:val="24"/>
      <w:lang w:eastAsia="ar-SA"/>
    </w:rPr>
  </w:style>
  <w:style w:type="paragraph" w:styleId="Heading8">
    <w:name w:val="heading 8"/>
    <w:basedOn w:val="Normal"/>
    <w:next w:val="Normal"/>
    <w:link w:val="Heading8Char"/>
    <w:uiPriority w:val="9"/>
    <w:semiHidden/>
    <w:unhideWhenUsed/>
    <w:qFormat/>
    <w:pPr>
      <w:widowControl w:val="0"/>
      <w:suppressAutoHyphens/>
      <w:autoSpaceDE w:val="0"/>
      <w:spacing w:before="240" w:after="60" w:line="240" w:lineRule="auto"/>
      <w:outlineLvl w:val="7"/>
    </w:pPr>
    <w:rPr>
      <w:rFonts w:eastAsia="Times New Roman"/>
      <w:i/>
      <w:iCs/>
      <w:sz w:val="24"/>
      <w:szCs w:val="24"/>
      <w:lang w:eastAsia="ar-SA"/>
    </w:rPr>
  </w:style>
  <w:style w:type="paragraph" w:styleId="Heading9">
    <w:name w:val="heading 9"/>
    <w:basedOn w:val="Normal"/>
    <w:next w:val="Normal"/>
    <w:link w:val="Heading9Char"/>
    <w:uiPriority w:val="9"/>
    <w:semiHidden/>
    <w:unhideWhenUsed/>
    <w:qFormat/>
    <w:pPr>
      <w:widowControl w:val="0"/>
      <w:suppressAutoHyphens/>
      <w:autoSpaceDE w:val="0"/>
      <w:spacing w:before="240" w:after="60" w:line="240" w:lineRule="auto"/>
      <w:outlineLvl w:val="8"/>
    </w:pPr>
    <w:rPr>
      <w:rFonts w:ascii="Cambria" w:eastAsia="Times New Roman" w:hAnsi="Cambria"/>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it-IT" w:eastAsia="ar-SA"/>
    </w:rPr>
  </w:style>
  <w:style w:type="character" w:customStyle="1" w:styleId="Heading2Char">
    <w:name w:val="Heading 2 Char"/>
    <w:link w:val="Heading2"/>
    <w:uiPriority w:val="9"/>
    <w:semiHidden/>
    <w:rPr>
      <w:rFonts w:ascii="Cambria" w:eastAsia="Times New Roman" w:hAnsi="Cambria" w:cs="Times New Roman"/>
      <w:b/>
      <w:bCs/>
      <w:i/>
      <w:iCs/>
      <w:sz w:val="28"/>
      <w:szCs w:val="28"/>
      <w:lang w:val="it-IT" w:eastAsia="ar-SA"/>
    </w:rPr>
  </w:style>
  <w:style w:type="character" w:customStyle="1" w:styleId="Heading3Char">
    <w:name w:val="Heading 3 Char"/>
    <w:link w:val="Heading3"/>
    <w:uiPriority w:val="9"/>
    <w:semiHidden/>
    <w:rPr>
      <w:rFonts w:ascii="Cambria" w:eastAsia="Times New Roman" w:hAnsi="Cambria" w:cs="Times New Roman"/>
      <w:b/>
      <w:bCs/>
      <w:sz w:val="26"/>
      <w:szCs w:val="26"/>
      <w:lang w:val="it-IT" w:eastAsia="ar-SA"/>
    </w:rPr>
  </w:style>
  <w:style w:type="character" w:customStyle="1" w:styleId="Heading4Char">
    <w:name w:val="Heading 4 Char"/>
    <w:link w:val="Heading4"/>
    <w:uiPriority w:val="9"/>
    <w:semiHidden/>
    <w:rPr>
      <w:rFonts w:ascii="Calibri" w:eastAsia="Times New Roman" w:hAnsi="Calibri" w:cs="Times New Roman"/>
      <w:b/>
      <w:bCs/>
      <w:sz w:val="28"/>
      <w:szCs w:val="28"/>
      <w:lang w:val="it-IT" w:eastAsia="ar-SA"/>
    </w:rPr>
  </w:style>
  <w:style w:type="character" w:customStyle="1" w:styleId="Heading5Char">
    <w:name w:val="Heading 5 Char"/>
    <w:link w:val="Heading5"/>
    <w:uiPriority w:val="9"/>
    <w:semiHidden/>
    <w:rPr>
      <w:rFonts w:ascii="Calibri" w:eastAsia="Times New Roman" w:hAnsi="Calibri" w:cs="Times New Roman"/>
      <w:b/>
      <w:bCs/>
      <w:i/>
      <w:iCs/>
      <w:sz w:val="26"/>
      <w:szCs w:val="26"/>
      <w:lang w:val="it-IT" w:eastAsia="ar-SA"/>
    </w:rPr>
  </w:style>
  <w:style w:type="character" w:customStyle="1" w:styleId="Heading6Char">
    <w:name w:val="Heading 6 Char"/>
    <w:link w:val="Heading6"/>
    <w:uiPriority w:val="9"/>
    <w:semiHidden/>
    <w:rPr>
      <w:rFonts w:ascii="Calibri" w:eastAsia="Times New Roman" w:hAnsi="Calibri" w:cs="Times New Roman"/>
      <w:b/>
      <w:bCs/>
      <w:lang w:val="it-IT" w:eastAsia="ar-SA"/>
    </w:rPr>
  </w:style>
  <w:style w:type="character" w:customStyle="1" w:styleId="Heading7Char">
    <w:name w:val="Heading 7 Char"/>
    <w:link w:val="Heading7"/>
    <w:uiPriority w:val="9"/>
    <w:semiHidden/>
    <w:rPr>
      <w:rFonts w:ascii="Calibri" w:eastAsia="Times New Roman" w:hAnsi="Calibri" w:cs="Times New Roman"/>
      <w:sz w:val="24"/>
      <w:szCs w:val="24"/>
      <w:lang w:val="it-IT" w:eastAsia="ar-SA"/>
    </w:rPr>
  </w:style>
  <w:style w:type="character" w:customStyle="1" w:styleId="Heading8Char">
    <w:name w:val="Heading 8 Char"/>
    <w:link w:val="Heading8"/>
    <w:uiPriority w:val="9"/>
    <w:semiHidden/>
    <w:rPr>
      <w:rFonts w:ascii="Calibri" w:eastAsia="Times New Roman" w:hAnsi="Calibri" w:cs="Times New Roman"/>
      <w:i/>
      <w:iCs/>
      <w:sz w:val="24"/>
      <w:szCs w:val="24"/>
      <w:lang w:val="it-IT" w:eastAsia="ar-SA"/>
    </w:rPr>
  </w:style>
  <w:style w:type="character" w:customStyle="1" w:styleId="Heading9Char">
    <w:name w:val="Heading 9 Char"/>
    <w:link w:val="Heading9"/>
    <w:uiPriority w:val="9"/>
    <w:semiHidden/>
    <w:rPr>
      <w:rFonts w:ascii="Cambria" w:eastAsia="Times New Roman" w:hAnsi="Cambria" w:cs="Times New Roman"/>
      <w:lang w:val="it-IT" w:eastAsia="ar-SA"/>
    </w:rPr>
  </w:style>
  <w:style w:type="numbering" w:customStyle="1" w:styleId="Brezseznama1">
    <w:name w:val="Brez seznama1"/>
    <w:next w:val="NoList"/>
    <w:uiPriority w:val="99"/>
    <w:semiHidden/>
    <w:unhideWhenUsed/>
  </w:style>
  <w:style w:type="character" w:customStyle="1" w:styleId="WW8Num1z0">
    <w:name w:val="WW8Num1z0"/>
    <w:rPr>
      <w:rFonts w:ascii="Times New Roman" w:hAnsi="Times New Roman" w:cs="Times New Roman"/>
    </w:rPr>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6z0">
    <w:name w:val="WW8Num6z0"/>
    <w:rPr>
      <w:rFonts w:ascii="Times New Roman" w:eastAsia="Times New Roman" w:hAnsi="Times New Roman" w:cs="Times New Roman"/>
    </w:rPr>
  </w:style>
  <w:style w:type="character" w:customStyle="1" w:styleId="WW8Num7z0">
    <w:name w:val="WW8Num7z0"/>
    <w:rPr>
      <w:rFonts w:ascii="Times New Roman" w:eastAsia="Times New Roman" w:hAnsi="Times New Roman" w:cs="Times New Roman"/>
      <w:color w:val="000000"/>
      <w:sz w:val="22"/>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Absatz-Standardschriftart">
    <w:name w:val="Absatz-Standardschriftart"/>
  </w:style>
  <w:style w:type="character" w:customStyle="1" w:styleId="WW8Num4z0">
    <w:name w:val="WW8Num4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Times New Roman" w:hAnsi="Times New Roman" w:cs="Times New Roman"/>
    </w:rPr>
  </w:style>
  <w:style w:type="character" w:customStyle="1" w:styleId="WW8Num13z1">
    <w:name w:val="WW8Num13z1"/>
    <w:rPr>
      <w:rFonts w:ascii="Times New Roman" w:eastAsia="Times New Roman" w:hAnsi="Times New Roman" w:cs="Times New Roman"/>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3z4">
    <w:name w:val="WW8Num13z4"/>
    <w:rPr>
      <w:rFonts w:ascii="Courier New" w:hAnsi="Courier New" w:cs="Courier New"/>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0">
    <w:name w:val="WW8Num16z0"/>
    <w:rPr>
      <w:rFonts w:ascii="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1z0">
    <w:name w:val="WW8Num21z0"/>
    <w:rPr>
      <w:rFonts w:ascii="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St6z0">
    <w:name w:val="WW8NumSt6z0"/>
    <w:rPr>
      <w:rFonts w:ascii="Times New Roman" w:hAnsi="Times New Roman" w:cs="Times New Roman"/>
    </w:rPr>
  </w:style>
  <w:style w:type="character" w:customStyle="1" w:styleId="WW8NumSt7z0">
    <w:name w:val="WW8NumSt7z0"/>
    <w:rPr>
      <w:rFonts w:ascii="Times New Roman" w:hAnsi="Times New Roman" w:cs="Times New Roman"/>
    </w:rPr>
  </w:style>
  <w:style w:type="character" w:customStyle="1" w:styleId="WW8NumSt8z0">
    <w:name w:val="WW8NumSt8z0"/>
    <w:rPr>
      <w:rFonts w:ascii="Times New Roman" w:hAnsi="Times New Roman" w:cs="Times New Roman"/>
    </w:rPr>
  </w:style>
  <w:style w:type="character" w:customStyle="1" w:styleId="WW8NumSt9z0">
    <w:name w:val="WW8NumSt9z0"/>
    <w:rPr>
      <w:rFonts w:ascii="Times New Roman" w:hAnsi="Times New Roman" w:cs="Times New Roman"/>
    </w:rPr>
  </w:style>
  <w:style w:type="character" w:customStyle="1" w:styleId="Carpredefinitoparagrafo2">
    <w:name w:val="Car. predefinito paragrafo2"/>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Carpredefinitoparagrafo1">
    <w:name w:val="Car. predefinito paragrafo1"/>
  </w:style>
  <w:style w:type="character" w:styleId="Hyperlink">
    <w:name w:val="Hyperlink"/>
    <w:rPr>
      <w:color w:val="0000FF"/>
      <w:u w:val="single"/>
    </w:rPr>
  </w:style>
  <w:style w:type="character" w:customStyle="1" w:styleId="Caratteredinumerazione">
    <w:name w:val="Carattere di numerazione"/>
  </w:style>
  <w:style w:type="paragraph" w:customStyle="1" w:styleId="Intestazione3">
    <w:name w:val="Intestazione3"/>
    <w:basedOn w:val="Normal"/>
    <w:next w:val="BodyText"/>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BodyText">
    <w:name w:val="Body Text"/>
    <w:basedOn w:val="Normal"/>
    <w:link w:val="BodyTextChar"/>
    <w:semiHidden/>
    <w:pPr>
      <w:widowControl w:val="0"/>
      <w:suppressAutoHyphens/>
      <w:autoSpaceDE w:val="0"/>
      <w:spacing w:after="120" w:line="240" w:lineRule="auto"/>
    </w:pPr>
    <w:rPr>
      <w:rFonts w:ascii="Times New Roman" w:eastAsia="Times New Roman" w:hAnsi="Times New Roman"/>
      <w:sz w:val="20"/>
      <w:szCs w:val="20"/>
      <w:lang w:eastAsia="ar-SA"/>
    </w:rPr>
  </w:style>
  <w:style w:type="character" w:customStyle="1" w:styleId="BodyTextChar">
    <w:name w:val="Body Text Char"/>
    <w:link w:val="BodyText"/>
    <w:semiHidden/>
    <w:rPr>
      <w:rFonts w:ascii="Times New Roman" w:eastAsia="Times New Roman" w:hAnsi="Times New Roman" w:cs="Times New Roman"/>
      <w:sz w:val="20"/>
      <w:szCs w:val="20"/>
      <w:lang w:val="it-IT" w:eastAsia="ar-SA"/>
    </w:rPr>
  </w:style>
  <w:style w:type="paragraph" w:styleId="List">
    <w:name w:val="List"/>
    <w:basedOn w:val="BodyText"/>
    <w:semiHidden/>
  </w:style>
  <w:style w:type="paragraph" w:customStyle="1" w:styleId="Didascalia3">
    <w:name w:val="Didascalia3"/>
    <w:basedOn w:val="Normal"/>
    <w:pPr>
      <w:widowControl w:val="0"/>
      <w:suppressLineNumbers/>
      <w:suppressAutoHyphens/>
      <w:autoSpaceDE w:val="0"/>
      <w:spacing w:before="120" w:after="120" w:line="240" w:lineRule="auto"/>
    </w:pPr>
    <w:rPr>
      <w:rFonts w:ascii="Times New Roman" w:eastAsia="Times New Roman" w:hAnsi="Times New Roman" w:cs="Tahoma"/>
      <w:i/>
      <w:iCs/>
      <w:sz w:val="24"/>
      <w:szCs w:val="24"/>
      <w:lang w:eastAsia="ar-SA"/>
    </w:rPr>
  </w:style>
  <w:style w:type="paragraph" w:customStyle="1" w:styleId="Indice">
    <w:name w:val="Indice"/>
    <w:basedOn w:val="Normal"/>
    <w:pPr>
      <w:widowControl w:val="0"/>
      <w:suppressLineNumbers/>
      <w:suppressAutoHyphens/>
      <w:autoSpaceDE w:val="0"/>
      <w:spacing w:after="0" w:line="240" w:lineRule="auto"/>
    </w:pPr>
    <w:rPr>
      <w:rFonts w:ascii="Times New Roman" w:eastAsia="Times New Roman" w:hAnsi="Times New Roman"/>
      <w:sz w:val="20"/>
      <w:szCs w:val="20"/>
      <w:lang w:eastAsia="ar-SA"/>
    </w:rPr>
  </w:style>
  <w:style w:type="paragraph" w:customStyle="1" w:styleId="Intestazione2">
    <w:name w:val="Intestazione2"/>
    <w:basedOn w:val="Normal"/>
    <w:next w:val="BodyText"/>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customStyle="1" w:styleId="Didascalia2">
    <w:name w:val="Didascalia2"/>
    <w:basedOn w:val="Normal"/>
    <w:pPr>
      <w:widowControl w:val="0"/>
      <w:suppressLineNumbers/>
      <w:suppressAutoHyphens/>
      <w:autoSpaceDE w:val="0"/>
      <w:spacing w:before="120" w:after="120" w:line="240" w:lineRule="auto"/>
    </w:pPr>
    <w:rPr>
      <w:rFonts w:ascii="Times New Roman" w:eastAsia="Times New Roman" w:hAnsi="Times New Roman" w:cs="Tahoma"/>
      <w:i/>
      <w:iCs/>
      <w:sz w:val="24"/>
      <w:szCs w:val="24"/>
      <w:lang w:eastAsia="ar-SA"/>
    </w:rPr>
  </w:style>
  <w:style w:type="paragraph" w:customStyle="1" w:styleId="Intestazione1">
    <w:name w:val="Intestazione1"/>
    <w:basedOn w:val="Normal"/>
    <w:next w:val="BodyText"/>
    <w:pPr>
      <w:keepNext/>
      <w:widowControl w:val="0"/>
      <w:suppressAutoHyphens/>
      <w:autoSpaceDE w:val="0"/>
      <w:spacing w:before="240" w:after="120" w:line="240" w:lineRule="auto"/>
    </w:pPr>
    <w:rPr>
      <w:rFonts w:ascii="DejaVu Sans" w:eastAsia="DejaVu Sans" w:hAnsi="DejaVu Sans" w:cs="DejaVu Sans"/>
      <w:sz w:val="28"/>
      <w:szCs w:val="28"/>
      <w:lang w:eastAsia="ar-SA"/>
    </w:rPr>
  </w:style>
  <w:style w:type="paragraph" w:customStyle="1" w:styleId="Didascalia1">
    <w:name w:val="Didascalia1"/>
    <w:basedOn w:val="Normal"/>
    <w:pPr>
      <w:widowControl w:val="0"/>
      <w:suppressLineNumbers/>
      <w:suppressAutoHyphens/>
      <w:autoSpaceDE w:val="0"/>
      <w:spacing w:before="120" w:after="120" w:line="240" w:lineRule="auto"/>
    </w:pPr>
    <w:rPr>
      <w:rFonts w:ascii="Times New Roman" w:eastAsia="Times New Roman" w:hAnsi="Times New Roman"/>
      <w:i/>
      <w:iCs/>
      <w:sz w:val="24"/>
      <w:szCs w:val="24"/>
      <w:lang w:eastAsia="ar-SA"/>
    </w:rPr>
  </w:style>
  <w:style w:type="paragraph" w:customStyle="1" w:styleId="Contenutotabella">
    <w:name w:val="Contenuto tabella"/>
    <w:basedOn w:val="Normal"/>
    <w:pPr>
      <w:widowControl w:val="0"/>
      <w:suppressLineNumbers/>
      <w:suppressAutoHyphens/>
      <w:autoSpaceDE w:val="0"/>
      <w:spacing w:after="0" w:line="240" w:lineRule="auto"/>
    </w:pPr>
    <w:rPr>
      <w:rFonts w:ascii="Times New Roman" w:eastAsia="Times New Roman" w:hAnsi="Times New Roman"/>
      <w:sz w:val="20"/>
      <w:szCs w:val="20"/>
      <w:lang w:eastAsia="ar-SA"/>
    </w:rPr>
  </w:style>
  <w:style w:type="paragraph" w:customStyle="1" w:styleId="Intestazionetabella">
    <w:name w:val="Intestazione tabella"/>
    <w:basedOn w:val="Contenutotabella"/>
    <w:pPr>
      <w:jc w:val="center"/>
    </w:pPr>
    <w:rPr>
      <w:b/>
      <w:bCs/>
    </w:rPr>
  </w:style>
  <w:style w:type="paragraph" w:customStyle="1" w:styleId="Title1">
    <w:name w:val="Title1"/>
    <w:basedOn w:val="Normal"/>
    <w:link w:val="Title1Znak"/>
    <w:qFormat/>
    <w:pPr>
      <w:widowControl w:val="0"/>
      <w:shd w:val="clear" w:color="auto" w:fill="FFFFFF"/>
      <w:suppressAutoHyphens/>
      <w:autoSpaceDE w:val="0"/>
      <w:spacing w:after="0" w:line="240" w:lineRule="auto"/>
      <w:jc w:val="center"/>
    </w:pPr>
    <w:rPr>
      <w:rFonts w:ascii="Times New Roman" w:eastAsia="Times New Roman" w:hAnsi="Times New Roman"/>
      <w:b/>
      <w:bCs/>
      <w:color w:val="000000"/>
      <w:spacing w:val="-2"/>
      <w:sz w:val="20"/>
      <w:szCs w:val="20"/>
      <w:lang w:eastAsia="ar-SA"/>
    </w:rPr>
  </w:style>
  <w:style w:type="paragraph" w:customStyle="1" w:styleId="Title2">
    <w:name w:val="Title2"/>
    <w:basedOn w:val="Normal"/>
    <w:link w:val="Title2Znak"/>
    <w:qFormat/>
    <w:pPr>
      <w:widowControl w:val="0"/>
      <w:suppressAutoHyphens/>
      <w:autoSpaceDE w:val="0"/>
      <w:spacing w:after="0" w:line="240" w:lineRule="auto"/>
      <w:ind w:left="567" w:hanging="567"/>
    </w:pPr>
    <w:rPr>
      <w:rFonts w:ascii="Times New Roman" w:eastAsia="Times New Roman" w:hAnsi="Times New Roman"/>
      <w:b/>
      <w:noProof/>
      <w:sz w:val="20"/>
      <w:szCs w:val="20"/>
      <w:lang w:eastAsia="ar-SA"/>
    </w:rPr>
  </w:style>
  <w:style w:type="character" w:customStyle="1" w:styleId="Title1Znak">
    <w:name w:val="Title1 Znak"/>
    <w:link w:val="Title1"/>
    <w:rPr>
      <w:rFonts w:ascii="Times New Roman" w:eastAsia="Times New Roman" w:hAnsi="Times New Roman" w:cs="Times New Roman"/>
      <w:b/>
      <w:bCs/>
      <w:color w:val="000000"/>
      <w:spacing w:val="-2"/>
      <w:shd w:val="clear" w:color="auto" w:fill="FFFFFF"/>
      <w:lang w:val="it-IT" w:eastAsia="ar-SA"/>
    </w:rPr>
  </w:style>
  <w:style w:type="paragraph" w:styleId="Header">
    <w:name w:val="header"/>
    <w:basedOn w:val="Normal"/>
    <w:link w:val="HeaderChar"/>
    <w:uiPriority w:val="99"/>
    <w:unhideWhenUsed/>
    <w:pPr>
      <w:widowControl w:val="0"/>
      <w:tabs>
        <w:tab w:val="center" w:pos="4536"/>
        <w:tab w:val="right" w:pos="9072"/>
      </w:tabs>
      <w:suppressAutoHyphens/>
      <w:autoSpaceDE w:val="0"/>
      <w:spacing w:after="0" w:line="240" w:lineRule="auto"/>
    </w:pPr>
    <w:rPr>
      <w:rFonts w:ascii="Times New Roman" w:eastAsia="Times New Roman" w:hAnsi="Times New Roman"/>
      <w:sz w:val="20"/>
      <w:szCs w:val="20"/>
      <w:lang w:eastAsia="ar-SA"/>
    </w:rPr>
  </w:style>
  <w:style w:type="character" w:customStyle="1" w:styleId="HeaderChar">
    <w:name w:val="Header Char"/>
    <w:link w:val="Header"/>
    <w:uiPriority w:val="99"/>
    <w:rPr>
      <w:rFonts w:ascii="Times New Roman" w:eastAsia="Times New Roman" w:hAnsi="Times New Roman" w:cs="Times New Roman"/>
      <w:sz w:val="20"/>
      <w:szCs w:val="20"/>
      <w:lang w:val="it-IT" w:eastAsia="ar-SA"/>
    </w:rPr>
  </w:style>
  <w:style w:type="character" w:customStyle="1" w:styleId="Title2Znak">
    <w:name w:val="Title2 Znak"/>
    <w:link w:val="Title2"/>
    <w:rPr>
      <w:rFonts w:ascii="Times New Roman" w:eastAsia="Times New Roman" w:hAnsi="Times New Roman" w:cs="Times New Roman"/>
      <w:b/>
      <w:noProof/>
      <w:sz w:val="20"/>
      <w:szCs w:val="20"/>
      <w:lang w:val="it-IT" w:eastAsia="ar-SA"/>
    </w:rPr>
  </w:style>
  <w:style w:type="paragraph" w:styleId="Footer">
    <w:name w:val="footer"/>
    <w:basedOn w:val="Normal"/>
    <w:link w:val="FooterChar"/>
    <w:uiPriority w:val="99"/>
    <w:unhideWhenUsed/>
    <w:pPr>
      <w:widowControl w:val="0"/>
      <w:tabs>
        <w:tab w:val="center" w:pos="4536"/>
        <w:tab w:val="right" w:pos="9072"/>
      </w:tabs>
      <w:suppressAutoHyphens/>
      <w:autoSpaceDE w:val="0"/>
      <w:spacing w:after="0" w:line="240" w:lineRule="auto"/>
    </w:pPr>
    <w:rPr>
      <w:rFonts w:ascii="Times New Roman" w:eastAsia="Times New Roman" w:hAnsi="Times New Roman"/>
      <w:sz w:val="20"/>
      <w:szCs w:val="20"/>
      <w:lang w:eastAsia="ar-SA"/>
    </w:rPr>
  </w:style>
  <w:style w:type="character" w:customStyle="1" w:styleId="FooterChar">
    <w:name w:val="Footer Char"/>
    <w:link w:val="Footer"/>
    <w:uiPriority w:val="99"/>
    <w:rPr>
      <w:rFonts w:ascii="Times New Roman" w:eastAsia="Times New Roman" w:hAnsi="Times New Roman" w:cs="Times New Roman"/>
      <w:sz w:val="20"/>
      <w:szCs w:val="20"/>
      <w:lang w:val="it-IT" w:eastAsia="ar-SA"/>
    </w:rPr>
  </w:style>
  <w:style w:type="character" w:styleId="Emphasis">
    <w:name w:val="Emphasis"/>
    <w:qFormat/>
    <w:rPr>
      <w:i/>
      <w:iCs/>
    </w:rPr>
  </w:style>
  <w:style w:type="paragraph" w:customStyle="1" w:styleId="Date1">
    <w:name w:val="Date1"/>
    <w:basedOn w:val="Normal"/>
    <w:next w:val="Normal"/>
    <w:pPr>
      <w:tabs>
        <w:tab w:val="left" w:pos="567"/>
      </w:tabs>
      <w:spacing w:after="0" w:line="260" w:lineRule="exact"/>
    </w:pPr>
    <w:rPr>
      <w:rFonts w:ascii="Times New Roman" w:eastAsia="Times New Roman" w:hAnsi="Times New Roman"/>
      <w:szCs w:val="20"/>
      <w:lang w:val="en-GB"/>
    </w:rPr>
  </w:style>
  <w:style w:type="paragraph" w:styleId="Revision">
    <w:name w:val="Revision"/>
    <w:hidden/>
    <w:uiPriority w:val="99"/>
    <w:semiHidden/>
    <w:rPr>
      <w:rFonts w:ascii="Times New Roman" w:eastAsia="Times New Roman" w:hAnsi="Times New Roman"/>
      <w:lang w:val="it-IT" w:eastAsia="ar-SA"/>
    </w:rPr>
  </w:style>
  <w:style w:type="paragraph" w:styleId="BalloonText">
    <w:name w:val="Balloon Text"/>
    <w:basedOn w:val="Normal"/>
    <w:link w:val="BalloonTextChar"/>
    <w:uiPriority w:val="99"/>
    <w:semiHidden/>
    <w:unhideWhenUsed/>
    <w:pPr>
      <w:widowControl w:val="0"/>
      <w:suppressAutoHyphens/>
      <w:autoSpaceDE w:val="0"/>
      <w:spacing w:after="0" w:line="240" w:lineRule="auto"/>
    </w:pPr>
    <w:rPr>
      <w:rFonts w:ascii="Tahoma" w:eastAsia="Times New Roman" w:hAnsi="Tahoma"/>
      <w:sz w:val="16"/>
      <w:szCs w:val="16"/>
      <w:lang w:eastAsia="ar-SA"/>
    </w:rPr>
  </w:style>
  <w:style w:type="character" w:customStyle="1" w:styleId="BalloonTextChar">
    <w:name w:val="Balloon Text Char"/>
    <w:link w:val="BalloonText"/>
    <w:uiPriority w:val="99"/>
    <w:semiHidden/>
    <w:rPr>
      <w:rFonts w:ascii="Tahoma" w:eastAsia="Times New Roman" w:hAnsi="Tahoma" w:cs="Times New Roman"/>
      <w:sz w:val="16"/>
      <w:szCs w:val="16"/>
      <w:lang w:val="it-IT" w:eastAsia="ar-SA"/>
    </w:rPr>
  </w:style>
  <w:style w:type="paragraph" w:styleId="Bibliography">
    <w:name w:val="Bibliography"/>
    <w:basedOn w:val="Normal"/>
    <w:next w:val="Normal"/>
    <w:uiPriority w:val="37"/>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paragraph" w:styleId="BlockText">
    <w:name w:val="Block Text"/>
    <w:basedOn w:val="Normal"/>
    <w:uiPriority w:val="99"/>
    <w:semiHidden/>
    <w:unhideWhenUsed/>
    <w:pPr>
      <w:widowControl w:val="0"/>
      <w:suppressAutoHyphens/>
      <w:autoSpaceDE w:val="0"/>
      <w:spacing w:after="120" w:line="240" w:lineRule="auto"/>
      <w:ind w:left="1440" w:right="1440"/>
    </w:pPr>
    <w:rPr>
      <w:rFonts w:ascii="Times New Roman" w:eastAsia="Times New Roman" w:hAnsi="Times New Roman"/>
      <w:sz w:val="20"/>
      <w:szCs w:val="20"/>
      <w:lang w:eastAsia="ar-SA"/>
    </w:rPr>
  </w:style>
  <w:style w:type="paragraph" w:styleId="NoSpacing">
    <w:name w:val="No Spacing"/>
    <w:uiPriority w:val="1"/>
    <w:qFormat/>
    <w:pPr>
      <w:widowControl w:val="0"/>
      <w:suppressAutoHyphens/>
      <w:autoSpaceDE w:val="0"/>
    </w:pPr>
    <w:rPr>
      <w:rFonts w:ascii="Times New Roman" w:eastAsia="Times New Roman" w:hAnsi="Times New Roman"/>
      <w:lang w:val="it-IT" w:eastAsia="ar-SA"/>
    </w:rPr>
  </w:style>
  <w:style w:type="paragraph" w:styleId="Quote">
    <w:name w:val="Quote"/>
    <w:basedOn w:val="Normal"/>
    <w:next w:val="Normal"/>
    <w:link w:val="QuoteChar"/>
    <w:uiPriority w:val="29"/>
    <w:qFormat/>
    <w:pPr>
      <w:widowControl w:val="0"/>
      <w:suppressAutoHyphens/>
      <w:autoSpaceDE w:val="0"/>
      <w:spacing w:after="0" w:line="240" w:lineRule="auto"/>
    </w:pPr>
    <w:rPr>
      <w:rFonts w:ascii="Times New Roman" w:eastAsia="Times New Roman" w:hAnsi="Times New Roman"/>
      <w:i/>
      <w:iCs/>
      <w:color w:val="000000"/>
      <w:sz w:val="20"/>
      <w:szCs w:val="20"/>
      <w:lang w:eastAsia="ar-SA"/>
    </w:rPr>
  </w:style>
  <w:style w:type="character" w:customStyle="1" w:styleId="QuoteChar">
    <w:name w:val="Quote Char"/>
    <w:link w:val="Quote"/>
    <w:uiPriority w:val="29"/>
    <w:rPr>
      <w:rFonts w:ascii="Times New Roman" w:eastAsia="Times New Roman" w:hAnsi="Times New Roman" w:cs="Times New Roman"/>
      <w:i/>
      <w:iCs/>
      <w:color w:val="000000"/>
      <w:sz w:val="20"/>
      <w:szCs w:val="20"/>
      <w:lang w:val="it-IT" w:eastAsia="ar-SA"/>
    </w:rPr>
  </w:style>
  <w:style w:type="paragraph" w:styleId="Date">
    <w:name w:val="Date"/>
    <w:basedOn w:val="Normal"/>
    <w:next w:val="Normal"/>
    <w:link w:val="DateChar"/>
    <w:uiPriority w:val="99"/>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character" w:customStyle="1" w:styleId="DateChar">
    <w:name w:val="Date Char"/>
    <w:link w:val="Date"/>
    <w:uiPriority w:val="99"/>
    <w:semiHidden/>
    <w:rPr>
      <w:rFonts w:ascii="Times New Roman" w:eastAsia="Times New Roman" w:hAnsi="Times New Roman" w:cs="Times New Roman"/>
      <w:sz w:val="20"/>
      <w:szCs w:val="20"/>
      <w:lang w:val="it-IT" w:eastAsia="ar-SA"/>
    </w:rPr>
  </w:style>
  <w:style w:type="paragraph" w:styleId="E-mailSignature">
    <w:name w:val="E-mail Signature"/>
    <w:basedOn w:val="Normal"/>
    <w:link w:val="E-mailSignatureChar"/>
    <w:uiPriority w:val="99"/>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character" w:customStyle="1" w:styleId="E-mailSignatureChar">
    <w:name w:val="E-mail Signature Char"/>
    <w:link w:val="E-mailSignature"/>
    <w:uiPriority w:val="99"/>
    <w:semiHidden/>
    <w:rPr>
      <w:rFonts w:ascii="Times New Roman" w:eastAsia="Times New Roman" w:hAnsi="Times New Roman" w:cs="Times New Roman"/>
      <w:sz w:val="20"/>
      <w:szCs w:val="20"/>
      <w:lang w:val="it-IT" w:eastAsia="ar-SA"/>
    </w:rPr>
  </w:style>
  <w:style w:type="paragraph" w:styleId="MessageHeader">
    <w:name w:val="Message Header"/>
    <w:basedOn w:val="Normal"/>
    <w:link w:val="MessageHeaderChar"/>
    <w:uiPriority w:val="99"/>
    <w:semiHidden/>
    <w:unhideWhenUsed/>
    <w:pPr>
      <w:widowControl w:val="0"/>
      <w:pBdr>
        <w:top w:val="single" w:sz="6" w:space="1" w:color="auto"/>
        <w:left w:val="single" w:sz="6" w:space="1" w:color="auto"/>
        <w:bottom w:val="single" w:sz="6" w:space="1" w:color="auto"/>
        <w:right w:val="single" w:sz="6" w:space="1" w:color="auto"/>
      </w:pBdr>
      <w:shd w:val="pct20" w:color="auto" w:fill="auto"/>
      <w:suppressAutoHyphens/>
      <w:autoSpaceDE w:val="0"/>
      <w:spacing w:after="0" w:line="240" w:lineRule="auto"/>
      <w:ind w:left="1134" w:hanging="1134"/>
    </w:pPr>
    <w:rPr>
      <w:rFonts w:ascii="Cambria" w:eastAsia="Times New Roman" w:hAnsi="Cambria"/>
      <w:sz w:val="24"/>
      <w:szCs w:val="24"/>
      <w:lang w:eastAsia="ar-SA"/>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it-IT" w:eastAsia="ar-SA"/>
    </w:rPr>
  </w:style>
  <w:style w:type="paragraph" w:styleId="PlainText">
    <w:name w:val="Plain Text"/>
    <w:basedOn w:val="Normal"/>
    <w:link w:val="PlainTextChar"/>
    <w:uiPriority w:val="99"/>
    <w:unhideWhenUsed/>
    <w:pPr>
      <w:widowControl w:val="0"/>
      <w:suppressAutoHyphens/>
      <w:autoSpaceDE w:val="0"/>
      <w:spacing w:after="0" w:line="240" w:lineRule="auto"/>
    </w:pPr>
    <w:rPr>
      <w:rFonts w:ascii="Courier New" w:eastAsia="Times New Roman" w:hAnsi="Courier New"/>
      <w:sz w:val="20"/>
      <w:szCs w:val="20"/>
      <w:lang w:eastAsia="ar-SA"/>
    </w:rPr>
  </w:style>
  <w:style w:type="character" w:customStyle="1" w:styleId="PlainTextChar">
    <w:name w:val="Plain Text Char"/>
    <w:link w:val="PlainText"/>
    <w:uiPriority w:val="99"/>
    <w:rPr>
      <w:rFonts w:ascii="Courier New" w:eastAsia="Times New Roman" w:hAnsi="Courier New" w:cs="Times New Roman"/>
      <w:sz w:val="20"/>
      <w:szCs w:val="20"/>
      <w:lang w:val="it-IT" w:eastAsia="ar-SA"/>
    </w:rPr>
  </w:style>
  <w:style w:type="paragraph" w:styleId="HTMLAddress">
    <w:name w:val="HTML Address"/>
    <w:basedOn w:val="Normal"/>
    <w:link w:val="HTMLAddressChar"/>
    <w:uiPriority w:val="99"/>
    <w:semiHidden/>
    <w:unhideWhenUsed/>
    <w:pPr>
      <w:widowControl w:val="0"/>
      <w:suppressAutoHyphens/>
      <w:autoSpaceDE w:val="0"/>
      <w:spacing w:after="0" w:line="240" w:lineRule="auto"/>
    </w:pPr>
    <w:rPr>
      <w:rFonts w:ascii="Times New Roman" w:eastAsia="Times New Roman" w:hAnsi="Times New Roman"/>
      <w:i/>
      <w:iCs/>
      <w:sz w:val="20"/>
      <w:szCs w:val="20"/>
      <w:lang w:eastAsia="ar-SA"/>
    </w:rPr>
  </w:style>
  <w:style w:type="character" w:customStyle="1" w:styleId="HTMLAddressChar">
    <w:name w:val="HTML Address Char"/>
    <w:link w:val="HTMLAddress"/>
    <w:uiPriority w:val="99"/>
    <w:semiHidden/>
    <w:rPr>
      <w:rFonts w:ascii="Times New Roman" w:eastAsia="Times New Roman" w:hAnsi="Times New Roman" w:cs="Times New Roman"/>
      <w:i/>
      <w:iCs/>
      <w:sz w:val="20"/>
      <w:szCs w:val="20"/>
      <w:lang w:val="it-IT" w:eastAsia="ar-SA"/>
    </w:rPr>
  </w:style>
  <w:style w:type="paragraph" w:styleId="HTMLPreformatted">
    <w:name w:val="HTML Preformatted"/>
    <w:basedOn w:val="Normal"/>
    <w:link w:val="HTMLPreformattedChar"/>
    <w:uiPriority w:val="99"/>
    <w:semiHidden/>
    <w:unhideWhenUsed/>
    <w:pPr>
      <w:widowControl w:val="0"/>
      <w:suppressAutoHyphens/>
      <w:autoSpaceDE w:val="0"/>
      <w:spacing w:after="0" w:line="240" w:lineRule="auto"/>
    </w:pPr>
    <w:rPr>
      <w:rFonts w:ascii="Courier New" w:eastAsia="Times New Roman" w:hAnsi="Courier New"/>
      <w:sz w:val="20"/>
      <w:szCs w:val="20"/>
      <w:lang w:eastAsia="ar-SA"/>
    </w:rPr>
  </w:style>
  <w:style w:type="character" w:customStyle="1" w:styleId="HTMLPreformattedChar">
    <w:name w:val="HTML Preformatted Char"/>
    <w:link w:val="HTMLPreformatted"/>
    <w:uiPriority w:val="99"/>
    <w:semiHidden/>
    <w:rPr>
      <w:rFonts w:ascii="Courier New" w:eastAsia="Times New Roman" w:hAnsi="Courier New" w:cs="Times New Roman"/>
      <w:sz w:val="20"/>
      <w:szCs w:val="20"/>
      <w:lang w:val="it-IT" w:eastAsia="ar-SA"/>
    </w:rPr>
  </w:style>
  <w:style w:type="paragraph" w:styleId="IntenseQuote">
    <w:name w:val="Intense Quote"/>
    <w:basedOn w:val="Normal"/>
    <w:next w:val="Normal"/>
    <w:link w:val="IntenseQuoteChar"/>
    <w:uiPriority w:val="30"/>
    <w:qFormat/>
    <w:pPr>
      <w:widowControl w:val="0"/>
      <w:pBdr>
        <w:bottom w:val="single" w:sz="4" w:space="4" w:color="4F81BD"/>
      </w:pBdr>
      <w:suppressAutoHyphens/>
      <w:autoSpaceDE w:val="0"/>
      <w:spacing w:before="200" w:after="280" w:line="240" w:lineRule="auto"/>
      <w:ind w:left="936" w:right="936"/>
    </w:pPr>
    <w:rPr>
      <w:rFonts w:ascii="Times New Roman" w:eastAsia="Times New Roman" w:hAnsi="Times New Roman"/>
      <w:b/>
      <w:bCs/>
      <w:i/>
      <w:iCs/>
      <w:color w:val="4F81BD"/>
      <w:sz w:val="20"/>
      <w:szCs w:val="20"/>
      <w:lang w:eastAsia="ar-SA"/>
    </w:rPr>
  </w:style>
  <w:style w:type="character" w:customStyle="1" w:styleId="IntenseQuoteChar">
    <w:name w:val="Intense Quote Char"/>
    <w:link w:val="IntenseQuote"/>
    <w:uiPriority w:val="30"/>
    <w:rPr>
      <w:rFonts w:ascii="Times New Roman" w:eastAsia="Times New Roman" w:hAnsi="Times New Roman" w:cs="Times New Roman"/>
      <w:b/>
      <w:bCs/>
      <w:i/>
      <w:iCs/>
      <w:color w:val="4F81BD"/>
      <w:sz w:val="20"/>
      <w:szCs w:val="20"/>
      <w:lang w:val="it-IT" w:eastAsia="ar-SA"/>
    </w:rPr>
  </w:style>
  <w:style w:type="paragraph" w:styleId="TableofFigures">
    <w:name w:val="table of figures"/>
    <w:basedOn w:val="Normal"/>
    <w:next w:val="Normal"/>
    <w:uiPriority w:val="99"/>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paragraph" w:styleId="TableofAuthorities">
    <w:name w:val="table of authorities"/>
    <w:basedOn w:val="Normal"/>
    <w:next w:val="Normal"/>
    <w:uiPriority w:val="99"/>
    <w:semiHidden/>
    <w:unhideWhenUsed/>
    <w:pPr>
      <w:widowControl w:val="0"/>
      <w:suppressAutoHyphens/>
      <w:autoSpaceDE w:val="0"/>
      <w:spacing w:after="0" w:line="240" w:lineRule="auto"/>
      <w:ind w:left="200" w:hanging="200"/>
    </w:pPr>
    <w:rPr>
      <w:rFonts w:ascii="Times New Roman" w:eastAsia="Times New Roman" w:hAnsi="Times New Roman"/>
      <w:sz w:val="20"/>
      <w:szCs w:val="20"/>
      <w:lang w:eastAsia="ar-SA"/>
    </w:rPr>
  </w:style>
  <w:style w:type="paragraph" w:styleId="TOAHeading">
    <w:name w:val="toa heading"/>
    <w:basedOn w:val="Normal"/>
    <w:next w:val="Normal"/>
    <w:uiPriority w:val="99"/>
    <w:semiHidden/>
    <w:unhideWhenUsed/>
    <w:pPr>
      <w:widowControl w:val="0"/>
      <w:suppressAutoHyphens/>
      <w:autoSpaceDE w:val="0"/>
      <w:spacing w:before="120" w:after="0" w:line="240" w:lineRule="auto"/>
    </w:pPr>
    <w:rPr>
      <w:rFonts w:ascii="Cambria" w:eastAsia="Times New Roman" w:hAnsi="Cambria"/>
      <w:b/>
      <w:bCs/>
      <w:sz w:val="24"/>
      <w:szCs w:val="24"/>
      <w:lang w:eastAsia="ar-SA"/>
    </w:rPr>
  </w:style>
  <w:style w:type="paragraph" w:styleId="TOC1">
    <w:name w:val="toc 1"/>
    <w:basedOn w:val="Normal"/>
    <w:next w:val="Normal"/>
    <w:autoRedefine/>
    <w:uiPriority w:val="39"/>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paragraph" w:styleId="TOC2">
    <w:name w:val="toc 2"/>
    <w:basedOn w:val="Normal"/>
    <w:next w:val="Normal"/>
    <w:autoRedefine/>
    <w:uiPriority w:val="39"/>
    <w:semiHidden/>
    <w:unhideWhenUsed/>
    <w:pPr>
      <w:widowControl w:val="0"/>
      <w:suppressAutoHyphens/>
      <w:autoSpaceDE w:val="0"/>
      <w:spacing w:after="0" w:line="240" w:lineRule="auto"/>
      <w:ind w:left="200"/>
    </w:pPr>
    <w:rPr>
      <w:rFonts w:ascii="Times New Roman" w:eastAsia="Times New Roman" w:hAnsi="Times New Roman"/>
      <w:sz w:val="20"/>
      <w:szCs w:val="20"/>
      <w:lang w:eastAsia="ar-SA"/>
    </w:rPr>
  </w:style>
  <w:style w:type="paragraph" w:styleId="TOC3">
    <w:name w:val="toc 3"/>
    <w:basedOn w:val="Normal"/>
    <w:next w:val="Normal"/>
    <w:autoRedefine/>
    <w:uiPriority w:val="39"/>
    <w:semiHidden/>
    <w:unhideWhenUsed/>
    <w:pPr>
      <w:widowControl w:val="0"/>
      <w:suppressAutoHyphens/>
      <w:autoSpaceDE w:val="0"/>
      <w:spacing w:after="0" w:line="240" w:lineRule="auto"/>
      <w:ind w:left="400"/>
    </w:pPr>
    <w:rPr>
      <w:rFonts w:ascii="Times New Roman" w:eastAsia="Times New Roman" w:hAnsi="Times New Roman"/>
      <w:sz w:val="20"/>
      <w:szCs w:val="20"/>
      <w:lang w:eastAsia="ar-SA"/>
    </w:rPr>
  </w:style>
  <w:style w:type="paragraph" w:styleId="TOC4">
    <w:name w:val="toc 4"/>
    <w:basedOn w:val="Normal"/>
    <w:next w:val="Normal"/>
    <w:autoRedefine/>
    <w:uiPriority w:val="39"/>
    <w:semiHidden/>
    <w:unhideWhenUsed/>
    <w:pPr>
      <w:widowControl w:val="0"/>
      <w:suppressAutoHyphens/>
      <w:autoSpaceDE w:val="0"/>
      <w:spacing w:after="0" w:line="240" w:lineRule="auto"/>
      <w:ind w:left="600"/>
    </w:pPr>
    <w:rPr>
      <w:rFonts w:ascii="Times New Roman" w:eastAsia="Times New Roman" w:hAnsi="Times New Roman"/>
      <w:sz w:val="20"/>
      <w:szCs w:val="20"/>
      <w:lang w:eastAsia="ar-SA"/>
    </w:rPr>
  </w:style>
  <w:style w:type="paragraph" w:styleId="TOC5">
    <w:name w:val="toc 5"/>
    <w:basedOn w:val="Normal"/>
    <w:next w:val="Normal"/>
    <w:autoRedefine/>
    <w:uiPriority w:val="39"/>
    <w:semiHidden/>
    <w:unhideWhenUsed/>
    <w:pPr>
      <w:widowControl w:val="0"/>
      <w:suppressAutoHyphens/>
      <w:autoSpaceDE w:val="0"/>
      <w:spacing w:after="0" w:line="240" w:lineRule="auto"/>
      <w:ind w:left="800"/>
    </w:pPr>
    <w:rPr>
      <w:rFonts w:ascii="Times New Roman" w:eastAsia="Times New Roman" w:hAnsi="Times New Roman"/>
      <w:sz w:val="20"/>
      <w:szCs w:val="20"/>
      <w:lang w:eastAsia="ar-SA"/>
    </w:rPr>
  </w:style>
  <w:style w:type="paragraph" w:styleId="TOC6">
    <w:name w:val="toc 6"/>
    <w:basedOn w:val="Normal"/>
    <w:next w:val="Normal"/>
    <w:autoRedefine/>
    <w:uiPriority w:val="39"/>
    <w:semiHidden/>
    <w:unhideWhenUsed/>
    <w:pPr>
      <w:widowControl w:val="0"/>
      <w:suppressAutoHyphens/>
      <w:autoSpaceDE w:val="0"/>
      <w:spacing w:after="0" w:line="240" w:lineRule="auto"/>
      <w:ind w:left="1000"/>
    </w:pPr>
    <w:rPr>
      <w:rFonts w:ascii="Times New Roman" w:eastAsia="Times New Roman" w:hAnsi="Times New Roman"/>
      <w:sz w:val="20"/>
      <w:szCs w:val="20"/>
      <w:lang w:eastAsia="ar-SA"/>
    </w:rPr>
  </w:style>
  <w:style w:type="paragraph" w:styleId="TOC7">
    <w:name w:val="toc 7"/>
    <w:basedOn w:val="Normal"/>
    <w:next w:val="Normal"/>
    <w:autoRedefine/>
    <w:uiPriority w:val="39"/>
    <w:semiHidden/>
    <w:unhideWhenUsed/>
    <w:pPr>
      <w:widowControl w:val="0"/>
      <w:suppressAutoHyphens/>
      <w:autoSpaceDE w:val="0"/>
      <w:spacing w:after="0" w:line="240" w:lineRule="auto"/>
      <w:ind w:left="1200"/>
    </w:pPr>
    <w:rPr>
      <w:rFonts w:ascii="Times New Roman" w:eastAsia="Times New Roman" w:hAnsi="Times New Roman"/>
      <w:sz w:val="20"/>
      <w:szCs w:val="20"/>
      <w:lang w:eastAsia="ar-SA"/>
    </w:rPr>
  </w:style>
  <w:style w:type="paragraph" w:styleId="TOC8">
    <w:name w:val="toc 8"/>
    <w:basedOn w:val="Normal"/>
    <w:next w:val="Normal"/>
    <w:autoRedefine/>
    <w:uiPriority w:val="39"/>
    <w:semiHidden/>
    <w:unhideWhenUsed/>
    <w:pPr>
      <w:widowControl w:val="0"/>
      <w:suppressAutoHyphens/>
      <w:autoSpaceDE w:val="0"/>
      <w:spacing w:after="0" w:line="240" w:lineRule="auto"/>
      <w:ind w:left="1400"/>
    </w:pPr>
    <w:rPr>
      <w:rFonts w:ascii="Times New Roman" w:eastAsia="Times New Roman" w:hAnsi="Times New Roman"/>
      <w:sz w:val="20"/>
      <w:szCs w:val="20"/>
      <w:lang w:eastAsia="ar-SA"/>
    </w:rPr>
  </w:style>
  <w:style w:type="paragraph" w:styleId="TOC9">
    <w:name w:val="toc 9"/>
    <w:basedOn w:val="Normal"/>
    <w:next w:val="Normal"/>
    <w:autoRedefine/>
    <w:uiPriority w:val="39"/>
    <w:semiHidden/>
    <w:unhideWhenUsed/>
    <w:pPr>
      <w:widowControl w:val="0"/>
      <w:suppressAutoHyphens/>
      <w:autoSpaceDE w:val="0"/>
      <w:spacing w:after="0" w:line="240" w:lineRule="auto"/>
      <w:ind w:left="1600"/>
    </w:pPr>
    <w:rPr>
      <w:rFonts w:ascii="Times New Roman" w:eastAsia="Times New Roman" w:hAnsi="Times New Roman"/>
      <w:sz w:val="20"/>
      <w:szCs w:val="20"/>
      <w:lang w:eastAsia="ar-SA"/>
    </w:rPr>
  </w:style>
  <w:style w:type="paragraph" w:styleId="CommentText">
    <w:name w:val="annotation text"/>
    <w:basedOn w:val="Normal"/>
    <w:link w:val="CommentTextChar"/>
    <w:uiPriority w:val="99"/>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character" w:customStyle="1" w:styleId="CommentTextChar">
    <w:name w:val="Comment Text Char"/>
    <w:link w:val="CommentText"/>
    <w:uiPriority w:val="99"/>
    <w:semiHidden/>
    <w:rPr>
      <w:rFonts w:ascii="Times New Roman" w:eastAsia="Times New Roman" w:hAnsi="Times New Roman" w:cs="Times New Roman"/>
      <w:sz w:val="20"/>
      <w:szCs w:val="20"/>
      <w:lang w:val="it-IT" w:eastAsia="ar-SA"/>
    </w:rPr>
  </w:style>
  <w:style w:type="paragraph" w:styleId="EndnoteText">
    <w:name w:val="endnote text"/>
    <w:basedOn w:val="Normal"/>
    <w:link w:val="EndnoteTextChar"/>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character" w:customStyle="1" w:styleId="EndnoteTextChar">
    <w:name w:val="Endnote Text Char"/>
    <w:link w:val="EndnoteText"/>
    <w:semiHidden/>
    <w:rPr>
      <w:rFonts w:ascii="Times New Roman" w:eastAsia="Times New Roman" w:hAnsi="Times New Roman" w:cs="Times New Roman"/>
      <w:sz w:val="20"/>
      <w:szCs w:val="20"/>
      <w:lang w:val="it-IT" w:eastAsia="ar-SA"/>
    </w:rPr>
  </w:style>
  <w:style w:type="paragraph" w:styleId="MacroText">
    <w:name w:val="macro"/>
    <w:link w:val="MacroTextChar"/>
    <w:uiPriority w:val="99"/>
    <w:semiHidden/>
    <w:unhideWhenUsed/>
    <w:pPr>
      <w:widowControl w:val="0"/>
      <w:tabs>
        <w:tab w:val="left" w:pos="480"/>
        <w:tab w:val="left" w:pos="960"/>
        <w:tab w:val="left" w:pos="1440"/>
        <w:tab w:val="left" w:pos="1920"/>
        <w:tab w:val="left" w:pos="2400"/>
        <w:tab w:val="left" w:pos="2880"/>
        <w:tab w:val="left" w:pos="3360"/>
        <w:tab w:val="left" w:pos="3840"/>
        <w:tab w:val="left" w:pos="4320"/>
      </w:tabs>
      <w:suppressAutoHyphens/>
      <w:autoSpaceDE w:val="0"/>
    </w:pPr>
    <w:rPr>
      <w:rFonts w:ascii="Courier New" w:eastAsia="Times New Roman" w:hAnsi="Courier New" w:cs="Courier New"/>
      <w:lang w:val="it-IT" w:eastAsia="ar-SA"/>
    </w:rPr>
  </w:style>
  <w:style w:type="character" w:customStyle="1" w:styleId="MacroTextChar">
    <w:name w:val="Macro Text Char"/>
    <w:link w:val="MacroText"/>
    <w:uiPriority w:val="99"/>
    <w:semiHidden/>
    <w:rPr>
      <w:rFonts w:ascii="Courier New" w:eastAsia="Times New Roman" w:hAnsi="Courier New" w:cs="Courier New"/>
      <w:lang w:val="it-IT" w:eastAsia="ar-SA" w:bidi="ar-SA"/>
    </w:rPr>
  </w:style>
  <w:style w:type="paragraph" w:styleId="Caption">
    <w:name w:val="caption"/>
    <w:basedOn w:val="Normal"/>
    <w:next w:val="Normal"/>
    <w:uiPriority w:val="35"/>
    <w:semiHidden/>
    <w:unhideWhenUsed/>
    <w:qFormat/>
    <w:pPr>
      <w:widowControl w:val="0"/>
      <w:suppressAutoHyphens/>
      <w:autoSpaceDE w:val="0"/>
      <w:spacing w:after="0" w:line="240" w:lineRule="auto"/>
    </w:pPr>
    <w:rPr>
      <w:rFonts w:ascii="Times New Roman" w:eastAsia="Times New Roman" w:hAnsi="Times New Roman"/>
      <w:b/>
      <w:bCs/>
      <w:sz w:val="20"/>
      <w:szCs w:val="20"/>
      <w:lang w:eastAsia="ar-SA"/>
    </w:rPr>
  </w:style>
  <w:style w:type="paragraph" w:styleId="Title">
    <w:name w:val="Title"/>
    <w:basedOn w:val="Normal"/>
    <w:next w:val="Normal"/>
    <w:link w:val="TitleChar"/>
    <w:uiPriority w:val="10"/>
    <w:qFormat/>
    <w:pPr>
      <w:widowControl w:val="0"/>
      <w:suppressAutoHyphens/>
      <w:autoSpaceDE w:val="0"/>
      <w:spacing w:before="240" w:after="60" w:line="240" w:lineRule="auto"/>
      <w:jc w:val="center"/>
      <w:outlineLvl w:val="0"/>
    </w:pPr>
    <w:rPr>
      <w:rFonts w:ascii="Cambria" w:eastAsia="Times New Roman" w:hAnsi="Cambria"/>
      <w:b/>
      <w:bCs/>
      <w:kern w:val="28"/>
      <w:sz w:val="32"/>
      <w:szCs w:val="32"/>
      <w:lang w:eastAsia="ar-SA"/>
    </w:rPr>
  </w:style>
  <w:style w:type="character" w:customStyle="1" w:styleId="TitleChar">
    <w:name w:val="Title Char"/>
    <w:link w:val="Title"/>
    <w:uiPriority w:val="10"/>
    <w:rPr>
      <w:rFonts w:ascii="Cambria" w:eastAsia="Times New Roman" w:hAnsi="Cambria" w:cs="Times New Roman"/>
      <w:b/>
      <w:bCs/>
      <w:kern w:val="28"/>
      <w:sz w:val="32"/>
      <w:szCs w:val="32"/>
      <w:lang w:val="it-IT" w:eastAsia="ar-SA"/>
    </w:rPr>
  </w:style>
  <w:style w:type="paragraph" w:styleId="EnvelopeAddress">
    <w:name w:val="envelope address"/>
    <w:basedOn w:val="Normal"/>
    <w:uiPriority w:val="99"/>
    <w:semiHidden/>
    <w:unhideWhenUsed/>
    <w:pPr>
      <w:framePr w:w="7920" w:h="1980" w:hRule="exact" w:hSpace="141" w:wrap="auto" w:hAnchor="page" w:xAlign="center" w:yAlign="bottom"/>
      <w:widowControl w:val="0"/>
      <w:suppressAutoHyphens/>
      <w:autoSpaceDE w:val="0"/>
      <w:spacing w:after="0" w:line="240" w:lineRule="auto"/>
      <w:ind w:left="2880"/>
    </w:pPr>
    <w:rPr>
      <w:rFonts w:ascii="Cambria" w:eastAsia="Times New Roman" w:hAnsi="Cambria"/>
      <w:sz w:val="24"/>
      <w:szCs w:val="24"/>
      <w:lang w:eastAsia="ar-SA"/>
    </w:rPr>
  </w:style>
  <w:style w:type="paragraph" w:styleId="EnvelopeReturn">
    <w:name w:val="envelope return"/>
    <w:basedOn w:val="Normal"/>
    <w:uiPriority w:val="99"/>
    <w:semiHidden/>
    <w:unhideWhenUsed/>
    <w:pPr>
      <w:widowControl w:val="0"/>
      <w:suppressAutoHyphens/>
      <w:autoSpaceDE w:val="0"/>
      <w:spacing w:after="0" w:line="240" w:lineRule="auto"/>
    </w:pPr>
    <w:rPr>
      <w:rFonts w:ascii="Cambria" w:eastAsia="Times New Roman" w:hAnsi="Cambria"/>
      <w:sz w:val="20"/>
      <w:szCs w:val="20"/>
      <w:lang w:eastAsia="ar-SA"/>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uiPriority w:val="99"/>
    <w:semiHidden/>
    <w:unhideWhenUsed/>
    <w:pPr>
      <w:widowControl w:val="0"/>
      <w:suppressAutoHyphens/>
      <w:autoSpaceDE w:val="0"/>
      <w:spacing w:after="0" w:line="240" w:lineRule="auto"/>
      <w:ind w:left="708"/>
    </w:pPr>
    <w:rPr>
      <w:rFonts w:ascii="Times New Roman" w:eastAsia="Times New Roman" w:hAnsi="Times New Roman"/>
      <w:sz w:val="20"/>
      <w:szCs w:val="20"/>
      <w:lang w:eastAsia="ar-SA"/>
    </w:rPr>
  </w:style>
  <w:style w:type="paragraph" w:styleId="NormalWeb">
    <w:name w:val="Normal (Web)"/>
    <w:basedOn w:val="Normal"/>
    <w:uiPriority w:val="99"/>
    <w:semiHidden/>
    <w:unhideWhenUsed/>
    <w:pPr>
      <w:widowControl w:val="0"/>
      <w:suppressAutoHyphens/>
      <w:autoSpaceDE w:val="0"/>
      <w:spacing w:after="0" w:line="240" w:lineRule="auto"/>
    </w:pPr>
    <w:rPr>
      <w:rFonts w:ascii="Times New Roman" w:eastAsia="Times New Roman" w:hAnsi="Times New Roman"/>
      <w:sz w:val="24"/>
      <w:szCs w:val="24"/>
      <w:lang w:eastAsia="ar-SA"/>
    </w:rPr>
  </w:style>
  <w:style w:type="paragraph" w:styleId="ListParagraph">
    <w:name w:val="List Paragraph"/>
    <w:basedOn w:val="Normal"/>
    <w:uiPriority w:val="34"/>
    <w:qFormat/>
    <w:pPr>
      <w:widowControl w:val="0"/>
      <w:suppressAutoHyphens/>
      <w:autoSpaceDE w:val="0"/>
      <w:spacing w:after="0" w:line="240" w:lineRule="auto"/>
      <w:ind w:left="708"/>
    </w:pPr>
    <w:rPr>
      <w:rFonts w:ascii="Times New Roman" w:eastAsia="Times New Roman" w:hAnsi="Times New Roman"/>
      <w:sz w:val="20"/>
      <w:szCs w:val="20"/>
      <w:lang w:eastAsia="ar-SA"/>
    </w:rPr>
  </w:style>
  <w:style w:type="paragraph" w:styleId="NoteHeading">
    <w:name w:val="Note Heading"/>
    <w:basedOn w:val="Normal"/>
    <w:next w:val="Normal"/>
    <w:link w:val="NoteHeadingChar"/>
    <w:uiPriority w:val="99"/>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character" w:customStyle="1" w:styleId="NoteHeadingChar">
    <w:name w:val="Note Heading Char"/>
    <w:link w:val="NoteHeading"/>
    <w:uiPriority w:val="99"/>
    <w:semiHidden/>
    <w:rPr>
      <w:rFonts w:ascii="Times New Roman" w:eastAsia="Times New Roman" w:hAnsi="Times New Roman" w:cs="Times New Roman"/>
      <w:sz w:val="20"/>
      <w:szCs w:val="20"/>
      <w:lang w:val="it-IT" w:eastAsia="ar-SA"/>
    </w:rPr>
  </w:style>
  <w:style w:type="paragraph" w:styleId="ListNumber">
    <w:name w:val="List Number"/>
    <w:basedOn w:val="Normal"/>
    <w:uiPriority w:val="99"/>
    <w:semiHidden/>
    <w:unhideWhenUsed/>
    <w:pPr>
      <w:widowControl w:val="0"/>
      <w:numPr>
        <w:numId w:val="13"/>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Number2">
    <w:name w:val="List Number 2"/>
    <w:basedOn w:val="Normal"/>
    <w:uiPriority w:val="99"/>
    <w:semiHidden/>
    <w:unhideWhenUsed/>
    <w:pPr>
      <w:widowControl w:val="0"/>
      <w:numPr>
        <w:numId w:val="14"/>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Number3">
    <w:name w:val="List Number 3"/>
    <w:basedOn w:val="Normal"/>
    <w:uiPriority w:val="99"/>
    <w:semiHidden/>
    <w:unhideWhenUsed/>
    <w:pPr>
      <w:widowControl w:val="0"/>
      <w:numPr>
        <w:numId w:val="15"/>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Number4">
    <w:name w:val="List Number 4"/>
    <w:basedOn w:val="Normal"/>
    <w:uiPriority w:val="99"/>
    <w:semiHidden/>
    <w:unhideWhenUsed/>
    <w:pPr>
      <w:widowControl w:val="0"/>
      <w:numPr>
        <w:numId w:val="16"/>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Number5">
    <w:name w:val="List Number 5"/>
    <w:basedOn w:val="Normal"/>
    <w:uiPriority w:val="99"/>
    <w:semiHidden/>
    <w:unhideWhenUsed/>
    <w:pPr>
      <w:widowControl w:val="0"/>
      <w:numPr>
        <w:numId w:val="17"/>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Bullet">
    <w:name w:val="List Bullet"/>
    <w:basedOn w:val="Normal"/>
    <w:uiPriority w:val="99"/>
    <w:semiHidden/>
    <w:unhideWhenUsed/>
    <w:pPr>
      <w:widowControl w:val="0"/>
      <w:numPr>
        <w:numId w:val="18"/>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Bullet2">
    <w:name w:val="List Bullet 2"/>
    <w:basedOn w:val="Normal"/>
    <w:uiPriority w:val="99"/>
    <w:semiHidden/>
    <w:unhideWhenUsed/>
    <w:pPr>
      <w:widowControl w:val="0"/>
      <w:numPr>
        <w:numId w:val="19"/>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Bullet3">
    <w:name w:val="List Bullet 3"/>
    <w:basedOn w:val="Normal"/>
    <w:uiPriority w:val="99"/>
    <w:semiHidden/>
    <w:unhideWhenUsed/>
    <w:pPr>
      <w:widowControl w:val="0"/>
      <w:numPr>
        <w:numId w:val="20"/>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Bullet4">
    <w:name w:val="List Bullet 4"/>
    <w:basedOn w:val="Normal"/>
    <w:uiPriority w:val="99"/>
    <w:semiHidden/>
    <w:unhideWhenUsed/>
    <w:pPr>
      <w:widowControl w:val="0"/>
      <w:numPr>
        <w:numId w:val="21"/>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ListBullet5">
    <w:name w:val="List Bullet 5"/>
    <w:basedOn w:val="Normal"/>
    <w:uiPriority w:val="99"/>
    <w:semiHidden/>
    <w:unhideWhenUsed/>
    <w:pPr>
      <w:widowControl w:val="0"/>
      <w:numPr>
        <w:numId w:val="22"/>
      </w:numPr>
      <w:suppressAutoHyphens/>
      <w:autoSpaceDE w:val="0"/>
      <w:spacing w:after="0" w:line="240" w:lineRule="auto"/>
      <w:contextualSpacing/>
    </w:pPr>
    <w:rPr>
      <w:rFonts w:ascii="Times New Roman" w:eastAsia="Times New Roman" w:hAnsi="Times New Roman"/>
      <w:sz w:val="20"/>
      <w:szCs w:val="20"/>
      <w:lang w:eastAsia="ar-SA"/>
    </w:rPr>
  </w:style>
  <w:style w:type="paragraph" w:styleId="Subtitle">
    <w:name w:val="Subtitle"/>
    <w:basedOn w:val="Normal"/>
    <w:next w:val="Normal"/>
    <w:link w:val="SubtitleChar"/>
    <w:uiPriority w:val="11"/>
    <w:qFormat/>
    <w:pPr>
      <w:widowControl w:val="0"/>
      <w:suppressAutoHyphens/>
      <w:autoSpaceDE w:val="0"/>
      <w:spacing w:after="60" w:line="240" w:lineRule="auto"/>
      <w:jc w:val="center"/>
      <w:outlineLvl w:val="1"/>
    </w:pPr>
    <w:rPr>
      <w:rFonts w:ascii="Cambria" w:eastAsia="Times New Roman" w:hAnsi="Cambria"/>
      <w:sz w:val="24"/>
      <w:szCs w:val="24"/>
      <w:lang w:eastAsia="ar-SA"/>
    </w:rPr>
  </w:style>
  <w:style w:type="character" w:customStyle="1" w:styleId="SubtitleChar">
    <w:name w:val="Subtitle Char"/>
    <w:link w:val="Subtitle"/>
    <w:uiPriority w:val="11"/>
    <w:rPr>
      <w:rFonts w:ascii="Cambria" w:eastAsia="Times New Roman" w:hAnsi="Cambria" w:cs="Times New Roman"/>
      <w:sz w:val="24"/>
      <w:szCs w:val="24"/>
      <w:lang w:val="it-IT" w:eastAsia="ar-SA"/>
    </w:rPr>
  </w:style>
  <w:style w:type="paragraph" w:styleId="Signature">
    <w:name w:val="Signature"/>
    <w:basedOn w:val="Normal"/>
    <w:link w:val="SignatureChar"/>
    <w:uiPriority w:val="99"/>
    <w:semiHidden/>
    <w:unhideWhenUsed/>
    <w:pPr>
      <w:widowControl w:val="0"/>
      <w:suppressAutoHyphens/>
      <w:autoSpaceDE w:val="0"/>
      <w:spacing w:after="0" w:line="240" w:lineRule="auto"/>
      <w:ind w:left="4252"/>
    </w:pPr>
    <w:rPr>
      <w:rFonts w:ascii="Times New Roman" w:eastAsia="Times New Roman" w:hAnsi="Times New Roman"/>
      <w:sz w:val="20"/>
      <w:szCs w:val="20"/>
      <w:lang w:eastAsia="ar-SA"/>
    </w:rPr>
  </w:style>
  <w:style w:type="character" w:customStyle="1" w:styleId="SignatureChar">
    <w:name w:val="Signature Char"/>
    <w:link w:val="Signature"/>
    <w:uiPriority w:val="99"/>
    <w:semiHidden/>
    <w:rPr>
      <w:rFonts w:ascii="Times New Roman" w:eastAsia="Times New Roman" w:hAnsi="Times New Roman" w:cs="Times New Roman"/>
      <w:sz w:val="20"/>
      <w:szCs w:val="20"/>
      <w:lang w:val="it-IT" w:eastAsia="ar-SA"/>
    </w:rPr>
  </w:style>
  <w:style w:type="paragraph" w:styleId="ListContinue">
    <w:name w:val="List Continue"/>
    <w:basedOn w:val="Normal"/>
    <w:uiPriority w:val="99"/>
    <w:semiHidden/>
    <w:unhideWhenUsed/>
    <w:pPr>
      <w:widowControl w:val="0"/>
      <w:suppressAutoHyphens/>
      <w:autoSpaceDE w:val="0"/>
      <w:spacing w:after="120" w:line="240" w:lineRule="auto"/>
      <w:ind w:left="283"/>
      <w:contextualSpacing/>
    </w:pPr>
    <w:rPr>
      <w:rFonts w:ascii="Times New Roman" w:eastAsia="Times New Roman" w:hAnsi="Times New Roman"/>
      <w:sz w:val="20"/>
      <w:szCs w:val="20"/>
      <w:lang w:eastAsia="ar-SA"/>
    </w:rPr>
  </w:style>
  <w:style w:type="paragraph" w:styleId="ListContinue2">
    <w:name w:val="List Continue 2"/>
    <w:basedOn w:val="Normal"/>
    <w:uiPriority w:val="99"/>
    <w:semiHidden/>
    <w:unhideWhenUsed/>
    <w:pPr>
      <w:widowControl w:val="0"/>
      <w:suppressAutoHyphens/>
      <w:autoSpaceDE w:val="0"/>
      <w:spacing w:after="120" w:line="240" w:lineRule="auto"/>
      <w:ind w:left="566"/>
      <w:contextualSpacing/>
    </w:pPr>
    <w:rPr>
      <w:rFonts w:ascii="Times New Roman" w:eastAsia="Times New Roman" w:hAnsi="Times New Roman"/>
      <w:sz w:val="20"/>
      <w:szCs w:val="20"/>
      <w:lang w:eastAsia="ar-SA"/>
    </w:rPr>
  </w:style>
  <w:style w:type="paragraph" w:styleId="ListContinue3">
    <w:name w:val="List Continue 3"/>
    <w:basedOn w:val="Normal"/>
    <w:uiPriority w:val="99"/>
    <w:semiHidden/>
    <w:unhideWhenUsed/>
    <w:pPr>
      <w:widowControl w:val="0"/>
      <w:suppressAutoHyphens/>
      <w:autoSpaceDE w:val="0"/>
      <w:spacing w:after="120" w:line="240" w:lineRule="auto"/>
      <w:ind w:left="849"/>
      <w:contextualSpacing/>
    </w:pPr>
    <w:rPr>
      <w:rFonts w:ascii="Times New Roman" w:eastAsia="Times New Roman" w:hAnsi="Times New Roman"/>
      <w:sz w:val="20"/>
      <w:szCs w:val="20"/>
      <w:lang w:eastAsia="ar-SA"/>
    </w:rPr>
  </w:style>
  <w:style w:type="paragraph" w:styleId="ListContinue4">
    <w:name w:val="List Continue 4"/>
    <w:basedOn w:val="Normal"/>
    <w:uiPriority w:val="99"/>
    <w:semiHidden/>
    <w:unhideWhenUsed/>
    <w:pPr>
      <w:widowControl w:val="0"/>
      <w:suppressAutoHyphens/>
      <w:autoSpaceDE w:val="0"/>
      <w:spacing w:after="120" w:line="240" w:lineRule="auto"/>
      <w:ind w:left="1132"/>
      <w:contextualSpacing/>
    </w:pPr>
    <w:rPr>
      <w:rFonts w:ascii="Times New Roman" w:eastAsia="Times New Roman" w:hAnsi="Times New Roman"/>
      <w:sz w:val="20"/>
      <w:szCs w:val="20"/>
      <w:lang w:eastAsia="ar-SA"/>
    </w:rPr>
  </w:style>
  <w:style w:type="paragraph" w:styleId="ListContinue5">
    <w:name w:val="List Continue 5"/>
    <w:basedOn w:val="Normal"/>
    <w:uiPriority w:val="99"/>
    <w:semiHidden/>
    <w:unhideWhenUsed/>
    <w:pPr>
      <w:widowControl w:val="0"/>
      <w:suppressAutoHyphens/>
      <w:autoSpaceDE w:val="0"/>
      <w:spacing w:after="120" w:line="240" w:lineRule="auto"/>
      <w:ind w:left="1415"/>
      <w:contextualSpacing/>
    </w:pPr>
    <w:rPr>
      <w:rFonts w:ascii="Times New Roman" w:eastAsia="Times New Roman" w:hAnsi="Times New Roman"/>
      <w:sz w:val="20"/>
      <w:szCs w:val="20"/>
      <w:lang w:eastAsia="ar-SA"/>
    </w:rPr>
  </w:style>
  <w:style w:type="paragraph" w:styleId="List2">
    <w:name w:val="List 2"/>
    <w:basedOn w:val="Normal"/>
    <w:uiPriority w:val="99"/>
    <w:semiHidden/>
    <w:unhideWhenUsed/>
    <w:pPr>
      <w:widowControl w:val="0"/>
      <w:suppressAutoHyphens/>
      <w:autoSpaceDE w:val="0"/>
      <w:spacing w:after="0" w:line="240" w:lineRule="auto"/>
      <w:ind w:left="566" w:hanging="283"/>
      <w:contextualSpacing/>
    </w:pPr>
    <w:rPr>
      <w:rFonts w:ascii="Times New Roman" w:eastAsia="Times New Roman" w:hAnsi="Times New Roman"/>
      <w:sz w:val="20"/>
      <w:szCs w:val="20"/>
      <w:lang w:eastAsia="ar-SA"/>
    </w:rPr>
  </w:style>
  <w:style w:type="paragraph" w:styleId="List3">
    <w:name w:val="List 3"/>
    <w:basedOn w:val="Normal"/>
    <w:uiPriority w:val="99"/>
    <w:semiHidden/>
    <w:unhideWhenUsed/>
    <w:pPr>
      <w:widowControl w:val="0"/>
      <w:suppressAutoHyphens/>
      <w:autoSpaceDE w:val="0"/>
      <w:spacing w:after="0" w:line="240" w:lineRule="auto"/>
      <w:ind w:left="849" w:hanging="283"/>
      <w:contextualSpacing/>
    </w:pPr>
    <w:rPr>
      <w:rFonts w:ascii="Times New Roman" w:eastAsia="Times New Roman" w:hAnsi="Times New Roman"/>
      <w:sz w:val="20"/>
      <w:szCs w:val="20"/>
      <w:lang w:eastAsia="ar-SA"/>
    </w:rPr>
  </w:style>
  <w:style w:type="paragraph" w:styleId="List4">
    <w:name w:val="List 4"/>
    <w:basedOn w:val="Normal"/>
    <w:uiPriority w:val="99"/>
    <w:semiHidden/>
    <w:unhideWhenUsed/>
    <w:pPr>
      <w:widowControl w:val="0"/>
      <w:suppressAutoHyphens/>
      <w:autoSpaceDE w:val="0"/>
      <w:spacing w:after="0" w:line="240" w:lineRule="auto"/>
      <w:ind w:left="1132" w:hanging="283"/>
      <w:contextualSpacing/>
    </w:pPr>
    <w:rPr>
      <w:rFonts w:ascii="Times New Roman" w:eastAsia="Times New Roman" w:hAnsi="Times New Roman"/>
      <w:sz w:val="20"/>
      <w:szCs w:val="20"/>
      <w:lang w:eastAsia="ar-SA"/>
    </w:rPr>
  </w:style>
  <w:style w:type="paragraph" w:styleId="List5">
    <w:name w:val="List 5"/>
    <w:basedOn w:val="Normal"/>
    <w:uiPriority w:val="99"/>
    <w:semiHidden/>
    <w:unhideWhenUsed/>
    <w:pPr>
      <w:widowControl w:val="0"/>
      <w:suppressAutoHyphens/>
      <w:autoSpaceDE w:val="0"/>
      <w:spacing w:after="0" w:line="240" w:lineRule="auto"/>
      <w:ind w:left="1415" w:hanging="283"/>
      <w:contextualSpacing/>
    </w:pPr>
    <w:rPr>
      <w:rFonts w:ascii="Times New Roman" w:eastAsia="Times New Roman" w:hAnsi="Times New Roman"/>
      <w:sz w:val="20"/>
      <w:szCs w:val="20"/>
      <w:lang w:eastAsia="ar-SA"/>
    </w:rPr>
  </w:style>
  <w:style w:type="paragraph" w:styleId="FootnoteText">
    <w:name w:val="footnote text"/>
    <w:basedOn w:val="Normal"/>
    <w:link w:val="FootnoteTextChar"/>
    <w:unhideWhenUsed/>
    <w:pPr>
      <w:widowControl w:val="0"/>
      <w:suppressAutoHyphens/>
      <w:autoSpaceDE w:val="0"/>
      <w:spacing w:after="0" w:line="240" w:lineRule="auto"/>
    </w:pPr>
    <w:rPr>
      <w:rFonts w:ascii="Times New Roman" w:eastAsia="Times New Roman" w:hAnsi="Times New Roman"/>
      <w:sz w:val="20"/>
      <w:szCs w:val="20"/>
      <w:lang w:eastAsia="ar-SA"/>
    </w:rPr>
  </w:style>
  <w:style w:type="character" w:customStyle="1" w:styleId="FootnoteTextChar">
    <w:name w:val="Footnote Text Char"/>
    <w:link w:val="FootnoteText"/>
    <w:rPr>
      <w:rFonts w:ascii="Times New Roman" w:eastAsia="Times New Roman" w:hAnsi="Times New Roman" w:cs="Times New Roman"/>
      <w:sz w:val="20"/>
      <w:szCs w:val="20"/>
      <w:lang w:val="it-IT" w:eastAsia="ar-SA"/>
    </w:rPr>
  </w:style>
  <w:style w:type="paragraph" w:styleId="Index1">
    <w:name w:val="index 1"/>
    <w:basedOn w:val="Normal"/>
    <w:next w:val="Normal"/>
    <w:autoRedefine/>
    <w:uiPriority w:val="99"/>
    <w:semiHidden/>
    <w:unhideWhenUsed/>
    <w:pPr>
      <w:widowControl w:val="0"/>
      <w:suppressAutoHyphens/>
      <w:autoSpaceDE w:val="0"/>
      <w:spacing w:after="0" w:line="240" w:lineRule="auto"/>
      <w:ind w:left="200" w:hanging="200"/>
    </w:pPr>
    <w:rPr>
      <w:rFonts w:ascii="Times New Roman" w:eastAsia="Times New Roman" w:hAnsi="Times New Roman"/>
      <w:sz w:val="20"/>
      <w:szCs w:val="20"/>
      <w:lang w:eastAsia="ar-SA"/>
    </w:rPr>
  </w:style>
  <w:style w:type="paragraph" w:styleId="IndexHeading">
    <w:name w:val="index heading"/>
    <w:basedOn w:val="Normal"/>
    <w:next w:val="Index1"/>
    <w:uiPriority w:val="99"/>
    <w:semiHidden/>
    <w:unhideWhenUsed/>
    <w:pPr>
      <w:widowControl w:val="0"/>
      <w:suppressAutoHyphens/>
      <w:autoSpaceDE w:val="0"/>
      <w:spacing w:after="0" w:line="240" w:lineRule="auto"/>
    </w:pPr>
    <w:rPr>
      <w:rFonts w:ascii="Cambria" w:eastAsia="Times New Roman" w:hAnsi="Cambria"/>
      <w:b/>
      <w:bCs/>
      <w:sz w:val="20"/>
      <w:szCs w:val="20"/>
      <w:lang w:eastAsia="ar-SA"/>
    </w:rPr>
  </w:style>
  <w:style w:type="paragraph" w:styleId="Index2">
    <w:name w:val="index 2"/>
    <w:basedOn w:val="Normal"/>
    <w:next w:val="Normal"/>
    <w:autoRedefine/>
    <w:uiPriority w:val="99"/>
    <w:semiHidden/>
    <w:unhideWhenUsed/>
    <w:pPr>
      <w:widowControl w:val="0"/>
      <w:suppressAutoHyphens/>
      <w:autoSpaceDE w:val="0"/>
      <w:spacing w:after="0" w:line="240" w:lineRule="auto"/>
      <w:ind w:left="400" w:hanging="200"/>
    </w:pPr>
    <w:rPr>
      <w:rFonts w:ascii="Times New Roman" w:eastAsia="Times New Roman" w:hAnsi="Times New Roman"/>
      <w:sz w:val="20"/>
      <w:szCs w:val="20"/>
      <w:lang w:eastAsia="ar-SA"/>
    </w:rPr>
  </w:style>
  <w:style w:type="paragraph" w:styleId="Index3">
    <w:name w:val="index 3"/>
    <w:basedOn w:val="Normal"/>
    <w:next w:val="Normal"/>
    <w:autoRedefine/>
    <w:uiPriority w:val="99"/>
    <w:semiHidden/>
    <w:unhideWhenUsed/>
    <w:pPr>
      <w:widowControl w:val="0"/>
      <w:suppressAutoHyphens/>
      <w:autoSpaceDE w:val="0"/>
      <w:spacing w:after="0" w:line="240" w:lineRule="auto"/>
      <w:ind w:left="600" w:hanging="200"/>
    </w:pPr>
    <w:rPr>
      <w:rFonts w:ascii="Times New Roman" w:eastAsia="Times New Roman" w:hAnsi="Times New Roman"/>
      <w:sz w:val="20"/>
      <w:szCs w:val="20"/>
      <w:lang w:eastAsia="ar-SA"/>
    </w:rPr>
  </w:style>
  <w:style w:type="paragraph" w:styleId="Index4">
    <w:name w:val="index 4"/>
    <w:basedOn w:val="Normal"/>
    <w:next w:val="Normal"/>
    <w:autoRedefine/>
    <w:uiPriority w:val="99"/>
    <w:semiHidden/>
    <w:unhideWhenUsed/>
    <w:pPr>
      <w:widowControl w:val="0"/>
      <w:suppressAutoHyphens/>
      <w:autoSpaceDE w:val="0"/>
      <w:spacing w:after="0" w:line="240" w:lineRule="auto"/>
      <w:ind w:left="800" w:hanging="200"/>
    </w:pPr>
    <w:rPr>
      <w:rFonts w:ascii="Times New Roman" w:eastAsia="Times New Roman" w:hAnsi="Times New Roman"/>
      <w:sz w:val="20"/>
      <w:szCs w:val="20"/>
      <w:lang w:eastAsia="ar-SA"/>
    </w:rPr>
  </w:style>
  <w:style w:type="paragraph" w:styleId="Index5">
    <w:name w:val="index 5"/>
    <w:basedOn w:val="Normal"/>
    <w:next w:val="Normal"/>
    <w:autoRedefine/>
    <w:uiPriority w:val="99"/>
    <w:semiHidden/>
    <w:unhideWhenUsed/>
    <w:pPr>
      <w:widowControl w:val="0"/>
      <w:suppressAutoHyphens/>
      <w:autoSpaceDE w:val="0"/>
      <w:spacing w:after="0" w:line="240" w:lineRule="auto"/>
      <w:ind w:left="1000" w:hanging="200"/>
    </w:pPr>
    <w:rPr>
      <w:rFonts w:ascii="Times New Roman" w:eastAsia="Times New Roman" w:hAnsi="Times New Roman"/>
      <w:sz w:val="20"/>
      <w:szCs w:val="20"/>
      <w:lang w:eastAsia="ar-SA"/>
    </w:rPr>
  </w:style>
  <w:style w:type="paragraph" w:styleId="Index6">
    <w:name w:val="index 6"/>
    <w:basedOn w:val="Normal"/>
    <w:next w:val="Normal"/>
    <w:autoRedefine/>
    <w:uiPriority w:val="99"/>
    <w:semiHidden/>
    <w:unhideWhenUsed/>
    <w:pPr>
      <w:widowControl w:val="0"/>
      <w:suppressAutoHyphens/>
      <w:autoSpaceDE w:val="0"/>
      <w:spacing w:after="0" w:line="240" w:lineRule="auto"/>
      <w:ind w:left="1200" w:hanging="200"/>
    </w:pPr>
    <w:rPr>
      <w:rFonts w:ascii="Times New Roman" w:eastAsia="Times New Roman" w:hAnsi="Times New Roman"/>
      <w:sz w:val="20"/>
      <w:szCs w:val="20"/>
      <w:lang w:eastAsia="ar-SA"/>
    </w:rPr>
  </w:style>
  <w:style w:type="paragraph" w:styleId="Index7">
    <w:name w:val="index 7"/>
    <w:basedOn w:val="Normal"/>
    <w:next w:val="Normal"/>
    <w:autoRedefine/>
    <w:uiPriority w:val="99"/>
    <w:semiHidden/>
    <w:unhideWhenUsed/>
    <w:pPr>
      <w:widowControl w:val="0"/>
      <w:suppressAutoHyphens/>
      <w:autoSpaceDE w:val="0"/>
      <w:spacing w:after="0" w:line="240" w:lineRule="auto"/>
      <w:ind w:left="1400" w:hanging="200"/>
    </w:pPr>
    <w:rPr>
      <w:rFonts w:ascii="Times New Roman" w:eastAsia="Times New Roman" w:hAnsi="Times New Roman"/>
      <w:sz w:val="20"/>
      <w:szCs w:val="20"/>
      <w:lang w:eastAsia="ar-SA"/>
    </w:rPr>
  </w:style>
  <w:style w:type="paragraph" w:styleId="Index8">
    <w:name w:val="index 8"/>
    <w:basedOn w:val="Normal"/>
    <w:next w:val="Normal"/>
    <w:autoRedefine/>
    <w:uiPriority w:val="99"/>
    <w:semiHidden/>
    <w:unhideWhenUsed/>
    <w:pPr>
      <w:widowControl w:val="0"/>
      <w:suppressAutoHyphens/>
      <w:autoSpaceDE w:val="0"/>
      <w:spacing w:after="0" w:line="240" w:lineRule="auto"/>
      <w:ind w:left="1600" w:hanging="200"/>
    </w:pPr>
    <w:rPr>
      <w:rFonts w:ascii="Times New Roman" w:eastAsia="Times New Roman" w:hAnsi="Times New Roman"/>
      <w:sz w:val="20"/>
      <w:szCs w:val="20"/>
      <w:lang w:eastAsia="ar-SA"/>
    </w:rPr>
  </w:style>
  <w:style w:type="paragraph" w:styleId="Index9">
    <w:name w:val="index 9"/>
    <w:basedOn w:val="Normal"/>
    <w:next w:val="Normal"/>
    <w:autoRedefine/>
    <w:uiPriority w:val="99"/>
    <w:semiHidden/>
    <w:unhideWhenUsed/>
    <w:pPr>
      <w:widowControl w:val="0"/>
      <w:suppressAutoHyphens/>
      <w:autoSpaceDE w:val="0"/>
      <w:spacing w:after="0" w:line="240" w:lineRule="auto"/>
      <w:ind w:left="1800" w:hanging="200"/>
    </w:pPr>
    <w:rPr>
      <w:rFonts w:ascii="Times New Roman" w:eastAsia="Times New Roman" w:hAnsi="Times New Roman"/>
      <w:sz w:val="20"/>
      <w:szCs w:val="20"/>
      <w:lang w:eastAsia="ar-SA"/>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sz w:val="20"/>
      <w:szCs w:val="20"/>
      <w:lang w:val="it-IT" w:eastAsia="ar-SA"/>
    </w:rPr>
  </w:style>
  <w:style w:type="paragraph" w:styleId="BodyTextIndent">
    <w:name w:val="Body Text Indent"/>
    <w:basedOn w:val="Normal"/>
    <w:link w:val="BodyTextIndentChar"/>
    <w:uiPriority w:val="99"/>
    <w:semiHidden/>
    <w:unhideWhenUsed/>
    <w:pPr>
      <w:widowControl w:val="0"/>
      <w:suppressAutoHyphens/>
      <w:autoSpaceDE w:val="0"/>
      <w:spacing w:after="120" w:line="240" w:lineRule="auto"/>
      <w:ind w:left="283"/>
    </w:pPr>
    <w:rPr>
      <w:rFonts w:ascii="Times New Roman" w:eastAsia="Times New Roman" w:hAnsi="Times New Roman"/>
      <w:sz w:val="20"/>
      <w:szCs w:val="20"/>
      <w:lang w:eastAsia="ar-SA"/>
    </w:rPr>
  </w:style>
  <w:style w:type="character" w:customStyle="1" w:styleId="BodyTextIndentChar">
    <w:name w:val="Body Text Indent Char"/>
    <w:link w:val="BodyTextIndent"/>
    <w:uiPriority w:val="99"/>
    <w:semiHidden/>
    <w:rPr>
      <w:rFonts w:ascii="Times New Roman" w:eastAsia="Times New Roman" w:hAnsi="Times New Roman" w:cs="Times New Roman"/>
      <w:sz w:val="20"/>
      <w:szCs w:val="20"/>
      <w:lang w:val="it-IT" w:eastAsia="ar-SA"/>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basedOn w:val="BodyTextIndentChar"/>
    <w:link w:val="BodyTextFirstIndent2"/>
    <w:uiPriority w:val="99"/>
    <w:semiHidden/>
    <w:rPr>
      <w:rFonts w:ascii="Times New Roman" w:eastAsia="Times New Roman" w:hAnsi="Times New Roman" w:cs="Times New Roman"/>
      <w:sz w:val="20"/>
      <w:szCs w:val="20"/>
      <w:lang w:val="it-IT" w:eastAsia="ar-SA"/>
    </w:rPr>
  </w:style>
  <w:style w:type="paragraph" w:styleId="BodyTextIndent2">
    <w:name w:val="Body Text Indent 2"/>
    <w:basedOn w:val="Normal"/>
    <w:link w:val="BodyTextIndent2Char"/>
    <w:uiPriority w:val="99"/>
    <w:semiHidden/>
    <w:unhideWhenUsed/>
    <w:pPr>
      <w:widowControl w:val="0"/>
      <w:suppressAutoHyphens/>
      <w:autoSpaceDE w:val="0"/>
      <w:spacing w:after="120" w:line="480" w:lineRule="auto"/>
      <w:ind w:left="283"/>
    </w:pPr>
    <w:rPr>
      <w:rFonts w:ascii="Times New Roman" w:eastAsia="Times New Roman" w:hAnsi="Times New Roman"/>
      <w:sz w:val="20"/>
      <w:szCs w:val="20"/>
      <w:lang w:eastAsia="ar-SA"/>
    </w:rPr>
  </w:style>
  <w:style w:type="character" w:customStyle="1" w:styleId="BodyTextIndent2Char">
    <w:name w:val="Body Text Indent 2 Char"/>
    <w:link w:val="BodyTextIndent2"/>
    <w:uiPriority w:val="99"/>
    <w:semiHidden/>
    <w:rPr>
      <w:rFonts w:ascii="Times New Roman" w:eastAsia="Times New Roman" w:hAnsi="Times New Roman" w:cs="Times New Roman"/>
      <w:sz w:val="20"/>
      <w:szCs w:val="20"/>
      <w:lang w:val="it-IT" w:eastAsia="ar-SA"/>
    </w:rPr>
  </w:style>
  <w:style w:type="paragraph" w:styleId="BodyTextIndent3">
    <w:name w:val="Body Text Indent 3"/>
    <w:basedOn w:val="Normal"/>
    <w:link w:val="BodyTextIndent3Char"/>
    <w:uiPriority w:val="99"/>
    <w:semiHidden/>
    <w:unhideWhenUsed/>
    <w:pPr>
      <w:widowControl w:val="0"/>
      <w:suppressAutoHyphens/>
      <w:autoSpaceDE w:val="0"/>
      <w:spacing w:after="120" w:line="240" w:lineRule="auto"/>
      <w:ind w:left="283"/>
    </w:pPr>
    <w:rPr>
      <w:rFonts w:ascii="Times New Roman" w:eastAsia="Times New Roman" w:hAnsi="Times New Roman"/>
      <w:sz w:val="16"/>
      <w:szCs w:val="16"/>
      <w:lang w:eastAsia="ar-SA"/>
    </w:rPr>
  </w:style>
  <w:style w:type="character" w:customStyle="1" w:styleId="BodyTextIndent3Char">
    <w:name w:val="Body Text Indent 3 Char"/>
    <w:link w:val="BodyTextIndent3"/>
    <w:uiPriority w:val="99"/>
    <w:semiHidden/>
    <w:rPr>
      <w:rFonts w:ascii="Times New Roman" w:eastAsia="Times New Roman" w:hAnsi="Times New Roman" w:cs="Times New Roman"/>
      <w:sz w:val="16"/>
      <w:szCs w:val="16"/>
      <w:lang w:val="it-IT" w:eastAsia="ar-SA"/>
    </w:rPr>
  </w:style>
  <w:style w:type="paragraph" w:styleId="BodyText2">
    <w:name w:val="Body Text 2"/>
    <w:basedOn w:val="Normal"/>
    <w:link w:val="BodyText2Char"/>
    <w:uiPriority w:val="99"/>
    <w:semiHidden/>
    <w:unhideWhenUsed/>
    <w:pPr>
      <w:widowControl w:val="0"/>
      <w:suppressAutoHyphens/>
      <w:autoSpaceDE w:val="0"/>
      <w:spacing w:after="120" w:line="480" w:lineRule="auto"/>
    </w:pPr>
    <w:rPr>
      <w:rFonts w:ascii="Times New Roman" w:eastAsia="Times New Roman" w:hAnsi="Times New Roman"/>
      <w:sz w:val="20"/>
      <w:szCs w:val="20"/>
      <w:lang w:eastAsia="ar-SA"/>
    </w:rPr>
  </w:style>
  <w:style w:type="character" w:customStyle="1" w:styleId="BodyText2Char">
    <w:name w:val="Body Text 2 Char"/>
    <w:link w:val="BodyText2"/>
    <w:uiPriority w:val="99"/>
    <w:semiHidden/>
    <w:rPr>
      <w:rFonts w:ascii="Times New Roman" w:eastAsia="Times New Roman" w:hAnsi="Times New Roman" w:cs="Times New Roman"/>
      <w:sz w:val="20"/>
      <w:szCs w:val="20"/>
      <w:lang w:val="it-IT" w:eastAsia="ar-SA"/>
    </w:rPr>
  </w:style>
  <w:style w:type="paragraph" w:styleId="BodyText3">
    <w:name w:val="Body Text 3"/>
    <w:basedOn w:val="Normal"/>
    <w:link w:val="BodyText3Char"/>
    <w:uiPriority w:val="99"/>
    <w:semiHidden/>
    <w:unhideWhenUsed/>
    <w:pPr>
      <w:widowControl w:val="0"/>
      <w:suppressAutoHyphens/>
      <w:autoSpaceDE w:val="0"/>
      <w:spacing w:after="120" w:line="240" w:lineRule="auto"/>
    </w:pPr>
    <w:rPr>
      <w:rFonts w:ascii="Times New Roman" w:eastAsia="Times New Roman" w:hAnsi="Times New Roman"/>
      <w:sz w:val="16"/>
      <w:szCs w:val="16"/>
      <w:lang w:eastAsia="ar-SA"/>
    </w:rPr>
  </w:style>
  <w:style w:type="character" w:customStyle="1" w:styleId="BodyText3Char">
    <w:name w:val="Body Text 3 Char"/>
    <w:link w:val="BodyText3"/>
    <w:uiPriority w:val="99"/>
    <w:semiHidden/>
    <w:rPr>
      <w:rFonts w:ascii="Times New Roman" w:eastAsia="Times New Roman" w:hAnsi="Times New Roman" w:cs="Times New Roman"/>
      <w:sz w:val="16"/>
      <w:szCs w:val="16"/>
      <w:lang w:val="it-IT" w:eastAsia="ar-SA"/>
    </w:rPr>
  </w:style>
  <w:style w:type="paragraph" w:styleId="Salutation">
    <w:name w:val="Salutation"/>
    <w:basedOn w:val="Normal"/>
    <w:next w:val="Normal"/>
    <w:link w:val="SalutationChar"/>
    <w:uiPriority w:val="99"/>
    <w:semiHidden/>
    <w:unhideWhenUsed/>
    <w:pPr>
      <w:widowControl w:val="0"/>
      <w:suppressAutoHyphens/>
      <w:autoSpaceDE w:val="0"/>
      <w:spacing w:after="0" w:line="240" w:lineRule="auto"/>
    </w:pPr>
    <w:rPr>
      <w:rFonts w:ascii="Times New Roman" w:eastAsia="Times New Roman" w:hAnsi="Times New Roman"/>
      <w:sz w:val="20"/>
      <w:szCs w:val="20"/>
      <w:lang w:eastAsia="ar-SA"/>
    </w:rPr>
  </w:style>
  <w:style w:type="character" w:customStyle="1" w:styleId="SalutationChar">
    <w:name w:val="Salutation Char"/>
    <w:link w:val="Salutation"/>
    <w:uiPriority w:val="99"/>
    <w:semiHidden/>
    <w:rPr>
      <w:rFonts w:ascii="Times New Roman" w:eastAsia="Times New Roman" w:hAnsi="Times New Roman" w:cs="Times New Roman"/>
      <w:sz w:val="20"/>
      <w:szCs w:val="20"/>
      <w:lang w:val="it-IT" w:eastAsia="ar-SA"/>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cs="Times New Roman"/>
      <w:b/>
      <w:bCs/>
      <w:sz w:val="20"/>
      <w:szCs w:val="20"/>
      <w:lang w:val="it-IT" w:eastAsia="ar-SA"/>
    </w:rPr>
  </w:style>
  <w:style w:type="paragraph" w:styleId="Closing">
    <w:name w:val="Closing"/>
    <w:basedOn w:val="Normal"/>
    <w:link w:val="ClosingChar"/>
    <w:uiPriority w:val="99"/>
    <w:semiHidden/>
    <w:unhideWhenUsed/>
    <w:pPr>
      <w:widowControl w:val="0"/>
      <w:suppressAutoHyphens/>
      <w:autoSpaceDE w:val="0"/>
      <w:spacing w:after="0" w:line="240" w:lineRule="auto"/>
      <w:ind w:left="4252"/>
    </w:pPr>
    <w:rPr>
      <w:rFonts w:ascii="Times New Roman" w:eastAsia="Times New Roman" w:hAnsi="Times New Roman"/>
      <w:sz w:val="20"/>
      <w:szCs w:val="20"/>
      <w:lang w:eastAsia="ar-SA"/>
    </w:rPr>
  </w:style>
  <w:style w:type="character" w:customStyle="1" w:styleId="ClosingChar">
    <w:name w:val="Closing Char"/>
    <w:link w:val="Closing"/>
    <w:uiPriority w:val="99"/>
    <w:semiHidden/>
    <w:rPr>
      <w:rFonts w:ascii="Times New Roman" w:eastAsia="Times New Roman" w:hAnsi="Times New Roman" w:cs="Times New Roman"/>
      <w:sz w:val="20"/>
      <w:szCs w:val="20"/>
      <w:lang w:val="it-IT" w:eastAsia="ar-SA"/>
    </w:rPr>
  </w:style>
  <w:style w:type="paragraph" w:styleId="DocumentMap">
    <w:name w:val="Document Map"/>
    <w:basedOn w:val="Normal"/>
    <w:link w:val="DocumentMapChar"/>
    <w:uiPriority w:val="99"/>
    <w:semiHidden/>
    <w:unhideWhenUsed/>
    <w:pPr>
      <w:widowControl w:val="0"/>
      <w:suppressAutoHyphens/>
      <w:autoSpaceDE w:val="0"/>
      <w:spacing w:after="0" w:line="240" w:lineRule="auto"/>
    </w:pPr>
    <w:rPr>
      <w:rFonts w:ascii="Tahoma" w:eastAsia="Times New Roman" w:hAnsi="Tahoma"/>
      <w:sz w:val="16"/>
      <w:szCs w:val="16"/>
      <w:lang w:eastAsia="ar-SA"/>
    </w:rPr>
  </w:style>
  <w:style w:type="character" w:customStyle="1" w:styleId="DocumentMapChar">
    <w:name w:val="Document Map Char"/>
    <w:link w:val="DocumentMap"/>
    <w:uiPriority w:val="99"/>
    <w:semiHidden/>
    <w:rPr>
      <w:rFonts w:ascii="Tahoma" w:eastAsia="Times New Roman" w:hAnsi="Tahoma" w:cs="Times New Roman"/>
      <w:sz w:val="16"/>
      <w:szCs w:val="16"/>
      <w:lang w:val="it-IT" w:eastAsia="ar-SA"/>
    </w:rPr>
  </w:style>
  <w:style w:type="paragraph" w:customStyle="1" w:styleId="BodyText21">
    <w:name w:val="Body Text 21"/>
    <w:basedOn w:val="Normal"/>
    <w:pPr>
      <w:widowControl w:val="0"/>
      <w:tabs>
        <w:tab w:val="left" w:pos="567"/>
      </w:tabs>
      <w:spacing w:after="0" w:line="240" w:lineRule="auto"/>
    </w:pPr>
    <w:rPr>
      <w:rFonts w:ascii="Times New Roman" w:eastAsia="Times New Roman" w:hAnsi="Times New Roman"/>
      <w:szCs w:val="20"/>
    </w:rPr>
  </w:style>
  <w:style w:type="paragraph" w:customStyle="1" w:styleId="EMEA2">
    <w:name w:val="EMEA 2"/>
    <w:basedOn w:val="Normal"/>
    <w:pPr>
      <w:numPr>
        <w:numId w:val="25"/>
      </w:numPr>
      <w:tabs>
        <w:tab w:val="clear" w:pos="720"/>
        <w:tab w:val="left" w:pos="540"/>
      </w:tabs>
      <w:autoSpaceDE w:val="0"/>
      <w:autoSpaceDN w:val="0"/>
      <w:adjustRightInd w:val="0"/>
      <w:spacing w:after="0" w:line="240" w:lineRule="auto"/>
      <w:ind w:left="540" w:hanging="540"/>
    </w:pPr>
    <w:rPr>
      <w:rFonts w:ascii="Times New Roman" w:eastAsia="Times New Roman" w:hAnsi="Times New Roman"/>
      <w:b/>
      <w:bCs/>
      <w:color w:val="000000"/>
      <w:szCs w:val="20"/>
    </w:rPr>
  </w:style>
  <w:style w:type="paragraph" w:customStyle="1" w:styleId="TitleA">
    <w:name w:val="Title A"/>
    <w:basedOn w:val="Normal"/>
    <w:qFormat/>
    <w:pPr>
      <w:widowControl w:val="0"/>
      <w:shd w:val="clear" w:color="auto" w:fill="FFFFFF"/>
      <w:suppressAutoHyphens/>
      <w:autoSpaceDE w:val="0"/>
      <w:spacing w:after="0" w:line="240" w:lineRule="auto"/>
      <w:jc w:val="center"/>
    </w:pPr>
    <w:rPr>
      <w:rFonts w:ascii="Times New Roman" w:eastAsia="Times New Roman" w:hAnsi="Times New Roman"/>
      <w:b/>
      <w:bCs/>
      <w:color w:val="000000"/>
      <w:spacing w:val="-2"/>
      <w:lang w:eastAsia="ar-SA"/>
    </w:rPr>
  </w:style>
  <w:style w:type="paragraph" w:customStyle="1" w:styleId="TitleB">
    <w:name w:val="Title B"/>
    <w:basedOn w:val="Normal"/>
    <w:qFormat/>
    <w:pPr>
      <w:widowControl w:val="0"/>
      <w:suppressAutoHyphens/>
      <w:autoSpaceDE w:val="0"/>
      <w:spacing w:after="0" w:line="240" w:lineRule="auto"/>
      <w:ind w:left="567" w:hanging="567"/>
    </w:pPr>
    <w:rPr>
      <w:rFonts w:ascii="Times New Roman" w:eastAsia="Lucida Sans Unicode" w:hAnsi="Times New Roman"/>
      <w:b/>
    </w:rPr>
  </w:style>
  <w:style w:type="character" w:styleId="CommentReference">
    <w:name w:val="annotation reference"/>
    <w:uiPriority w:val="99"/>
    <w:semiHidden/>
    <w:unhideWhenUsed/>
    <w:rPr>
      <w:sz w:val="16"/>
      <w:szCs w:val="16"/>
    </w:rPr>
  </w:style>
  <w:style w:type="character" w:styleId="FootnoteReference">
    <w:name w:val="footnote reference"/>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13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clopidogrel-ta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EMADOC-1700519818-2133887</_dlc_DocId>
    <_dlc_DocIdUrl xmlns="a034c160-bfb7-45f5-8632-2eb7e0508071">
      <Url>https://euema.sharepoint.com/sites/CRM/_layouts/15/DocIdRedir.aspx?ID=EMADOC-1700519818-2133887</Url>
      <Description>EMADOC-1700519818-2133887</Description>
    </_dlc_DocIdUrl>
  </documentManagement>
</p:properties>
</file>

<file path=customXml/itemProps1.xml><?xml version="1.0" encoding="utf-8"?>
<ds:datastoreItem xmlns:ds="http://schemas.openxmlformats.org/officeDocument/2006/customXml" ds:itemID="{2019ACB4-3FA9-4267-9F4B-6C1F21C6C2CD}"/>
</file>

<file path=customXml/itemProps2.xml><?xml version="1.0" encoding="utf-8"?>
<ds:datastoreItem xmlns:ds="http://schemas.openxmlformats.org/officeDocument/2006/customXml" ds:itemID="{A859A96C-403D-4ED0-8AC4-6C09210BCD7C}"/>
</file>

<file path=customXml/itemProps3.xml><?xml version="1.0" encoding="utf-8"?>
<ds:datastoreItem xmlns:ds="http://schemas.openxmlformats.org/officeDocument/2006/customXml" ds:itemID="{89B64781-ED51-468E-ABE3-91E4C193917A}"/>
</file>

<file path=customXml/itemProps4.xml><?xml version="1.0" encoding="utf-8"?>
<ds:datastoreItem xmlns:ds="http://schemas.openxmlformats.org/officeDocument/2006/customXml" ds:itemID="{660C41E6-611C-4807-A597-997017176F7B}"/>
</file>

<file path=docProps/app.xml><?xml version="1.0" encoding="utf-8"?>
<Properties xmlns="http://schemas.openxmlformats.org/officeDocument/2006/extended-properties" xmlns:vt="http://schemas.openxmlformats.org/officeDocument/2006/docPropsVTypes">
  <Template>Normal.dotm</Template>
  <TotalTime>33</TotalTime>
  <Pages>2</Pages>
  <Words>15576</Words>
  <Characters>90270</Characters>
  <Application>Microsoft Office Word</Application>
  <DocSecurity>0</DocSecurity>
  <Lines>2205</Lines>
  <Paragraphs>732</Paragraphs>
  <ScaleCrop>false</ScaleCrop>
  <HeadingPairs>
    <vt:vector size="6" baseType="variant">
      <vt:variant>
        <vt:lpstr>Naslov</vt:lpstr>
      </vt:variant>
      <vt:variant>
        <vt:i4>1</vt:i4>
      </vt:variant>
      <vt:variant>
        <vt:lpstr>Titolo</vt:lpstr>
      </vt:variant>
      <vt:variant>
        <vt:i4>1</vt:i4>
      </vt:variant>
      <vt:variant>
        <vt:lpstr>Title</vt:lpstr>
      </vt:variant>
      <vt:variant>
        <vt:i4>1</vt:i4>
      </vt:variant>
    </vt:vector>
  </HeadingPairs>
  <TitlesOfParts>
    <vt:vector size="3" baseType="lpstr">
      <vt:lpstr>Clopidogrel TAD, INN-clopidogrel</vt:lpstr>
      <vt:lpstr>Clopidogrel TAD, INN-clopidogrel</vt:lpstr>
      <vt:lpstr>Clopidogrel TAD, INN-clopidogrel</vt:lpstr>
    </vt:vector>
  </TitlesOfParts>
  <Company>Krka, d.d.</Company>
  <LinksUpToDate>false</LinksUpToDate>
  <CharactersWithSpaces>105236</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cp:lastModifiedBy>
  <cp:revision>22</cp:revision>
  <dcterms:created xsi:type="dcterms:W3CDTF">2023-10-14T09:08:00Z</dcterms:created>
  <dcterms:modified xsi:type="dcterms:W3CDTF">2025-05-07T07:00:00Z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12822fd1-6cf2-4677-b703-f9c4199af4d7</vt:lpwstr>
  </property>
</Properties>
</file>