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1" w:type="dxa"/>
        <w:tblLook w:val="04A0" w:firstRow="1" w:lastRow="0" w:firstColumn="1" w:lastColumn="0" w:noHBand="0" w:noVBand="1"/>
      </w:tblPr>
      <w:tblGrid>
        <w:gridCol w:w="9351"/>
      </w:tblGrid>
      <w:tr w:rsidR="00190C7E" w14:paraId="4142F249" w14:textId="77777777" w:rsidTr="00636498">
        <w:trPr>
          <w:trHeight w:val="1452"/>
        </w:trPr>
        <w:tc>
          <w:tcPr>
            <w:tcW w:w="9351" w:type="dxa"/>
            <w:tcBorders>
              <w:top w:val="single" w:sz="4" w:space="0" w:color="auto"/>
              <w:left w:val="single" w:sz="4" w:space="0" w:color="auto"/>
              <w:bottom w:val="single" w:sz="4" w:space="0" w:color="auto"/>
              <w:right w:val="single" w:sz="4" w:space="0" w:color="auto"/>
            </w:tcBorders>
          </w:tcPr>
          <w:p w14:paraId="771393A6" w14:textId="2E1CBB78" w:rsidR="00190C7E" w:rsidRDefault="00190C7E" w:rsidP="00636498">
            <w:pPr>
              <w:autoSpaceDE w:val="0"/>
              <w:autoSpaceDN w:val="0"/>
              <w:adjustRightInd w:val="0"/>
              <w:jc w:val="both"/>
              <w:rPr>
                <w:bCs/>
                <w:szCs w:val="22"/>
              </w:rPr>
            </w:pPr>
            <w:r w:rsidRPr="00190C7E">
              <w:rPr>
                <w:bCs/>
                <w:szCs w:val="22"/>
                <w:lang w:val="it-IT"/>
              </w:rPr>
              <w:t>Il presente documento riporta le informazioni sul prodotto approvate relative a</w:t>
            </w:r>
            <w:r>
              <w:rPr>
                <w:bCs/>
                <w:szCs w:val="22"/>
                <w:lang w:val="it-IT"/>
              </w:rPr>
              <w:t xml:space="preserve"> </w:t>
            </w:r>
            <w:proofErr w:type="spellStart"/>
            <w:r w:rsidRPr="00266AD4">
              <w:rPr>
                <w:szCs w:val="22"/>
              </w:rPr>
              <w:t>Dimet</w:t>
            </w:r>
            <w:r>
              <w:rPr>
                <w:szCs w:val="22"/>
              </w:rPr>
              <w:t>il</w:t>
            </w:r>
            <w:proofErr w:type="spellEnd"/>
            <w:r w:rsidRPr="00266AD4">
              <w:rPr>
                <w:szCs w:val="22"/>
              </w:rPr>
              <w:t xml:space="preserve"> </w:t>
            </w:r>
            <w:proofErr w:type="spellStart"/>
            <w:r w:rsidRPr="00266AD4">
              <w:rPr>
                <w:szCs w:val="22"/>
              </w:rPr>
              <w:t>fumarat</w:t>
            </w:r>
            <w:r>
              <w:rPr>
                <w:szCs w:val="22"/>
              </w:rPr>
              <w:t>o</w:t>
            </w:r>
            <w:proofErr w:type="spellEnd"/>
            <w:r w:rsidRPr="00266AD4">
              <w:rPr>
                <w:szCs w:val="22"/>
              </w:rPr>
              <w:t xml:space="preserve"> Accord</w:t>
            </w:r>
            <w:r>
              <w:rPr>
                <w:bCs/>
                <w:szCs w:val="22"/>
              </w:rPr>
              <w:t xml:space="preserve">, </w:t>
            </w:r>
            <w:r w:rsidRPr="00190C7E">
              <w:rPr>
                <w:bCs/>
                <w:szCs w:val="22"/>
                <w:lang w:val="it-IT"/>
              </w:rPr>
              <w:t>con evidenziate le modifiche che vi sono state apportate in seguito alla procedura precedente</w:t>
            </w:r>
            <w:r>
              <w:rPr>
                <w:bCs/>
                <w:szCs w:val="22"/>
              </w:rPr>
              <w:t xml:space="preserve"> (</w:t>
            </w:r>
            <w:r w:rsidRPr="00266AD4">
              <w:rPr>
                <w:bCs/>
                <w:szCs w:val="22"/>
              </w:rPr>
              <w:t>EMA/VR/0000247229</w:t>
            </w:r>
            <w:r>
              <w:rPr>
                <w:bCs/>
                <w:szCs w:val="22"/>
              </w:rPr>
              <w:t>).</w:t>
            </w:r>
          </w:p>
          <w:p w14:paraId="45144688" w14:textId="77777777" w:rsidR="00190C7E" w:rsidRDefault="00190C7E" w:rsidP="00636498">
            <w:pPr>
              <w:jc w:val="both"/>
              <w:rPr>
                <w:b/>
                <w:szCs w:val="22"/>
              </w:rPr>
            </w:pPr>
          </w:p>
          <w:p w14:paraId="35E2B9BB" w14:textId="4CD4C00E" w:rsidR="00190C7E" w:rsidRDefault="00190C7E" w:rsidP="00636498">
            <w:pPr>
              <w:jc w:val="both"/>
              <w:rPr>
                <w:bCs/>
                <w:szCs w:val="22"/>
                <w:lang w:val="en-US"/>
              </w:rPr>
            </w:pPr>
            <w:r w:rsidRPr="00190C7E">
              <w:rPr>
                <w:bCs/>
                <w:szCs w:val="22"/>
                <w:lang w:val="it-IT"/>
              </w:rPr>
              <w:t>Per maggiori informazioni, consultare il sito web dell’Agenzia europea per i medicinali</w:t>
            </w:r>
            <w:r>
              <w:rPr>
                <w:bCs/>
                <w:szCs w:val="22"/>
                <w:lang w:val="en-US"/>
              </w:rPr>
              <w:t>:</w:t>
            </w:r>
          </w:p>
          <w:p w14:paraId="55FC0B1B" w14:textId="77777777" w:rsidR="00190C7E" w:rsidRDefault="00190C7E" w:rsidP="00636498">
            <w:pPr>
              <w:jc w:val="both"/>
              <w:rPr>
                <w:color w:val="0000FF"/>
                <w:sz w:val="24"/>
                <w:szCs w:val="24"/>
                <w:u w:val="single"/>
                <w:lang w:val="cs-CZ"/>
              </w:rPr>
            </w:pPr>
            <w:hyperlink r:id="rId9" w:history="1">
              <w:r w:rsidRPr="00A04EE0">
                <w:rPr>
                  <w:rStyle w:val="Hyperlink"/>
                </w:rPr>
                <w:t>https://www.ema.europa.eu/en/medicines/human/EPAR/dimethyl-fumarate-accord</w:t>
              </w:r>
            </w:hyperlink>
            <w:r>
              <w:t xml:space="preserve"> </w:t>
            </w:r>
          </w:p>
        </w:tc>
      </w:tr>
    </w:tbl>
    <w:p w14:paraId="4055AE71" w14:textId="77777777" w:rsidR="00190C7E" w:rsidRPr="0067123F" w:rsidRDefault="00190C7E" w:rsidP="00190C7E">
      <w:pPr>
        <w:outlineLvl w:val="0"/>
        <w:rPr>
          <w:noProof/>
        </w:rPr>
      </w:pPr>
    </w:p>
    <w:p w14:paraId="49175619" w14:textId="77777777" w:rsidR="00717A16" w:rsidRPr="00B86130" w:rsidRDefault="00717A16">
      <w:pPr>
        <w:widowControl w:val="0"/>
        <w:rPr>
          <w:szCs w:val="22"/>
        </w:rPr>
      </w:pPr>
    </w:p>
    <w:p w14:paraId="1F4ED127" w14:textId="77777777" w:rsidR="00717A16" w:rsidRPr="00B86130" w:rsidRDefault="00717A16">
      <w:pPr>
        <w:widowControl w:val="0"/>
        <w:rPr>
          <w:szCs w:val="22"/>
        </w:rPr>
      </w:pPr>
    </w:p>
    <w:p w14:paraId="2DBA975E" w14:textId="77777777" w:rsidR="00717A16" w:rsidRPr="00B86130" w:rsidRDefault="00717A16">
      <w:pPr>
        <w:widowControl w:val="0"/>
        <w:rPr>
          <w:szCs w:val="22"/>
        </w:rPr>
      </w:pPr>
    </w:p>
    <w:p w14:paraId="6A4DAE96" w14:textId="77777777" w:rsidR="00717A16" w:rsidRPr="00B86130" w:rsidRDefault="00717A16">
      <w:pPr>
        <w:widowControl w:val="0"/>
        <w:rPr>
          <w:szCs w:val="22"/>
        </w:rPr>
      </w:pPr>
    </w:p>
    <w:p w14:paraId="412FAE99" w14:textId="77777777" w:rsidR="00717A16" w:rsidRPr="00B86130" w:rsidRDefault="00717A16">
      <w:pPr>
        <w:widowControl w:val="0"/>
        <w:rPr>
          <w:szCs w:val="22"/>
        </w:rPr>
      </w:pPr>
    </w:p>
    <w:p w14:paraId="5D49F1F5" w14:textId="77777777" w:rsidR="00717A16" w:rsidRPr="00B86130" w:rsidRDefault="00717A16">
      <w:pPr>
        <w:widowControl w:val="0"/>
        <w:rPr>
          <w:szCs w:val="22"/>
        </w:rPr>
      </w:pPr>
    </w:p>
    <w:p w14:paraId="78D41DB1" w14:textId="77777777" w:rsidR="00717A16" w:rsidRPr="00B86130" w:rsidRDefault="00717A16">
      <w:pPr>
        <w:widowControl w:val="0"/>
        <w:rPr>
          <w:szCs w:val="22"/>
        </w:rPr>
      </w:pPr>
    </w:p>
    <w:p w14:paraId="7C83F965" w14:textId="77777777" w:rsidR="00717A16" w:rsidRPr="00B86130" w:rsidRDefault="00717A16">
      <w:pPr>
        <w:widowControl w:val="0"/>
        <w:rPr>
          <w:szCs w:val="22"/>
        </w:rPr>
      </w:pPr>
    </w:p>
    <w:p w14:paraId="6E039FAF" w14:textId="77777777" w:rsidR="00717A16" w:rsidRPr="00B86130" w:rsidRDefault="00717A16">
      <w:pPr>
        <w:widowControl w:val="0"/>
        <w:rPr>
          <w:szCs w:val="22"/>
        </w:rPr>
      </w:pPr>
    </w:p>
    <w:p w14:paraId="1C11F07E" w14:textId="77777777" w:rsidR="00717A16" w:rsidRPr="00B86130" w:rsidRDefault="00717A16">
      <w:pPr>
        <w:widowControl w:val="0"/>
        <w:rPr>
          <w:szCs w:val="22"/>
        </w:rPr>
      </w:pPr>
    </w:p>
    <w:p w14:paraId="7743C53F" w14:textId="77777777" w:rsidR="00717A16" w:rsidRPr="00B86130" w:rsidRDefault="00717A16">
      <w:pPr>
        <w:widowControl w:val="0"/>
        <w:rPr>
          <w:szCs w:val="22"/>
        </w:rPr>
      </w:pPr>
    </w:p>
    <w:p w14:paraId="7DF2F9EB" w14:textId="77777777" w:rsidR="00717A16" w:rsidRPr="00B86130" w:rsidRDefault="00717A16">
      <w:pPr>
        <w:widowControl w:val="0"/>
        <w:rPr>
          <w:szCs w:val="22"/>
        </w:rPr>
      </w:pPr>
    </w:p>
    <w:p w14:paraId="6D6AAC45" w14:textId="77777777" w:rsidR="00717A16" w:rsidRPr="00B86130" w:rsidRDefault="00717A16">
      <w:pPr>
        <w:widowControl w:val="0"/>
        <w:rPr>
          <w:szCs w:val="22"/>
        </w:rPr>
      </w:pPr>
    </w:p>
    <w:p w14:paraId="305FD5AB" w14:textId="77777777" w:rsidR="00717A16" w:rsidRPr="00B86130" w:rsidRDefault="00717A16">
      <w:pPr>
        <w:widowControl w:val="0"/>
        <w:rPr>
          <w:szCs w:val="22"/>
        </w:rPr>
      </w:pPr>
    </w:p>
    <w:p w14:paraId="6794CBAC" w14:textId="77777777" w:rsidR="00717A16" w:rsidRPr="00B86130" w:rsidRDefault="00717A16">
      <w:pPr>
        <w:widowControl w:val="0"/>
        <w:rPr>
          <w:szCs w:val="22"/>
        </w:rPr>
      </w:pPr>
    </w:p>
    <w:p w14:paraId="52567B6C" w14:textId="77777777" w:rsidR="00717A16" w:rsidRPr="00B86130" w:rsidRDefault="00717A16">
      <w:pPr>
        <w:widowControl w:val="0"/>
        <w:rPr>
          <w:szCs w:val="22"/>
        </w:rPr>
      </w:pPr>
    </w:p>
    <w:p w14:paraId="5AC9B453" w14:textId="77777777" w:rsidR="00717A16" w:rsidRPr="00B86130" w:rsidRDefault="00717A16">
      <w:pPr>
        <w:widowControl w:val="0"/>
        <w:rPr>
          <w:szCs w:val="22"/>
        </w:rPr>
      </w:pPr>
    </w:p>
    <w:p w14:paraId="0717C90B" w14:textId="77777777" w:rsidR="00717A16" w:rsidRPr="00B86130" w:rsidRDefault="00717A16">
      <w:pPr>
        <w:widowControl w:val="0"/>
        <w:rPr>
          <w:szCs w:val="22"/>
        </w:rPr>
      </w:pPr>
    </w:p>
    <w:p w14:paraId="36886C42" w14:textId="77777777" w:rsidR="00717A16" w:rsidRPr="00B86130" w:rsidRDefault="00717A16">
      <w:pPr>
        <w:widowControl w:val="0"/>
        <w:rPr>
          <w:szCs w:val="22"/>
        </w:rPr>
      </w:pPr>
    </w:p>
    <w:p w14:paraId="2AAE01D6" w14:textId="77777777" w:rsidR="00717A16" w:rsidRPr="00B86130" w:rsidRDefault="00717A16">
      <w:pPr>
        <w:widowControl w:val="0"/>
        <w:rPr>
          <w:szCs w:val="22"/>
        </w:rPr>
      </w:pPr>
    </w:p>
    <w:p w14:paraId="70892AC2" w14:textId="77777777" w:rsidR="00717A16" w:rsidRPr="00B86130" w:rsidRDefault="00717A16">
      <w:pPr>
        <w:widowControl w:val="0"/>
        <w:rPr>
          <w:szCs w:val="22"/>
        </w:rPr>
      </w:pPr>
    </w:p>
    <w:p w14:paraId="593A4145" w14:textId="77777777" w:rsidR="00717A16" w:rsidRPr="00B86130" w:rsidRDefault="00717A16">
      <w:pPr>
        <w:widowControl w:val="0"/>
        <w:rPr>
          <w:szCs w:val="22"/>
        </w:rPr>
      </w:pPr>
    </w:p>
    <w:p w14:paraId="2AE6EA61" w14:textId="77777777" w:rsidR="00717A16" w:rsidRPr="00B86130" w:rsidRDefault="00717A16">
      <w:pPr>
        <w:widowControl w:val="0"/>
        <w:rPr>
          <w:szCs w:val="22"/>
        </w:rPr>
      </w:pPr>
    </w:p>
    <w:p w14:paraId="77BA5DCE" w14:textId="77777777" w:rsidR="00717A16" w:rsidRPr="00136B35" w:rsidRDefault="00157A56">
      <w:pPr>
        <w:widowControl w:val="0"/>
        <w:tabs>
          <w:tab w:val="left" w:pos="-1440"/>
          <w:tab w:val="left" w:pos="-720"/>
        </w:tabs>
        <w:jc w:val="center"/>
        <w:rPr>
          <w:b/>
          <w:szCs w:val="22"/>
        </w:rPr>
      </w:pPr>
      <w:r w:rsidRPr="00136B35">
        <w:rPr>
          <w:b/>
          <w:szCs w:val="22"/>
        </w:rPr>
        <w:t>ALLEGATO I</w:t>
      </w:r>
    </w:p>
    <w:p w14:paraId="43ADAE7B" w14:textId="77777777" w:rsidR="00717A16" w:rsidRPr="00136B35" w:rsidRDefault="00717A16">
      <w:pPr>
        <w:widowControl w:val="0"/>
        <w:rPr>
          <w:szCs w:val="22"/>
        </w:rPr>
      </w:pPr>
    </w:p>
    <w:p w14:paraId="790B8E41" w14:textId="77777777" w:rsidR="00717A16" w:rsidRPr="00136B35" w:rsidRDefault="00157A56">
      <w:pPr>
        <w:pStyle w:val="TitleA"/>
        <w:rPr>
          <w:lang w:val="it-IT"/>
        </w:rPr>
      </w:pPr>
      <w:r w:rsidRPr="00136B35">
        <w:rPr>
          <w:lang w:val="it-IT"/>
        </w:rPr>
        <w:t>RIASSUNTO DELLE CARATTERISTICHE DEL PRODOTTO</w:t>
      </w:r>
    </w:p>
    <w:p w14:paraId="46E2DF41" w14:textId="7F7C4B57" w:rsidR="005477D4" w:rsidRPr="00136B35" w:rsidRDefault="005477D4" w:rsidP="005477D4">
      <w:pPr>
        <w:tabs>
          <w:tab w:val="clear" w:pos="567"/>
        </w:tabs>
        <w:suppressAutoHyphens w:val="0"/>
        <w:rPr>
          <w:b/>
          <w:szCs w:val="22"/>
        </w:rPr>
      </w:pPr>
      <w:bookmarkStart w:id="0" w:name="_Hlk187339101"/>
      <w:r w:rsidRPr="00136B35">
        <w:rPr>
          <w:b/>
          <w:szCs w:val="22"/>
        </w:rPr>
        <w:br w:type="page"/>
      </w:r>
    </w:p>
    <w:p w14:paraId="089BAB3D" w14:textId="77777777" w:rsidR="005477D4" w:rsidRPr="00136B35" w:rsidRDefault="005477D4" w:rsidP="005010FD">
      <w:pPr>
        <w:widowControl w:val="0"/>
        <w:jc w:val="both"/>
        <w:rPr>
          <w:b/>
          <w:szCs w:val="22"/>
        </w:rPr>
      </w:pPr>
      <w:r w:rsidRPr="00136B35">
        <w:rPr>
          <w:b/>
          <w:szCs w:val="22"/>
        </w:rPr>
        <w:lastRenderedPageBreak/>
        <w:t>1.</w:t>
      </w:r>
      <w:r w:rsidRPr="00136B35">
        <w:rPr>
          <w:b/>
          <w:szCs w:val="22"/>
        </w:rPr>
        <w:tab/>
        <w:t>DENOMINAZIONE DEL MEDICINALE</w:t>
      </w:r>
    </w:p>
    <w:p w14:paraId="570508D8" w14:textId="77777777" w:rsidR="005477D4" w:rsidRPr="00136B35" w:rsidRDefault="005477D4" w:rsidP="005010FD">
      <w:pPr>
        <w:widowControl w:val="0"/>
        <w:jc w:val="both"/>
        <w:rPr>
          <w:szCs w:val="22"/>
        </w:rPr>
      </w:pPr>
    </w:p>
    <w:p w14:paraId="77311D75" w14:textId="77777777" w:rsidR="005477D4" w:rsidRPr="00136B35" w:rsidRDefault="005477D4" w:rsidP="005010FD">
      <w:pPr>
        <w:widowControl w:val="0"/>
        <w:jc w:val="both"/>
        <w:rPr>
          <w:szCs w:val="22"/>
        </w:rPr>
      </w:pPr>
      <w:r w:rsidRPr="00136B35">
        <w:rPr>
          <w:szCs w:val="22"/>
        </w:rPr>
        <w:t>Dimetilfumarato</w:t>
      </w:r>
      <w:r w:rsidRPr="00136B35" w:rsidDel="00C934D8">
        <w:rPr>
          <w:szCs w:val="22"/>
        </w:rPr>
        <w:t xml:space="preserve"> </w:t>
      </w:r>
      <w:r w:rsidRPr="00136B35">
        <w:rPr>
          <w:szCs w:val="22"/>
        </w:rPr>
        <w:t xml:space="preserve">Accord 120 mg capsule rigide gastroresistenti </w:t>
      </w:r>
    </w:p>
    <w:p w14:paraId="32440D49" w14:textId="77777777" w:rsidR="005477D4" w:rsidRPr="00136B35" w:rsidRDefault="005477D4" w:rsidP="005010FD">
      <w:pPr>
        <w:widowControl w:val="0"/>
        <w:suppressLineNumbers/>
        <w:jc w:val="both"/>
        <w:rPr>
          <w:szCs w:val="22"/>
        </w:rPr>
      </w:pPr>
      <w:r w:rsidRPr="00136B35">
        <w:rPr>
          <w:szCs w:val="22"/>
        </w:rPr>
        <w:t>Dimetilfumarato</w:t>
      </w:r>
      <w:r w:rsidRPr="00136B35" w:rsidDel="00C934D8">
        <w:rPr>
          <w:szCs w:val="22"/>
        </w:rPr>
        <w:t xml:space="preserve"> </w:t>
      </w:r>
      <w:r w:rsidRPr="00136B35">
        <w:rPr>
          <w:szCs w:val="22"/>
        </w:rPr>
        <w:t>Accord 240 mg capsule rigide gastroresistenti</w:t>
      </w:r>
    </w:p>
    <w:p w14:paraId="77BE860E" w14:textId="77777777" w:rsidR="005477D4" w:rsidRPr="00136B35" w:rsidRDefault="005477D4" w:rsidP="005010FD">
      <w:pPr>
        <w:widowControl w:val="0"/>
        <w:jc w:val="both"/>
        <w:rPr>
          <w:szCs w:val="22"/>
        </w:rPr>
      </w:pPr>
    </w:p>
    <w:p w14:paraId="6329AD70" w14:textId="77777777" w:rsidR="005477D4" w:rsidRPr="00136B35" w:rsidRDefault="005477D4" w:rsidP="005010FD">
      <w:pPr>
        <w:widowControl w:val="0"/>
        <w:jc w:val="both"/>
        <w:rPr>
          <w:szCs w:val="22"/>
        </w:rPr>
      </w:pPr>
    </w:p>
    <w:p w14:paraId="50EF8052" w14:textId="77777777" w:rsidR="005477D4" w:rsidRPr="00136B35" w:rsidRDefault="005477D4" w:rsidP="005010FD">
      <w:pPr>
        <w:widowControl w:val="0"/>
        <w:jc w:val="both"/>
        <w:rPr>
          <w:b/>
          <w:szCs w:val="22"/>
        </w:rPr>
      </w:pPr>
      <w:r w:rsidRPr="00136B35">
        <w:rPr>
          <w:b/>
          <w:szCs w:val="22"/>
        </w:rPr>
        <w:t>2.</w:t>
      </w:r>
      <w:r w:rsidRPr="00136B35">
        <w:rPr>
          <w:b/>
          <w:szCs w:val="22"/>
        </w:rPr>
        <w:tab/>
        <w:t>COMPOSIZIONE QUALITATIVA E QUANTITATIVA</w:t>
      </w:r>
    </w:p>
    <w:p w14:paraId="0F1AB371" w14:textId="77777777" w:rsidR="005477D4" w:rsidRPr="00136B35" w:rsidRDefault="005477D4" w:rsidP="005010FD">
      <w:pPr>
        <w:widowControl w:val="0"/>
        <w:jc w:val="both"/>
        <w:rPr>
          <w:szCs w:val="22"/>
        </w:rPr>
      </w:pPr>
    </w:p>
    <w:p w14:paraId="0E62ADE0" w14:textId="77777777" w:rsidR="005477D4" w:rsidRPr="00136B35" w:rsidRDefault="005477D4" w:rsidP="005010FD">
      <w:pPr>
        <w:jc w:val="both"/>
        <w:rPr>
          <w:szCs w:val="22"/>
          <w:u w:val="single"/>
        </w:rPr>
      </w:pPr>
      <w:bookmarkStart w:id="1" w:name="_Hlk124333324"/>
      <w:r w:rsidRPr="00136B35">
        <w:rPr>
          <w:szCs w:val="22"/>
          <w:u w:val="single"/>
        </w:rPr>
        <w:t>Dimetilfumarato</w:t>
      </w:r>
      <w:bookmarkEnd w:id="1"/>
      <w:r w:rsidRPr="00136B35" w:rsidDel="00C934D8">
        <w:rPr>
          <w:szCs w:val="22"/>
          <w:u w:val="single"/>
        </w:rPr>
        <w:t xml:space="preserve"> </w:t>
      </w:r>
      <w:r w:rsidRPr="00136B35">
        <w:rPr>
          <w:szCs w:val="22"/>
          <w:u w:val="single"/>
        </w:rPr>
        <w:t xml:space="preserve">Accord 120 mg capsule rigide gastroresistenti </w:t>
      </w:r>
    </w:p>
    <w:p w14:paraId="7AB52A36" w14:textId="77777777" w:rsidR="005477D4" w:rsidRPr="00136B35" w:rsidRDefault="005477D4" w:rsidP="005010FD">
      <w:pPr>
        <w:widowControl w:val="0"/>
        <w:jc w:val="both"/>
        <w:rPr>
          <w:szCs w:val="22"/>
        </w:rPr>
      </w:pPr>
    </w:p>
    <w:p w14:paraId="13215088" w14:textId="77777777" w:rsidR="005477D4" w:rsidRPr="00136B35" w:rsidRDefault="005477D4" w:rsidP="005010FD">
      <w:pPr>
        <w:widowControl w:val="0"/>
        <w:jc w:val="both"/>
        <w:rPr>
          <w:szCs w:val="22"/>
        </w:rPr>
      </w:pPr>
      <w:r w:rsidRPr="00136B35">
        <w:rPr>
          <w:szCs w:val="22"/>
        </w:rPr>
        <w:t>Ogni capsula rigida gastroresistente contiene 120 mg di dimetilfumarato.</w:t>
      </w:r>
    </w:p>
    <w:p w14:paraId="001B2F14" w14:textId="77777777" w:rsidR="005477D4" w:rsidRPr="00136B35" w:rsidRDefault="005477D4" w:rsidP="005010FD">
      <w:pPr>
        <w:jc w:val="both"/>
        <w:rPr>
          <w:szCs w:val="22"/>
        </w:rPr>
      </w:pPr>
    </w:p>
    <w:p w14:paraId="2DE9B230" w14:textId="77777777" w:rsidR="005477D4" w:rsidRPr="00136B35" w:rsidRDefault="005477D4" w:rsidP="005010FD">
      <w:pPr>
        <w:jc w:val="both"/>
        <w:rPr>
          <w:szCs w:val="22"/>
          <w:u w:val="single"/>
        </w:rPr>
      </w:pPr>
      <w:r w:rsidRPr="00136B35">
        <w:rPr>
          <w:szCs w:val="22"/>
          <w:u w:val="single"/>
        </w:rPr>
        <w:t>Dimetilfumarato</w:t>
      </w:r>
      <w:r w:rsidRPr="00136B35" w:rsidDel="00C934D8">
        <w:rPr>
          <w:szCs w:val="22"/>
          <w:u w:val="single"/>
        </w:rPr>
        <w:t xml:space="preserve"> </w:t>
      </w:r>
      <w:r w:rsidRPr="00136B35">
        <w:rPr>
          <w:szCs w:val="22"/>
          <w:u w:val="single"/>
        </w:rPr>
        <w:t xml:space="preserve">Accord 240 mg capsule rigide gastroresistenti </w:t>
      </w:r>
    </w:p>
    <w:p w14:paraId="79659D73" w14:textId="77777777" w:rsidR="005477D4" w:rsidRPr="00136B35" w:rsidRDefault="005477D4" w:rsidP="005010FD">
      <w:pPr>
        <w:jc w:val="both"/>
        <w:rPr>
          <w:szCs w:val="22"/>
        </w:rPr>
      </w:pPr>
    </w:p>
    <w:p w14:paraId="4A562DFA" w14:textId="77777777" w:rsidR="005477D4" w:rsidRPr="00136B35" w:rsidRDefault="005477D4" w:rsidP="005010FD">
      <w:pPr>
        <w:jc w:val="both"/>
        <w:rPr>
          <w:szCs w:val="22"/>
        </w:rPr>
      </w:pPr>
      <w:r w:rsidRPr="00136B35">
        <w:rPr>
          <w:szCs w:val="22"/>
        </w:rPr>
        <w:t>Ogni capsula rigida gastroresistente contiene 240 mg di dimetilfumarato.</w:t>
      </w:r>
    </w:p>
    <w:p w14:paraId="672EAA8E" w14:textId="77777777" w:rsidR="005477D4" w:rsidRPr="00136B35" w:rsidRDefault="005477D4" w:rsidP="005010FD">
      <w:pPr>
        <w:widowControl w:val="0"/>
        <w:jc w:val="both"/>
        <w:rPr>
          <w:szCs w:val="22"/>
        </w:rPr>
      </w:pPr>
    </w:p>
    <w:p w14:paraId="04520885" w14:textId="77777777" w:rsidR="005477D4" w:rsidRPr="00136B35" w:rsidRDefault="005477D4" w:rsidP="005010FD">
      <w:pPr>
        <w:widowControl w:val="0"/>
        <w:jc w:val="both"/>
        <w:rPr>
          <w:szCs w:val="22"/>
        </w:rPr>
      </w:pPr>
      <w:r w:rsidRPr="00136B35">
        <w:rPr>
          <w:szCs w:val="22"/>
        </w:rPr>
        <w:t>Per l’elenco completo degli eccipienti, vedere paragrafo 6.1.</w:t>
      </w:r>
    </w:p>
    <w:p w14:paraId="5A1D7E40" w14:textId="77777777" w:rsidR="005477D4" w:rsidRPr="00136B35" w:rsidRDefault="005477D4" w:rsidP="005010FD">
      <w:pPr>
        <w:widowControl w:val="0"/>
        <w:jc w:val="both"/>
        <w:rPr>
          <w:szCs w:val="22"/>
        </w:rPr>
      </w:pPr>
    </w:p>
    <w:p w14:paraId="38815656" w14:textId="77777777" w:rsidR="005477D4" w:rsidRPr="00136B35" w:rsidRDefault="005477D4" w:rsidP="005010FD">
      <w:pPr>
        <w:widowControl w:val="0"/>
        <w:jc w:val="both"/>
        <w:rPr>
          <w:szCs w:val="22"/>
        </w:rPr>
      </w:pPr>
    </w:p>
    <w:p w14:paraId="54D9E919" w14:textId="77777777" w:rsidR="005477D4" w:rsidRPr="00136B35" w:rsidRDefault="005477D4" w:rsidP="005010FD">
      <w:pPr>
        <w:widowControl w:val="0"/>
        <w:jc w:val="both"/>
        <w:rPr>
          <w:b/>
          <w:szCs w:val="22"/>
        </w:rPr>
      </w:pPr>
      <w:r w:rsidRPr="00136B35">
        <w:rPr>
          <w:b/>
          <w:szCs w:val="22"/>
        </w:rPr>
        <w:t>3.</w:t>
      </w:r>
      <w:r w:rsidRPr="00136B35">
        <w:rPr>
          <w:b/>
          <w:szCs w:val="22"/>
        </w:rPr>
        <w:tab/>
        <w:t>FORMA FARMACEUTICA</w:t>
      </w:r>
    </w:p>
    <w:p w14:paraId="46D04557" w14:textId="77777777" w:rsidR="005477D4" w:rsidRPr="00136B35" w:rsidRDefault="005477D4" w:rsidP="005010FD">
      <w:pPr>
        <w:widowControl w:val="0"/>
        <w:jc w:val="both"/>
        <w:rPr>
          <w:szCs w:val="22"/>
        </w:rPr>
      </w:pPr>
    </w:p>
    <w:p w14:paraId="3F00EB9A" w14:textId="77777777" w:rsidR="005477D4" w:rsidRPr="00136B35" w:rsidRDefault="005477D4" w:rsidP="005010FD">
      <w:pPr>
        <w:widowControl w:val="0"/>
        <w:jc w:val="both"/>
        <w:rPr>
          <w:szCs w:val="22"/>
        </w:rPr>
      </w:pPr>
      <w:r w:rsidRPr="00136B35">
        <w:rPr>
          <w:szCs w:val="22"/>
        </w:rPr>
        <w:t>Capsula rigida gastroresistente (capsula gastroresistente)</w:t>
      </w:r>
    </w:p>
    <w:p w14:paraId="215B5A59" w14:textId="77777777" w:rsidR="005477D4" w:rsidRPr="00136B35" w:rsidRDefault="005477D4" w:rsidP="005010FD">
      <w:pPr>
        <w:widowControl w:val="0"/>
        <w:jc w:val="both"/>
        <w:rPr>
          <w:szCs w:val="22"/>
        </w:rPr>
      </w:pPr>
    </w:p>
    <w:p w14:paraId="48A5D548" w14:textId="77777777" w:rsidR="005477D4" w:rsidRPr="00136B35" w:rsidRDefault="005477D4" w:rsidP="005010FD">
      <w:pPr>
        <w:jc w:val="both"/>
        <w:rPr>
          <w:szCs w:val="22"/>
          <w:u w:val="single"/>
        </w:rPr>
      </w:pPr>
      <w:r w:rsidRPr="00136B35">
        <w:rPr>
          <w:szCs w:val="22"/>
          <w:u w:val="single"/>
        </w:rPr>
        <w:t>Dimetilfumarato</w:t>
      </w:r>
      <w:r w:rsidRPr="00136B35" w:rsidDel="00C934D8">
        <w:rPr>
          <w:szCs w:val="22"/>
          <w:u w:val="single"/>
        </w:rPr>
        <w:t xml:space="preserve"> </w:t>
      </w:r>
      <w:r w:rsidRPr="00136B35">
        <w:rPr>
          <w:szCs w:val="22"/>
          <w:u w:val="single"/>
        </w:rPr>
        <w:t>Accord 120 mg capsule rigide gastroresistenti</w:t>
      </w:r>
    </w:p>
    <w:p w14:paraId="1CF419E7" w14:textId="77777777" w:rsidR="005477D4" w:rsidRPr="00136B35" w:rsidRDefault="005477D4" w:rsidP="005010FD">
      <w:pPr>
        <w:widowControl w:val="0"/>
        <w:jc w:val="both"/>
        <w:rPr>
          <w:szCs w:val="22"/>
        </w:rPr>
      </w:pPr>
    </w:p>
    <w:p w14:paraId="5B92783A" w14:textId="77777777" w:rsidR="005477D4" w:rsidRPr="00136B35" w:rsidRDefault="005477D4" w:rsidP="005010FD">
      <w:pPr>
        <w:widowControl w:val="0"/>
        <w:jc w:val="both"/>
        <w:rPr>
          <w:szCs w:val="22"/>
        </w:rPr>
      </w:pPr>
      <w:bookmarkStart w:id="2" w:name="_Hlk95922951"/>
      <w:r w:rsidRPr="00136B35">
        <w:rPr>
          <w:szCs w:val="22"/>
        </w:rPr>
        <w:t xml:space="preserve">Capsule rigide in gelatina di dimensione “0” (21,3 x 7,5 mm circa) con testa verde e corpo bianco, con impresso “HR1” in inchiostro nero sul corpo della capsula, contenenti mini compresse con rivestimento enterico gastroresistenti di colore da bianco a biancastro, rotonde, biconvesse, lisce su entrambi i lati. </w:t>
      </w:r>
    </w:p>
    <w:p w14:paraId="1D1B2396" w14:textId="77777777" w:rsidR="005477D4" w:rsidRPr="00136B35" w:rsidRDefault="005477D4" w:rsidP="005010FD">
      <w:pPr>
        <w:widowControl w:val="0"/>
        <w:suppressLineNumbers/>
        <w:jc w:val="both"/>
        <w:rPr>
          <w:szCs w:val="22"/>
        </w:rPr>
      </w:pPr>
    </w:p>
    <w:p w14:paraId="3530F527" w14:textId="77777777" w:rsidR="005477D4" w:rsidRPr="00136B35" w:rsidRDefault="005477D4" w:rsidP="005010FD">
      <w:pPr>
        <w:jc w:val="both"/>
        <w:rPr>
          <w:szCs w:val="22"/>
          <w:u w:val="single"/>
        </w:rPr>
      </w:pPr>
      <w:r w:rsidRPr="00136B35">
        <w:rPr>
          <w:szCs w:val="22"/>
          <w:u w:val="single"/>
        </w:rPr>
        <w:t>Dimetilfumarato</w:t>
      </w:r>
      <w:r w:rsidRPr="00136B35" w:rsidDel="00C934D8">
        <w:rPr>
          <w:szCs w:val="22"/>
          <w:u w:val="single"/>
        </w:rPr>
        <w:t xml:space="preserve"> </w:t>
      </w:r>
      <w:r w:rsidRPr="00136B35">
        <w:rPr>
          <w:szCs w:val="22"/>
          <w:u w:val="single"/>
        </w:rPr>
        <w:t>Accord 240 mg capsule rigide gastroresistenti</w:t>
      </w:r>
    </w:p>
    <w:p w14:paraId="3239B3D5" w14:textId="77777777" w:rsidR="005477D4" w:rsidRPr="00136B35" w:rsidRDefault="005477D4" w:rsidP="005010FD">
      <w:pPr>
        <w:widowControl w:val="0"/>
        <w:suppressLineNumbers/>
        <w:jc w:val="both"/>
        <w:rPr>
          <w:szCs w:val="22"/>
        </w:rPr>
      </w:pPr>
    </w:p>
    <w:p w14:paraId="6AB4C3F9" w14:textId="77777777" w:rsidR="005477D4" w:rsidRPr="00136B35" w:rsidRDefault="005477D4" w:rsidP="005010FD">
      <w:pPr>
        <w:widowControl w:val="0"/>
        <w:suppressLineNumbers/>
        <w:jc w:val="both"/>
        <w:rPr>
          <w:szCs w:val="22"/>
        </w:rPr>
      </w:pPr>
      <w:r w:rsidRPr="00136B35">
        <w:rPr>
          <w:szCs w:val="22"/>
        </w:rPr>
        <w:t>Capsule rigide in gelatina di dimensione “0” (21,3 x 7,5 mm circa) con testa e corpo verdi, con impresso “HR2” in inchiostro nero sul corpo della capsula, contenenti mini compresse con rivestimento enterico gastroresistenti di colore da bianco a biancastro, rotonde, biconvesse, lisce su entrambi i lati.</w:t>
      </w:r>
    </w:p>
    <w:bookmarkEnd w:id="2"/>
    <w:p w14:paraId="33CF203E" w14:textId="77777777" w:rsidR="005477D4" w:rsidRPr="00136B35" w:rsidRDefault="005477D4" w:rsidP="005010FD">
      <w:pPr>
        <w:widowControl w:val="0"/>
        <w:jc w:val="both"/>
        <w:rPr>
          <w:szCs w:val="22"/>
        </w:rPr>
      </w:pPr>
    </w:p>
    <w:p w14:paraId="2C14BCDF" w14:textId="77777777" w:rsidR="005477D4" w:rsidRPr="00136B35" w:rsidRDefault="005477D4" w:rsidP="005010FD">
      <w:pPr>
        <w:widowControl w:val="0"/>
        <w:jc w:val="both"/>
        <w:rPr>
          <w:szCs w:val="22"/>
        </w:rPr>
      </w:pPr>
    </w:p>
    <w:p w14:paraId="329E8264" w14:textId="77777777" w:rsidR="005477D4" w:rsidRPr="00136B35" w:rsidRDefault="005477D4" w:rsidP="005010FD">
      <w:pPr>
        <w:widowControl w:val="0"/>
        <w:jc w:val="both"/>
        <w:rPr>
          <w:b/>
          <w:szCs w:val="22"/>
        </w:rPr>
      </w:pPr>
      <w:r w:rsidRPr="00136B35">
        <w:rPr>
          <w:b/>
          <w:szCs w:val="22"/>
        </w:rPr>
        <w:t>4.</w:t>
      </w:r>
      <w:r w:rsidRPr="00136B35">
        <w:rPr>
          <w:b/>
          <w:szCs w:val="22"/>
        </w:rPr>
        <w:tab/>
        <w:t>INFORMAZIONI CLINICHE</w:t>
      </w:r>
    </w:p>
    <w:p w14:paraId="05FD05D5" w14:textId="77777777" w:rsidR="005477D4" w:rsidRPr="00136B35" w:rsidRDefault="005477D4" w:rsidP="005010FD">
      <w:pPr>
        <w:widowControl w:val="0"/>
        <w:jc w:val="both"/>
        <w:rPr>
          <w:szCs w:val="22"/>
        </w:rPr>
      </w:pPr>
    </w:p>
    <w:p w14:paraId="56D56524" w14:textId="77777777" w:rsidR="005477D4" w:rsidRPr="00136B35" w:rsidRDefault="005477D4" w:rsidP="005010FD">
      <w:pPr>
        <w:widowControl w:val="0"/>
        <w:ind w:left="567" w:hanging="567"/>
        <w:jc w:val="both"/>
        <w:rPr>
          <w:b/>
          <w:szCs w:val="22"/>
        </w:rPr>
      </w:pPr>
      <w:r w:rsidRPr="00136B35">
        <w:rPr>
          <w:b/>
          <w:szCs w:val="22"/>
        </w:rPr>
        <w:t>4.1</w:t>
      </w:r>
      <w:r w:rsidRPr="00136B35">
        <w:rPr>
          <w:b/>
          <w:szCs w:val="22"/>
        </w:rPr>
        <w:tab/>
        <w:t>Indicazioni terapeutiche</w:t>
      </w:r>
    </w:p>
    <w:p w14:paraId="5395E8B9" w14:textId="77777777" w:rsidR="005477D4" w:rsidRPr="00136B35" w:rsidRDefault="005477D4" w:rsidP="005010FD">
      <w:pPr>
        <w:widowControl w:val="0"/>
        <w:jc w:val="both"/>
        <w:rPr>
          <w:szCs w:val="22"/>
        </w:rPr>
      </w:pPr>
    </w:p>
    <w:p w14:paraId="390DE875" w14:textId="77777777" w:rsidR="005477D4" w:rsidRPr="00136B35" w:rsidRDefault="005477D4" w:rsidP="005010FD">
      <w:pPr>
        <w:widowControl w:val="0"/>
        <w:jc w:val="both"/>
        <w:rPr>
          <w:szCs w:val="22"/>
        </w:rPr>
      </w:pPr>
      <w:r w:rsidRPr="00136B35">
        <w:rPr>
          <w:szCs w:val="22"/>
        </w:rPr>
        <w:t>Dimetilfumarato</w:t>
      </w:r>
      <w:r w:rsidRPr="00136B35" w:rsidDel="00C934D8">
        <w:rPr>
          <w:szCs w:val="22"/>
        </w:rPr>
        <w:t xml:space="preserve"> </w:t>
      </w:r>
      <w:r w:rsidRPr="00136B35">
        <w:rPr>
          <w:szCs w:val="22"/>
        </w:rPr>
        <w:t>Accord è indicato per il trattamento di pazienti adulti e pediatrici di età pari o superiore a 13 anni con sclerosi multipla recidivante-remittente (SM</w:t>
      </w:r>
      <w:r w:rsidRPr="00136B35">
        <w:rPr>
          <w:szCs w:val="22"/>
        </w:rPr>
        <w:noBreakHyphen/>
        <w:t>RR).</w:t>
      </w:r>
    </w:p>
    <w:p w14:paraId="659BB5E1" w14:textId="77777777" w:rsidR="005477D4" w:rsidRPr="00136B35" w:rsidRDefault="005477D4" w:rsidP="005010FD">
      <w:pPr>
        <w:widowControl w:val="0"/>
        <w:jc w:val="both"/>
        <w:rPr>
          <w:szCs w:val="22"/>
        </w:rPr>
      </w:pPr>
    </w:p>
    <w:p w14:paraId="219D6FBA" w14:textId="77777777" w:rsidR="005477D4" w:rsidRPr="00136B35" w:rsidRDefault="005477D4" w:rsidP="005010FD">
      <w:pPr>
        <w:widowControl w:val="0"/>
        <w:jc w:val="both"/>
        <w:rPr>
          <w:b/>
          <w:szCs w:val="22"/>
        </w:rPr>
      </w:pPr>
      <w:r w:rsidRPr="00136B35">
        <w:rPr>
          <w:b/>
          <w:szCs w:val="22"/>
        </w:rPr>
        <w:t>4.2</w:t>
      </w:r>
      <w:r w:rsidRPr="00136B35">
        <w:rPr>
          <w:b/>
          <w:szCs w:val="22"/>
        </w:rPr>
        <w:tab/>
        <w:t>Posologia e modo di somministrazione</w:t>
      </w:r>
    </w:p>
    <w:p w14:paraId="2FD3F722" w14:textId="77777777" w:rsidR="005477D4" w:rsidRPr="00136B35" w:rsidRDefault="005477D4" w:rsidP="005010FD">
      <w:pPr>
        <w:widowControl w:val="0"/>
        <w:jc w:val="both"/>
        <w:rPr>
          <w:szCs w:val="22"/>
        </w:rPr>
      </w:pPr>
    </w:p>
    <w:p w14:paraId="71BC8E8B" w14:textId="77777777" w:rsidR="005477D4" w:rsidRPr="00136B35" w:rsidRDefault="005477D4" w:rsidP="005010FD">
      <w:pPr>
        <w:widowControl w:val="0"/>
        <w:tabs>
          <w:tab w:val="clear" w:pos="567"/>
        </w:tabs>
        <w:jc w:val="both"/>
        <w:rPr>
          <w:szCs w:val="22"/>
        </w:rPr>
      </w:pPr>
      <w:r w:rsidRPr="00136B35">
        <w:rPr>
          <w:szCs w:val="22"/>
        </w:rPr>
        <w:t>Il trattamento deve essere iniziato sotto la sorveglianza di un medico esperto nel trattamento della sclerosi multipla.</w:t>
      </w:r>
    </w:p>
    <w:p w14:paraId="69B5575D" w14:textId="77777777" w:rsidR="005477D4" w:rsidRPr="00136B35" w:rsidRDefault="005477D4" w:rsidP="005010FD">
      <w:pPr>
        <w:widowControl w:val="0"/>
        <w:tabs>
          <w:tab w:val="clear" w:pos="567"/>
        </w:tabs>
        <w:jc w:val="both"/>
        <w:rPr>
          <w:szCs w:val="22"/>
        </w:rPr>
      </w:pPr>
    </w:p>
    <w:p w14:paraId="6CE58823" w14:textId="77777777" w:rsidR="005477D4" w:rsidRPr="00136B35" w:rsidRDefault="005477D4" w:rsidP="005010FD">
      <w:pPr>
        <w:widowControl w:val="0"/>
        <w:jc w:val="both"/>
        <w:rPr>
          <w:szCs w:val="22"/>
          <w:u w:val="single"/>
        </w:rPr>
      </w:pPr>
      <w:r w:rsidRPr="00136B35">
        <w:rPr>
          <w:szCs w:val="22"/>
          <w:u w:val="single"/>
        </w:rPr>
        <w:t>Posologia</w:t>
      </w:r>
    </w:p>
    <w:p w14:paraId="3CA4A27F" w14:textId="77777777" w:rsidR="005477D4" w:rsidRPr="00136B35" w:rsidRDefault="005477D4" w:rsidP="005010FD">
      <w:pPr>
        <w:widowControl w:val="0"/>
        <w:jc w:val="both"/>
        <w:rPr>
          <w:szCs w:val="22"/>
        </w:rPr>
      </w:pPr>
    </w:p>
    <w:p w14:paraId="12FABEAD" w14:textId="77777777" w:rsidR="005477D4" w:rsidRPr="00136B35" w:rsidRDefault="005477D4" w:rsidP="005010FD">
      <w:pPr>
        <w:widowControl w:val="0"/>
        <w:autoSpaceDE w:val="0"/>
        <w:jc w:val="both"/>
        <w:rPr>
          <w:szCs w:val="22"/>
        </w:rPr>
      </w:pPr>
      <w:r w:rsidRPr="00136B35">
        <w:rPr>
          <w:szCs w:val="22"/>
        </w:rPr>
        <w:t>La dose iniziale è di 120 mg due volte al giorno. Dopo 7 giorni, la dose deve essere aumentata alla dose di mantenimento raccomandata di 240 mg due volte al giorno (vedere paragrafo 4.4).</w:t>
      </w:r>
    </w:p>
    <w:p w14:paraId="3871B2D6" w14:textId="77777777" w:rsidR="005477D4" w:rsidRPr="00136B35" w:rsidRDefault="005477D4" w:rsidP="005010FD">
      <w:pPr>
        <w:widowControl w:val="0"/>
        <w:jc w:val="both"/>
        <w:rPr>
          <w:szCs w:val="22"/>
        </w:rPr>
      </w:pPr>
    </w:p>
    <w:p w14:paraId="7CE69A39" w14:textId="77777777" w:rsidR="005477D4" w:rsidRPr="00136B35" w:rsidRDefault="005477D4" w:rsidP="005010FD">
      <w:pPr>
        <w:widowControl w:val="0"/>
        <w:jc w:val="both"/>
        <w:rPr>
          <w:szCs w:val="22"/>
        </w:rPr>
      </w:pPr>
      <w:r w:rsidRPr="00136B35">
        <w:rPr>
          <w:szCs w:val="22"/>
        </w:rPr>
        <w:t>Se un paziente dimentica una dose, non deve prendere una dose doppia. Il paziente può prendere la dose dimenticata solo rispettando un intervallo di 4 ore tra le dosi. In caso contrario, deve attendere la dose successiva programmata.</w:t>
      </w:r>
    </w:p>
    <w:p w14:paraId="35B77EC9" w14:textId="77777777" w:rsidR="005477D4" w:rsidRPr="00136B35" w:rsidRDefault="005477D4" w:rsidP="005010FD">
      <w:pPr>
        <w:widowControl w:val="0"/>
        <w:jc w:val="both"/>
        <w:rPr>
          <w:szCs w:val="22"/>
        </w:rPr>
      </w:pPr>
    </w:p>
    <w:p w14:paraId="5B87A515" w14:textId="77777777" w:rsidR="005477D4" w:rsidRPr="00136B35" w:rsidRDefault="005477D4" w:rsidP="005010FD">
      <w:pPr>
        <w:keepNext/>
        <w:keepLines/>
        <w:widowControl w:val="0"/>
        <w:autoSpaceDE w:val="0"/>
        <w:jc w:val="both"/>
        <w:rPr>
          <w:szCs w:val="22"/>
        </w:rPr>
      </w:pPr>
      <w:r w:rsidRPr="00136B35">
        <w:rPr>
          <w:szCs w:val="22"/>
        </w:rPr>
        <w:lastRenderedPageBreak/>
        <w:t>La riduzione temporanea della dose a 120 mg due volte al giorno può ridurre l’insorgenza di rossore e di reazioni avverse gastrointestinali. Entro 1 mese, deve essere ripresa la dose di mantenimento raccomandata di 240 mg due volte al giorno.</w:t>
      </w:r>
    </w:p>
    <w:p w14:paraId="7DD4FC14" w14:textId="77777777" w:rsidR="005477D4" w:rsidRPr="00136B35" w:rsidRDefault="005477D4" w:rsidP="005010FD">
      <w:pPr>
        <w:widowControl w:val="0"/>
        <w:jc w:val="both"/>
        <w:rPr>
          <w:szCs w:val="22"/>
        </w:rPr>
      </w:pPr>
    </w:p>
    <w:p w14:paraId="6ED78938" w14:textId="77777777" w:rsidR="005477D4" w:rsidRPr="00136B35" w:rsidRDefault="005477D4" w:rsidP="005010FD">
      <w:pPr>
        <w:widowControl w:val="0"/>
        <w:autoSpaceDE w:val="0"/>
        <w:jc w:val="both"/>
        <w:rPr>
          <w:szCs w:val="22"/>
        </w:rPr>
      </w:pPr>
      <w:r w:rsidRPr="00136B35">
        <w:rPr>
          <w:szCs w:val="22"/>
        </w:rPr>
        <w:t>Dimetilfumarato</w:t>
      </w:r>
      <w:r w:rsidRPr="00136B35" w:rsidDel="00C934D8">
        <w:rPr>
          <w:szCs w:val="22"/>
        </w:rPr>
        <w:t xml:space="preserve"> </w:t>
      </w:r>
      <w:r w:rsidRPr="00136B35">
        <w:rPr>
          <w:szCs w:val="22"/>
        </w:rPr>
        <w:t>Accord deve essere assunto con il cibo (vedere paragrafo 5.2). L’assunzione di Dimetilfumarato</w:t>
      </w:r>
      <w:r w:rsidRPr="00136B35" w:rsidDel="00C934D8">
        <w:rPr>
          <w:szCs w:val="22"/>
        </w:rPr>
        <w:t xml:space="preserve"> </w:t>
      </w:r>
      <w:r w:rsidRPr="00136B35">
        <w:rPr>
          <w:szCs w:val="22"/>
        </w:rPr>
        <w:t>Accord con il cibo può migliorare la tollerabilità in quei pazienti che possono essere soggetti a rossore o a reazioni avverse gastrointestinali (vedere paragrafi 4.4, 4.5 e 4.8).</w:t>
      </w:r>
    </w:p>
    <w:p w14:paraId="5DB81038" w14:textId="77777777" w:rsidR="005477D4" w:rsidRPr="00136B35" w:rsidRDefault="005477D4" w:rsidP="005010FD">
      <w:pPr>
        <w:widowControl w:val="0"/>
        <w:jc w:val="both"/>
        <w:rPr>
          <w:i/>
          <w:szCs w:val="22"/>
        </w:rPr>
      </w:pPr>
    </w:p>
    <w:p w14:paraId="79531D51" w14:textId="77777777" w:rsidR="005477D4" w:rsidRPr="00136B35" w:rsidRDefault="005477D4" w:rsidP="005010FD">
      <w:pPr>
        <w:widowControl w:val="0"/>
        <w:jc w:val="both"/>
        <w:rPr>
          <w:szCs w:val="22"/>
          <w:u w:val="single"/>
        </w:rPr>
      </w:pPr>
      <w:r w:rsidRPr="00136B35">
        <w:rPr>
          <w:szCs w:val="22"/>
          <w:u w:val="single"/>
        </w:rPr>
        <w:t>Popolazioni speciali</w:t>
      </w:r>
    </w:p>
    <w:p w14:paraId="049898A0" w14:textId="77777777" w:rsidR="005477D4" w:rsidRPr="00136B35" w:rsidRDefault="005477D4" w:rsidP="005010FD">
      <w:pPr>
        <w:widowControl w:val="0"/>
        <w:jc w:val="both"/>
        <w:rPr>
          <w:i/>
          <w:szCs w:val="22"/>
        </w:rPr>
      </w:pPr>
    </w:p>
    <w:p w14:paraId="6D23F0B0" w14:textId="77777777" w:rsidR="005477D4" w:rsidRPr="00136B35" w:rsidRDefault="005477D4" w:rsidP="005010FD">
      <w:pPr>
        <w:keepNext/>
        <w:widowControl w:val="0"/>
        <w:jc w:val="both"/>
        <w:rPr>
          <w:i/>
          <w:szCs w:val="22"/>
        </w:rPr>
      </w:pPr>
      <w:r w:rsidRPr="00136B35">
        <w:rPr>
          <w:i/>
          <w:szCs w:val="22"/>
        </w:rPr>
        <w:t>Anziani</w:t>
      </w:r>
    </w:p>
    <w:p w14:paraId="16D5837B" w14:textId="77777777" w:rsidR="005477D4" w:rsidRPr="00136B35" w:rsidRDefault="005477D4" w:rsidP="005010FD">
      <w:pPr>
        <w:keepNext/>
        <w:widowControl w:val="0"/>
        <w:autoSpaceDE w:val="0"/>
        <w:jc w:val="both"/>
        <w:rPr>
          <w:szCs w:val="22"/>
        </w:rPr>
      </w:pPr>
      <w:r w:rsidRPr="00136B35">
        <w:rPr>
          <w:szCs w:val="22"/>
        </w:rPr>
        <w:t>Gli studi clinici condotti con Dimetilfumarato</w:t>
      </w:r>
      <w:r w:rsidRPr="00136B35" w:rsidDel="00C934D8">
        <w:rPr>
          <w:szCs w:val="22"/>
        </w:rPr>
        <w:t xml:space="preserve"> </w:t>
      </w:r>
      <w:r w:rsidRPr="00136B35">
        <w:rPr>
          <w:szCs w:val="22"/>
        </w:rPr>
        <w:t>Accord hanno incluso un numero limitato di pazienti di età pari o superiore a 55 anni mentre non hanno incluso un numero sufficiente di pazienti di età pari o superiore a 65 anni per poter determinare se questi rispondano in modo diverso rispetto ai pazienti più giovani (vedere paragrafo 5.2). Sulla base del meccanismo d’azione del principio attivo non vi è alcuna ragione teorica per cui siano necessari aggiustamenti della dose negli anziani.</w:t>
      </w:r>
    </w:p>
    <w:p w14:paraId="1821BCC2" w14:textId="77777777" w:rsidR="005477D4" w:rsidRPr="00136B35" w:rsidRDefault="005477D4" w:rsidP="005010FD">
      <w:pPr>
        <w:widowControl w:val="0"/>
        <w:autoSpaceDE w:val="0"/>
        <w:jc w:val="both"/>
        <w:rPr>
          <w:szCs w:val="22"/>
        </w:rPr>
      </w:pPr>
    </w:p>
    <w:p w14:paraId="6153255B" w14:textId="77777777" w:rsidR="005477D4" w:rsidRPr="00136B35" w:rsidRDefault="005477D4" w:rsidP="005010FD">
      <w:pPr>
        <w:widowControl w:val="0"/>
        <w:jc w:val="both"/>
        <w:rPr>
          <w:i/>
          <w:szCs w:val="22"/>
        </w:rPr>
      </w:pPr>
      <w:r w:rsidRPr="00136B35">
        <w:rPr>
          <w:i/>
          <w:szCs w:val="22"/>
        </w:rPr>
        <w:t>Compromissione renale ed epatica</w:t>
      </w:r>
    </w:p>
    <w:p w14:paraId="4DCD0DD1" w14:textId="77777777" w:rsidR="005477D4" w:rsidRPr="00136B35" w:rsidRDefault="005477D4" w:rsidP="005010FD">
      <w:pPr>
        <w:widowControl w:val="0"/>
        <w:jc w:val="both"/>
        <w:rPr>
          <w:szCs w:val="22"/>
        </w:rPr>
      </w:pPr>
      <w:r w:rsidRPr="00136B35">
        <w:rPr>
          <w:szCs w:val="22"/>
        </w:rPr>
        <w:t>Dimetilfumarato</w:t>
      </w:r>
      <w:r w:rsidRPr="00136B35" w:rsidDel="00C934D8">
        <w:rPr>
          <w:szCs w:val="22"/>
        </w:rPr>
        <w:t xml:space="preserve"> </w:t>
      </w:r>
      <w:r w:rsidRPr="00136B35">
        <w:rPr>
          <w:szCs w:val="22"/>
        </w:rPr>
        <w:t xml:space="preserve">Accord non è stato studiato nei pazienti con compromissione renale o epatica. Sulla base degli studi di farmacologia clinica, non sono necessari aggiustamenti della dose (vedere paragrafo 5.2). </w:t>
      </w:r>
      <w:bookmarkStart w:id="3" w:name="OLE_LINK6"/>
      <w:bookmarkStart w:id="4" w:name="OLE_LINK5"/>
      <w:r w:rsidRPr="00136B35">
        <w:rPr>
          <w:szCs w:val="22"/>
        </w:rPr>
        <w:t>Si deve usare cautela nel trattamento dei pazienti con compromissione renale severa o compromissione epatica severa (vedere paragrafo 4.4).</w:t>
      </w:r>
      <w:bookmarkEnd w:id="3"/>
      <w:bookmarkEnd w:id="4"/>
    </w:p>
    <w:p w14:paraId="4E97EB22" w14:textId="77777777" w:rsidR="005477D4" w:rsidRPr="00136B35" w:rsidRDefault="005477D4" w:rsidP="005010FD">
      <w:pPr>
        <w:widowControl w:val="0"/>
        <w:jc w:val="both"/>
        <w:rPr>
          <w:szCs w:val="22"/>
        </w:rPr>
      </w:pPr>
    </w:p>
    <w:p w14:paraId="352459E2" w14:textId="77777777" w:rsidR="005477D4" w:rsidRPr="00136B35" w:rsidRDefault="005477D4" w:rsidP="005010FD">
      <w:pPr>
        <w:widowControl w:val="0"/>
        <w:jc w:val="both"/>
        <w:rPr>
          <w:i/>
          <w:szCs w:val="22"/>
        </w:rPr>
      </w:pPr>
      <w:r w:rsidRPr="00136B35">
        <w:rPr>
          <w:i/>
          <w:szCs w:val="22"/>
        </w:rPr>
        <w:t>Popolazione pediatrica</w:t>
      </w:r>
    </w:p>
    <w:p w14:paraId="5FC074A9" w14:textId="039A687A" w:rsidR="005477D4" w:rsidRPr="00136B35" w:rsidRDefault="005477D4" w:rsidP="005010FD">
      <w:pPr>
        <w:widowControl w:val="0"/>
        <w:autoSpaceDE w:val="0"/>
        <w:jc w:val="both"/>
        <w:rPr>
          <w:szCs w:val="22"/>
        </w:rPr>
      </w:pPr>
      <w:r w:rsidRPr="00136B35">
        <w:rPr>
          <w:szCs w:val="22"/>
        </w:rPr>
        <w:t>La posologia è identica negli adulti e nei pazienti pediatrici di età pari o superiore a 13 anni.</w:t>
      </w:r>
      <w:r w:rsidRPr="00E05759">
        <w:rPr>
          <w:szCs w:val="22"/>
        </w:rPr>
        <w:t xml:space="preserve"> </w:t>
      </w:r>
    </w:p>
    <w:p w14:paraId="7726E581" w14:textId="77777777" w:rsidR="005477D4" w:rsidRPr="00136B35" w:rsidRDefault="005477D4" w:rsidP="005010FD">
      <w:pPr>
        <w:widowControl w:val="0"/>
        <w:autoSpaceDE w:val="0"/>
        <w:jc w:val="both"/>
        <w:rPr>
          <w:szCs w:val="22"/>
        </w:rPr>
      </w:pPr>
    </w:p>
    <w:p w14:paraId="2A3F6C97" w14:textId="77777777" w:rsidR="005477D4" w:rsidRPr="00136B35" w:rsidRDefault="005477D4" w:rsidP="005010FD">
      <w:pPr>
        <w:widowControl w:val="0"/>
        <w:autoSpaceDE w:val="0"/>
        <w:jc w:val="both"/>
        <w:rPr>
          <w:szCs w:val="22"/>
        </w:rPr>
      </w:pPr>
      <w:r w:rsidRPr="00136B35">
        <w:rPr>
          <w:szCs w:val="22"/>
        </w:rPr>
        <w:t>Sono disponibili dati limitati nei bambini di età compresa tra 10 e 12 anni. I dati al momento disponibili sono riportati nei paragrafi 4.8 e 5.1, ma non può essere fatta alcuna raccomandazione riguardante la posologia.</w:t>
      </w:r>
      <w:r w:rsidRPr="00136B35">
        <w:rPr>
          <w:szCs w:val="22"/>
        </w:rPr>
        <w:cr/>
      </w:r>
    </w:p>
    <w:p w14:paraId="5E35B7E4" w14:textId="77777777" w:rsidR="005477D4" w:rsidRPr="00136B35" w:rsidRDefault="005477D4" w:rsidP="005010FD">
      <w:pPr>
        <w:widowControl w:val="0"/>
        <w:autoSpaceDE w:val="0"/>
        <w:jc w:val="both"/>
        <w:rPr>
          <w:szCs w:val="22"/>
        </w:rPr>
      </w:pPr>
      <w:r w:rsidRPr="00136B35">
        <w:rPr>
          <w:szCs w:val="22"/>
        </w:rPr>
        <w:t>La sicurezza e l’efficacia di dimetilfumarato nei bambini di età inferiore a 10 anni non sono state ancora stabilite. Non ci sono dati disponibili.</w:t>
      </w:r>
    </w:p>
    <w:p w14:paraId="4DDC9A44" w14:textId="77777777" w:rsidR="005477D4" w:rsidRPr="00136B35" w:rsidRDefault="005477D4" w:rsidP="005010FD">
      <w:pPr>
        <w:widowControl w:val="0"/>
        <w:autoSpaceDE w:val="0"/>
        <w:jc w:val="both"/>
        <w:rPr>
          <w:szCs w:val="22"/>
        </w:rPr>
      </w:pPr>
    </w:p>
    <w:p w14:paraId="231706E2" w14:textId="77777777" w:rsidR="005477D4" w:rsidRPr="00136B35" w:rsidRDefault="005477D4" w:rsidP="005010FD">
      <w:pPr>
        <w:widowControl w:val="0"/>
        <w:jc w:val="both"/>
        <w:rPr>
          <w:szCs w:val="22"/>
          <w:u w:val="single"/>
        </w:rPr>
      </w:pPr>
      <w:r w:rsidRPr="00136B35">
        <w:rPr>
          <w:szCs w:val="22"/>
          <w:u w:val="single"/>
        </w:rPr>
        <w:t>Modo di somministrazione</w:t>
      </w:r>
    </w:p>
    <w:p w14:paraId="456FE052" w14:textId="77777777" w:rsidR="005477D4" w:rsidRPr="00136B35" w:rsidRDefault="005477D4" w:rsidP="005010FD">
      <w:pPr>
        <w:widowControl w:val="0"/>
        <w:jc w:val="both"/>
        <w:rPr>
          <w:szCs w:val="22"/>
        </w:rPr>
      </w:pPr>
    </w:p>
    <w:p w14:paraId="6FFD89EB" w14:textId="77777777" w:rsidR="005477D4" w:rsidRPr="00136B35" w:rsidRDefault="005477D4" w:rsidP="005010FD">
      <w:pPr>
        <w:widowControl w:val="0"/>
        <w:jc w:val="both"/>
        <w:rPr>
          <w:szCs w:val="22"/>
        </w:rPr>
      </w:pPr>
      <w:r w:rsidRPr="00136B35">
        <w:rPr>
          <w:szCs w:val="22"/>
        </w:rPr>
        <w:t>Per uso orale.</w:t>
      </w:r>
    </w:p>
    <w:p w14:paraId="6CA0FE4B" w14:textId="77777777" w:rsidR="005477D4" w:rsidRPr="00136B35" w:rsidRDefault="005477D4" w:rsidP="005010FD">
      <w:pPr>
        <w:widowControl w:val="0"/>
        <w:jc w:val="both"/>
        <w:rPr>
          <w:szCs w:val="22"/>
        </w:rPr>
      </w:pPr>
    </w:p>
    <w:p w14:paraId="7748823F" w14:textId="00A58CC9" w:rsidR="005477D4" w:rsidRPr="00136B35" w:rsidRDefault="005477D4" w:rsidP="005010FD">
      <w:pPr>
        <w:widowControl w:val="0"/>
        <w:jc w:val="both"/>
        <w:rPr>
          <w:szCs w:val="22"/>
        </w:rPr>
      </w:pPr>
      <w:r w:rsidRPr="00136B35">
        <w:rPr>
          <w:szCs w:val="22"/>
        </w:rPr>
        <w:t>La capsula deve essere ingerita intera. La capsula o il suo contenuto non devono essere schiacciati, divisi, disciolti, succhiati o masticati, dato che il rivestimento delle microcompresse compresse previene gli effetti irritanti sull’apparato gastrointestinale.</w:t>
      </w:r>
    </w:p>
    <w:p w14:paraId="33B9A698" w14:textId="77777777" w:rsidR="005477D4" w:rsidRPr="00136B35" w:rsidRDefault="005477D4" w:rsidP="005010FD">
      <w:pPr>
        <w:widowControl w:val="0"/>
        <w:jc w:val="both"/>
        <w:rPr>
          <w:szCs w:val="22"/>
        </w:rPr>
      </w:pPr>
    </w:p>
    <w:p w14:paraId="7438EADC" w14:textId="77777777" w:rsidR="005477D4" w:rsidRPr="00136B35" w:rsidRDefault="005477D4" w:rsidP="005010FD">
      <w:pPr>
        <w:widowControl w:val="0"/>
        <w:ind w:left="567" w:hanging="567"/>
        <w:jc w:val="both"/>
        <w:rPr>
          <w:b/>
          <w:szCs w:val="22"/>
        </w:rPr>
      </w:pPr>
      <w:r w:rsidRPr="00136B35">
        <w:rPr>
          <w:b/>
          <w:szCs w:val="22"/>
        </w:rPr>
        <w:t>4.3</w:t>
      </w:r>
      <w:r w:rsidRPr="00136B35">
        <w:rPr>
          <w:b/>
          <w:szCs w:val="22"/>
        </w:rPr>
        <w:tab/>
        <w:t>Controindicazioni</w:t>
      </w:r>
    </w:p>
    <w:p w14:paraId="4696EB5D" w14:textId="77777777" w:rsidR="005477D4" w:rsidRPr="00136B35" w:rsidRDefault="005477D4" w:rsidP="005010FD">
      <w:pPr>
        <w:widowControl w:val="0"/>
        <w:jc w:val="both"/>
        <w:rPr>
          <w:szCs w:val="22"/>
        </w:rPr>
      </w:pPr>
    </w:p>
    <w:p w14:paraId="26D028ED" w14:textId="77777777" w:rsidR="005477D4" w:rsidRPr="00136B35" w:rsidRDefault="005477D4" w:rsidP="005010FD">
      <w:pPr>
        <w:widowControl w:val="0"/>
        <w:jc w:val="both"/>
        <w:rPr>
          <w:szCs w:val="22"/>
        </w:rPr>
      </w:pPr>
      <w:r w:rsidRPr="00136B35">
        <w:rPr>
          <w:szCs w:val="22"/>
        </w:rPr>
        <w:t>Ipersensibilità al principio attivo o ad uno qualsiasi degli eccipienti elencati al paragrafo 6.1.</w:t>
      </w:r>
    </w:p>
    <w:p w14:paraId="1ABED348" w14:textId="000C3406" w:rsidR="005477D4" w:rsidRPr="00136B35" w:rsidRDefault="005477D4" w:rsidP="005010FD">
      <w:pPr>
        <w:widowControl w:val="0"/>
        <w:jc w:val="both"/>
        <w:rPr>
          <w:szCs w:val="22"/>
        </w:rPr>
      </w:pPr>
      <w:r w:rsidRPr="00136B35">
        <w:rPr>
          <w:szCs w:val="22"/>
        </w:rPr>
        <w:t>Leucoencefalopatia multifocale progressiva (</w:t>
      </w:r>
      <w:r w:rsidRPr="00136B35">
        <w:rPr>
          <w:i/>
          <w:szCs w:val="22"/>
        </w:rPr>
        <w:t>progressive multifocal leukoencephalopathy</w:t>
      </w:r>
      <w:r w:rsidRPr="00136B35">
        <w:rPr>
          <w:szCs w:val="22"/>
        </w:rPr>
        <w:t>,</w:t>
      </w:r>
      <w:r w:rsidRPr="00136B35" w:rsidDel="00021C48">
        <w:rPr>
          <w:szCs w:val="22"/>
        </w:rPr>
        <w:t xml:space="preserve"> </w:t>
      </w:r>
      <w:r w:rsidRPr="00136B35">
        <w:rPr>
          <w:szCs w:val="22"/>
        </w:rPr>
        <w:t>PML) sospetta o confermata.</w:t>
      </w:r>
    </w:p>
    <w:p w14:paraId="25BC3A10" w14:textId="77777777" w:rsidR="005477D4" w:rsidRPr="00136B35" w:rsidRDefault="005477D4" w:rsidP="005010FD">
      <w:pPr>
        <w:widowControl w:val="0"/>
        <w:jc w:val="both"/>
        <w:rPr>
          <w:szCs w:val="22"/>
        </w:rPr>
      </w:pPr>
    </w:p>
    <w:p w14:paraId="410C4789" w14:textId="77777777" w:rsidR="005477D4" w:rsidRPr="00136B35" w:rsidRDefault="005477D4" w:rsidP="005010FD">
      <w:pPr>
        <w:widowControl w:val="0"/>
        <w:jc w:val="both"/>
        <w:rPr>
          <w:b/>
          <w:szCs w:val="22"/>
        </w:rPr>
      </w:pPr>
      <w:r w:rsidRPr="00136B35">
        <w:rPr>
          <w:b/>
          <w:szCs w:val="22"/>
        </w:rPr>
        <w:t>4.4</w:t>
      </w:r>
      <w:r w:rsidRPr="00136B35">
        <w:rPr>
          <w:b/>
          <w:szCs w:val="22"/>
        </w:rPr>
        <w:tab/>
        <w:t>Avvertenze speciali e precauzioni d’impiego</w:t>
      </w:r>
    </w:p>
    <w:p w14:paraId="0F2136CD" w14:textId="77777777" w:rsidR="005477D4" w:rsidRPr="00136B35" w:rsidRDefault="005477D4" w:rsidP="005010FD">
      <w:pPr>
        <w:widowControl w:val="0"/>
        <w:jc w:val="both"/>
        <w:rPr>
          <w:szCs w:val="22"/>
        </w:rPr>
      </w:pPr>
    </w:p>
    <w:p w14:paraId="08401CC2" w14:textId="77777777" w:rsidR="005477D4" w:rsidRPr="00136B35" w:rsidRDefault="005477D4" w:rsidP="005010FD">
      <w:pPr>
        <w:widowControl w:val="0"/>
        <w:jc w:val="both"/>
        <w:rPr>
          <w:szCs w:val="22"/>
          <w:u w:val="single"/>
        </w:rPr>
      </w:pPr>
      <w:r w:rsidRPr="00136B35">
        <w:rPr>
          <w:szCs w:val="22"/>
          <w:u w:val="single"/>
        </w:rPr>
        <w:t>Esami del sangue/analisi di laboratorio</w:t>
      </w:r>
    </w:p>
    <w:p w14:paraId="1E9C007E" w14:textId="77777777" w:rsidR="005477D4" w:rsidRPr="00136B35" w:rsidRDefault="005477D4" w:rsidP="005010FD">
      <w:pPr>
        <w:widowControl w:val="0"/>
        <w:suppressLineNumbers/>
        <w:jc w:val="both"/>
        <w:rPr>
          <w:szCs w:val="22"/>
        </w:rPr>
      </w:pPr>
    </w:p>
    <w:p w14:paraId="61CB9639" w14:textId="77777777" w:rsidR="005477D4" w:rsidRPr="00136B35" w:rsidRDefault="005477D4" w:rsidP="005010FD">
      <w:pPr>
        <w:widowControl w:val="0"/>
        <w:suppressLineNumbers/>
        <w:jc w:val="both"/>
        <w:rPr>
          <w:szCs w:val="22"/>
        </w:rPr>
      </w:pPr>
      <w:r w:rsidRPr="00136B35">
        <w:rPr>
          <w:szCs w:val="22"/>
        </w:rPr>
        <w:t>Funzionalità renale</w:t>
      </w:r>
    </w:p>
    <w:p w14:paraId="5A4EE83D" w14:textId="77777777" w:rsidR="005477D4" w:rsidRPr="00136B35" w:rsidRDefault="005477D4" w:rsidP="005010FD">
      <w:pPr>
        <w:widowControl w:val="0"/>
        <w:suppressLineNumbers/>
        <w:jc w:val="both"/>
        <w:rPr>
          <w:szCs w:val="22"/>
        </w:rPr>
      </w:pPr>
      <w:r w:rsidRPr="00136B35">
        <w:rPr>
          <w:szCs w:val="22"/>
        </w:rPr>
        <w:t>Negli studi clinici sono state osservate alterazioni delle analisi di laboratorio per la funzionalità renale in pazienti trattati con dimetilfumarato (vedere paragrafo 4.8). Le implicazioni cliniche di queste alterazioni non sono note. La valutazione della funzionalità renale (ad es. creatinina, valori ematici di azoto ureico e analisi delle urine) è raccomandata prima dell’inizio della terapia, dopo 3 e 6 mesi di terapia e successivamente ogni 6-12 mesi, come clinicamente indicato.</w:t>
      </w:r>
    </w:p>
    <w:p w14:paraId="20305CB4" w14:textId="77777777" w:rsidR="005477D4" w:rsidRPr="00136B35" w:rsidRDefault="005477D4" w:rsidP="005010FD">
      <w:pPr>
        <w:widowControl w:val="0"/>
        <w:suppressLineNumbers/>
        <w:jc w:val="both"/>
        <w:rPr>
          <w:szCs w:val="22"/>
        </w:rPr>
      </w:pPr>
    </w:p>
    <w:p w14:paraId="7A61387C" w14:textId="77777777" w:rsidR="005477D4" w:rsidRPr="00136B35" w:rsidRDefault="005477D4" w:rsidP="005010FD">
      <w:pPr>
        <w:widowControl w:val="0"/>
        <w:suppressLineNumbers/>
        <w:jc w:val="both"/>
        <w:rPr>
          <w:szCs w:val="22"/>
        </w:rPr>
      </w:pPr>
      <w:r w:rsidRPr="00136B35">
        <w:rPr>
          <w:szCs w:val="22"/>
        </w:rPr>
        <w:lastRenderedPageBreak/>
        <w:t>Funzionalità epatica</w:t>
      </w:r>
    </w:p>
    <w:p w14:paraId="4721870A" w14:textId="6F348BAA" w:rsidR="005477D4" w:rsidRPr="00136B35" w:rsidRDefault="005477D4" w:rsidP="005010FD">
      <w:pPr>
        <w:widowControl w:val="0"/>
        <w:suppressLineNumbers/>
        <w:jc w:val="both"/>
        <w:rPr>
          <w:szCs w:val="22"/>
        </w:rPr>
      </w:pPr>
      <w:r w:rsidRPr="00136B35">
        <w:rPr>
          <w:szCs w:val="22"/>
        </w:rPr>
        <w:t>Il trattamento con dimetilfumarato può provocare danno epatico da farmaci, inclusi aumento degli enzimi epatici (≥ 3 volte il limite superiore della normalità (</w:t>
      </w:r>
      <w:r w:rsidRPr="00136B35">
        <w:rPr>
          <w:i/>
          <w:szCs w:val="22"/>
        </w:rPr>
        <w:t>upper</w:t>
      </w:r>
      <w:r w:rsidRPr="00136B35">
        <w:rPr>
          <w:szCs w:val="22"/>
        </w:rPr>
        <w:t xml:space="preserve"> </w:t>
      </w:r>
      <w:r w:rsidRPr="00136B35">
        <w:rPr>
          <w:i/>
          <w:spacing w:val="-1"/>
          <w:szCs w:val="22"/>
        </w:rPr>
        <w:t>limit</w:t>
      </w:r>
      <w:r w:rsidRPr="00136B35">
        <w:rPr>
          <w:i/>
          <w:spacing w:val="-5"/>
          <w:szCs w:val="22"/>
        </w:rPr>
        <w:t xml:space="preserve"> </w:t>
      </w:r>
      <w:r w:rsidRPr="00136B35">
        <w:rPr>
          <w:i/>
          <w:szCs w:val="22"/>
        </w:rPr>
        <w:t>of</w:t>
      </w:r>
      <w:r w:rsidRPr="00136B35">
        <w:rPr>
          <w:i/>
          <w:spacing w:val="-5"/>
          <w:szCs w:val="22"/>
        </w:rPr>
        <w:t xml:space="preserve"> </w:t>
      </w:r>
      <w:r w:rsidRPr="00136B35">
        <w:rPr>
          <w:i/>
          <w:spacing w:val="-1"/>
          <w:szCs w:val="22"/>
        </w:rPr>
        <w:t>normal</w:t>
      </w:r>
      <w:r w:rsidRPr="00136B35">
        <w:rPr>
          <w:spacing w:val="-1"/>
          <w:szCs w:val="22"/>
        </w:rPr>
        <w:t>,</w:t>
      </w:r>
      <w:r w:rsidRPr="00136B35">
        <w:rPr>
          <w:spacing w:val="-5"/>
          <w:szCs w:val="22"/>
        </w:rPr>
        <w:t xml:space="preserve"> </w:t>
      </w:r>
      <w:r w:rsidRPr="00136B35">
        <w:rPr>
          <w:szCs w:val="22"/>
        </w:rPr>
        <w:t>ULN)) e incremento dei livelli di bilirubina totale (≥ 2 x ULN). Il tempo all’insorgenza può essere di giorni, di diverse settimane o più lungo. La risoluzione delle reazioni avverse è stata osservata dopo l’interruzione del trattamento. Si raccomanda di valutare i livelli sierici delle aminotransferasi (ad es. alanina aminotransferasi (ALT), aspartato aminotransferasi (AST)) e della bilirubina totale prima di iniziare il trattamento e durante il trattamento, come clinicamente indicato.</w:t>
      </w:r>
    </w:p>
    <w:p w14:paraId="6C465D93" w14:textId="77777777" w:rsidR="005477D4" w:rsidRPr="00136B35" w:rsidRDefault="005477D4" w:rsidP="005010FD">
      <w:pPr>
        <w:jc w:val="both"/>
        <w:rPr>
          <w:szCs w:val="22"/>
        </w:rPr>
      </w:pPr>
    </w:p>
    <w:p w14:paraId="6280D386" w14:textId="77777777" w:rsidR="005477D4" w:rsidRPr="00136B35" w:rsidRDefault="005477D4" w:rsidP="005010FD">
      <w:pPr>
        <w:jc w:val="both"/>
        <w:rPr>
          <w:szCs w:val="22"/>
        </w:rPr>
      </w:pPr>
      <w:r w:rsidRPr="00136B35">
        <w:rPr>
          <w:szCs w:val="22"/>
        </w:rPr>
        <w:t>Linfociti</w:t>
      </w:r>
    </w:p>
    <w:p w14:paraId="033FB717" w14:textId="77777777" w:rsidR="005477D4" w:rsidRPr="00136B35" w:rsidRDefault="005477D4" w:rsidP="005010FD">
      <w:pPr>
        <w:widowControl w:val="0"/>
        <w:jc w:val="both"/>
        <w:rPr>
          <w:szCs w:val="22"/>
        </w:rPr>
      </w:pPr>
      <w:r w:rsidRPr="00136B35">
        <w:rPr>
          <w:szCs w:val="22"/>
        </w:rPr>
        <w:t>I pazienti trattati con dimetilfumarato possono sviluppare linfopenia (vedere paragrafo 4.8). Prima di iniziare il trattamento con dimetilfumarato, deve essere eseguito un nuovo emocromo completo, compresi i linfociti.</w:t>
      </w:r>
    </w:p>
    <w:p w14:paraId="3E5FA70D" w14:textId="77777777" w:rsidR="005477D4" w:rsidRPr="00136B35" w:rsidRDefault="005477D4" w:rsidP="005010FD">
      <w:pPr>
        <w:widowControl w:val="0"/>
        <w:jc w:val="both"/>
        <w:rPr>
          <w:szCs w:val="22"/>
        </w:rPr>
      </w:pPr>
    </w:p>
    <w:p w14:paraId="76987251" w14:textId="60A38E21" w:rsidR="005477D4" w:rsidRPr="00136B35" w:rsidRDefault="005477D4" w:rsidP="005010FD">
      <w:pPr>
        <w:widowControl w:val="0"/>
        <w:jc w:val="both"/>
        <w:rPr>
          <w:szCs w:val="22"/>
        </w:rPr>
      </w:pPr>
      <w:r w:rsidRPr="00136B35">
        <w:rPr>
          <w:szCs w:val="22"/>
        </w:rPr>
        <w:t>Qualora si riscontri una conta linfocitaria al di sotto del range normale, deve essere condotta un’attenta valutazione delle possibili cause prima di iniziare la terapia. Dimetilfumarato non è stato studiato nei pazienti con una conta linfocitaria bassa preesistente ed è necessario prestare attenzione durante il trattamento di questi pazienti. La terapia non deve essere iniziata in pazienti con linfopenia severa (conte linfocitarie &lt; 0,5 × 10</w:t>
      </w:r>
      <w:r w:rsidRPr="00136B35">
        <w:rPr>
          <w:rStyle w:val="Superscript"/>
          <w:szCs w:val="22"/>
        </w:rPr>
        <w:t>9</w:t>
      </w:r>
      <w:r w:rsidRPr="00136B35">
        <w:rPr>
          <w:szCs w:val="22"/>
        </w:rPr>
        <w:t>/L).</w:t>
      </w:r>
    </w:p>
    <w:p w14:paraId="5166810A" w14:textId="77777777" w:rsidR="005477D4" w:rsidRPr="00136B35" w:rsidRDefault="005477D4" w:rsidP="005010FD">
      <w:pPr>
        <w:widowControl w:val="0"/>
        <w:jc w:val="both"/>
        <w:rPr>
          <w:szCs w:val="22"/>
        </w:rPr>
      </w:pPr>
    </w:p>
    <w:p w14:paraId="647140F6" w14:textId="77777777" w:rsidR="005477D4" w:rsidRPr="005010FD" w:rsidRDefault="005477D4" w:rsidP="005010FD">
      <w:pPr>
        <w:pStyle w:val="GTCParagraph"/>
        <w:jc w:val="both"/>
        <w:rPr>
          <w:sz w:val="22"/>
          <w:szCs w:val="22"/>
          <w:lang w:val="it-IT"/>
        </w:rPr>
      </w:pPr>
      <w:r w:rsidRPr="00136B35">
        <w:rPr>
          <w:sz w:val="22"/>
          <w:szCs w:val="22"/>
          <w:lang w:val="it-IT"/>
        </w:rPr>
        <w:t>Dopo l’inizio della terapia, è necessario effettuare una valutazione dell’emocromo completo, compresi i linfociti, ogni 3 mesi</w:t>
      </w:r>
      <w:r w:rsidRPr="005010FD">
        <w:rPr>
          <w:sz w:val="22"/>
          <w:szCs w:val="22"/>
          <w:lang w:val="it-IT"/>
        </w:rPr>
        <w:t>.</w:t>
      </w:r>
    </w:p>
    <w:p w14:paraId="67D5FF85" w14:textId="77777777" w:rsidR="005477D4" w:rsidRPr="005010FD" w:rsidRDefault="005477D4" w:rsidP="005010FD">
      <w:pPr>
        <w:pStyle w:val="GTCParagraph"/>
        <w:jc w:val="both"/>
        <w:rPr>
          <w:sz w:val="22"/>
          <w:szCs w:val="22"/>
          <w:lang w:val="it-IT"/>
        </w:rPr>
      </w:pPr>
    </w:p>
    <w:p w14:paraId="17B88F93" w14:textId="2BB19DE4" w:rsidR="005477D4" w:rsidRPr="00136B35" w:rsidRDefault="005477D4" w:rsidP="005010FD">
      <w:pPr>
        <w:jc w:val="both"/>
        <w:rPr>
          <w:szCs w:val="22"/>
        </w:rPr>
      </w:pPr>
      <w:r w:rsidRPr="00136B35">
        <w:rPr>
          <w:szCs w:val="22"/>
        </w:rPr>
        <w:t>Si raccomanda una maggior vigilanza dei pazienti con linfopenia a causa di un maggior rischio di PML, come indicato di seguito:</w:t>
      </w:r>
    </w:p>
    <w:p w14:paraId="1E68B05A" w14:textId="0430D8D6" w:rsidR="005477D4" w:rsidRPr="00136B35" w:rsidRDefault="00CF52EB" w:rsidP="005010FD">
      <w:pPr>
        <w:pStyle w:val="GTCParagraph"/>
        <w:numPr>
          <w:ilvl w:val="0"/>
          <w:numId w:val="26"/>
        </w:numPr>
        <w:jc w:val="both"/>
        <w:rPr>
          <w:sz w:val="22"/>
          <w:szCs w:val="22"/>
          <w:lang w:val="it-IT"/>
        </w:rPr>
      </w:pPr>
      <w:r w:rsidRPr="005010FD">
        <w:rPr>
          <w:sz w:val="22"/>
          <w:szCs w:val="22"/>
          <w:lang w:val="it-IT" w:eastAsia="ar-SA"/>
        </w:rPr>
        <w:t xml:space="preserve">Il trattamento deve essere interrotto </w:t>
      </w:r>
      <w:r w:rsidR="005477D4" w:rsidRPr="00136B35">
        <w:rPr>
          <w:sz w:val="22"/>
          <w:szCs w:val="22"/>
          <w:lang w:val="it-IT" w:eastAsia="ar-SA"/>
        </w:rPr>
        <w:t>nei pazienti con prolungata linfopenia severa (conte linfocitarie &lt; 0,5 × 10</w:t>
      </w:r>
      <w:r w:rsidR="005477D4" w:rsidRPr="00136B35">
        <w:rPr>
          <w:sz w:val="22"/>
          <w:szCs w:val="22"/>
          <w:vertAlign w:val="superscript"/>
          <w:lang w:val="it-IT" w:eastAsia="ar-SA"/>
        </w:rPr>
        <w:t>9</w:t>
      </w:r>
      <w:r w:rsidR="005477D4" w:rsidRPr="00136B35">
        <w:rPr>
          <w:sz w:val="22"/>
          <w:szCs w:val="22"/>
          <w:lang w:val="it-IT" w:eastAsia="ar-SA"/>
        </w:rPr>
        <w:t xml:space="preserve">/L) che persiste per oltre 6 mesi; </w:t>
      </w:r>
    </w:p>
    <w:p w14:paraId="31423E25" w14:textId="60FB460F" w:rsidR="005477D4" w:rsidRPr="00136B35" w:rsidRDefault="00CF52EB" w:rsidP="005010FD">
      <w:pPr>
        <w:pStyle w:val="Bullet"/>
        <w:numPr>
          <w:ilvl w:val="0"/>
          <w:numId w:val="26"/>
        </w:numPr>
        <w:jc w:val="both"/>
      </w:pPr>
      <w:r w:rsidRPr="005010FD">
        <w:t>Nei</w:t>
      </w:r>
      <w:r w:rsidR="005477D4" w:rsidRPr="00136B35">
        <w:t xml:space="preserve"> pazienti con prolungate riduzioni moderate della conta assoluta dei linfociti ≥ 0,5 × 10</w:t>
      </w:r>
      <w:r w:rsidR="005477D4" w:rsidRPr="00136B35">
        <w:rPr>
          <w:rStyle w:val="Superscript"/>
        </w:rPr>
        <w:t>9</w:t>
      </w:r>
      <w:r w:rsidR="005477D4" w:rsidRPr="00136B35">
        <w:t>/L e &lt; 0,8 × 10</w:t>
      </w:r>
      <w:r w:rsidR="005477D4" w:rsidRPr="00136B35">
        <w:rPr>
          <w:rStyle w:val="Superscript"/>
        </w:rPr>
        <w:t>9</w:t>
      </w:r>
      <w:r w:rsidR="005477D4" w:rsidRPr="00136B35">
        <w:t>/L per oltre sei mesi, si deve rivalutare il rapporto beneficio/rischio della terapia con dimetilfumarato;</w:t>
      </w:r>
    </w:p>
    <w:p w14:paraId="5556D5ED" w14:textId="22BB8FC2" w:rsidR="005477D4" w:rsidRPr="00136B35" w:rsidRDefault="00CF52EB" w:rsidP="005010FD">
      <w:pPr>
        <w:pStyle w:val="Bullet"/>
        <w:numPr>
          <w:ilvl w:val="0"/>
          <w:numId w:val="26"/>
        </w:numPr>
        <w:jc w:val="both"/>
      </w:pPr>
      <w:r w:rsidRPr="00136B35">
        <w:t xml:space="preserve">Nei </w:t>
      </w:r>
      <w:r w:rsidR="005477D4" w:rsidRPr="00136B35">
        <w:t>pazienti con conte linfocitarie al di sotto del limite inferiore di normalità (</w:t>
      </w:r>
      <w:r w:rsidR="005477D4" w:rsidRPr="00136B35">
        <w:rPr>
          <w:i/>
        </w:rPr>
        <w:t>lower limit of normal</w:t>
      </w:r>
      <w:r w:rsidR="005477D4" w:rsidRPr="00136B35">
        <w:t>, LLN), definito dall’intervallo di riferimento del laboratorio locale, si raccomanda un monitoraggio periodico della conta assoluta dei linfociti. Altri fattori che possono ulteriormente aumentare il rischio individuale di PML devono essere presi in considerazione (vedere sotto sezione sulla PML).</w:t>
      </w:r>
    </w:p>
    <w:p w14:paraId="7F59BFAF" w14:textId="77777777" w:rsidR="005477D4" w:rsidRPr="00136B35" w:rsidRDefault="005477D4" w:rsidP="005010FD">
      <w:pPr>
        <w:jc w:val="both"/>
        <w:rPr>
          <w:szCs w:val="22"/>
        </w:rPr>
      </w:pPr>
    </w:p>
    <w:p w14:paraId="311B8D91" w14:textId="77777777" w:rsidR="005477D4" w:rsidRPr="00136B35" w:rsidRDefault="005477D4" w:rsidP="005010FD">
      <w:pPr>
        <w:pStyle w:val="GTCParagraph"/>
        <w:jc w:val="both"/>
        <w:rPr>
          <w:sz w:val="22"/>
          <w:szCs w:val="22"/>
          <w:lang w:val="it-IT"/>
        </w:rPr>
      </w:pPr>
      <w:r w:rsidRPr="00136B35">
        <w:rPr>
          <w:sz w:val="22"/>
          <w:szCs w:val="22"/>
          <w:lang w:val="it-IT"/>
        </w:rPr>
        <w:t>È necessario monitorare le conte linfocitarie fino al loro recupero (vedere paragrafo 5.1). Dopo il recupero e in assenza di opzioni terapeutiche alternative, le decisioni riguardo all’eventualità di ricominciare o meno la terapia con dimetilfumarato dopo l’interruzione del trattamento si devono fondare sul giudizio clinico.</w:t>
      </w:r>
    </w:p>
    <w:p w14:paraId="0912CA39" w14:textId="77777777" w:rsidR="005477D4" w:rsidRPr="005010FD" w:rsidRDefault="005477D4" w:rsidP="005010FD">
      <w:pPr>
        <w:pStyle w:val="GTCParagraph"/>
        <w:jc w:val="both"/>
        <w:rPr>
          <w:sz w:val="22"/>
          <w:szCs w:val="22"/>
          <w:lang w:val="it-IT"/>
        </w:rPr>
      </w:pPr>
    </w:p>
    <w:p w14:paraId="05C0ACE5" w14:textId="743616F5" w:rsidR="00DA4C45" w:rsidRPr="00136B35" w:rsidRDefault="00DA4C45" w:rsidP="005010FD">
      <w:pPr>
        <w:spacing w:after="120"/>
        <w:jc w:val="both"/>
        <w:rPr>
          <w:szCs w:val="22"/>
          <w:u w:val="single"/>
        </w:rPr>
      </w:pPr>
      <w:r w:rsidRPr="00136B35">
        <w:rPr>
          <w:szCs w:val="22"/>
          <w:u w:val="single"/>
        </w:rPr>
        <w:t xml:space="preserve">Risonanza magnetica per immagini (MRI) </w:t>
      </w:r>
    </w:p>
    <w:p w14:paraId="4CB42A53" w14:textId="77777777" w:rsidR="005477D4" w:rsidRPr="00136B35" w:rsidRDefault="005477D4" w:rsidP="005010FD">
      <w:pPr>
        <w:jc w:val="both"/>
        <w:rPr>
          <w:szCs w:val="22"/>
        </w:rPr>
      </w:pPr>
      <w:r w:rsidRPr="00136B35">
        <w:rPr>
          <w:szCs w:val="22"/>
        </w:rPr>
        <w:t>Prima di iniziare il trattamento con dimetilfumarato, deve essere disponibile una risonanza magnetica al basale (solitamente entro 3 mesi) da usare come riferimento. La necessità di ulteriori esami di risonanza magnetica deve essere valutata in accordo alle raccomandazioni nazionali e locali. La risonanza magnetica può essere presa in considerazione nell’ambito di una maggiore vigilanza nei pazienti considerati a maggior rischio di PML. In caso di sospetto clinico di PML, è necessario eseguire immediatamente una risonanza magnetica a fini diagnostici.</w:t>
      </w:r>
    </w:p>
    <w:p w14:paraId="36C89642" w14:textId="77777777" w:rsidR="005477D4" w:rsidRPr="00136B35" w:rsidRDefault="005477D4" w:rsidP="005010FD">
      <w:pPr>
        <w:widowControl w:val="0"/>
        <w:suppressLineNumbers/>
        <w:jc w:val="both"/>
        <w:rPr>
          <w:szCs w:val="22"/>
          <w:u w:val="single"/>
        </w:rPr>
      </w:pPr>
    </w:p>
    <w:p w14:paraId="48392F3A" w14:textId="77777777" w:rsidR="005477D4" w:rsidRPr="00136B35" w:rsidRDefault="005477D4" w:rsidP="005010FD">
      <w:pPr>
        <w:widowControl w:val="0"/>
        <w:suppressLineNumbers/>
        <w:jc w:val="both"/>
        <w:rPr>
          <w:szCs w:val="22"/>
          <w:u w:val="single"/>
        </w:rPr>
      </w:pPr>
      <w:r w:rsidRPr="00136B35">
        <w:rPr>
          <w:szCs w:val="22"/>
          <w:u w:val="single"/>
        </w:rPr>
        <w:t>Leucoencefalopatia multifocale progressiva (PML)</w:t>
      </w:r>
    </w:p>
    <w:p w14:paraId="54D5A853" w14:textId="77777777" w:rsidR="005477D4" w:rsidRPr="00136B35" w:rsidRDefault="005477D4" w:rsidP="005010FD">
      <w:pPr>
        <w:widowControl w:val="0"/>
        <w:suppressLineNumbers/>
        <w:jc w:val="both"/>
        <w:rPr>
          <w:i/>
          <w:szCs w:val="22"/>
          <w:u w:val="single"/>
        </w:rPr>
      </w:pPr>
    </w:p>
    <w:p w14:paraId="23A75358" w14:textId="77777777" w:rsidR="005477D4" w:rsidRPr="00136B35" w:rsidRDefault="005477D4" w:rsidP="005010FD">
      <w:pPr>
        <w:jc w:val="both"/>
        <w:rPr>
          <w:szCs w:val="22"/>
        </w:rPr>
      </w:pPr>
      <w:r w:rsidRPr="00136B35">
        <w:rPr>
          <w:szCs w:val="22"/>
        </w:rPr>
        <w:t>In pazienti trattati con dimetilfumarato sono stati segnalati casi di PML (vedere paragrafo 4.8).</w:t>
      </w:r>
      <w:bookmarkStart w:id="5" w:name="_Hlk49875969"/>
      <w:r w:rsidRPr="00136B35">
        <w:rPr>
          <w:szCs w:val="22"/>
        </w:rPr>
        <w:t xml:space="preserve"> La PML è un’infezione opportunistica causata dal virus di John Cunningham (JCV), che può essere fatale o provocare disabilità</w:t>
      </w:r>
      <w:bookmarkEnd w:id="5"/>
      <w:r w:rsidRPr="00136B35">
        <w:rPr>
          <w:szCs w:val="22"/>
        </w:rPr>
        <w:t xml:space="preserve"> severa.</w:t>
      </w:r>
    </w:p>
    <w:p w14:paraId="65350C9E" w14:textId="77777777" w:rsidR="005477D4" w:rsidRPr="00136B35" w:rsidRDefault="005477D4" w:rsidP="005010FD">
      <w:pPr>
        <w:widowControl w:val="0"/>
        <w:autoSpaceDE w:val="0"/>
        <w:autoSpaceDN w:val="0"/>
        <w:adjustRightInd w:val="0"/>
        <w:jc w:val="both"/>
        <w:rPr>
          <w:szCs w:val="22"/>
          <w:u w:val="single"/>
        </w:rPr>
      </w:pPr>
    </w:p>
    <w:p w14:paraId="3F31E556" w14:textId="77777777" w:rsidR="005477D4" w:rsidRPr="00136B35" w:rsidRDefault="005477D4" w:rsidP="005010FD">
      <w:pPr>
        <w:jc w:val="both"/>
        <w:rPr>
          <w:szCs w:val="22"/>
        </w:rPr>
      </w:pPr>
      <w:r w:rsidRPr="00136B35">
        <w:rPr>
          <w:szCs w:val="22"/>
        </w:rPr>
        <w:lastRenderedPageBreak/>
        <w:t>Con dimetilfumarato e altri medicinali contenenti fumarati, si sono verificati casi di PML nell’ambito di una linfopenia (conte linfocitarie inferiori all’LLN). La linfopenia prolungata da moderata a severa sembra aumentare il rischio di PML con dimetilfumarato; tuttavia, il rischio non può essere escluso neanche in pazienti con linfopenia lieve.</w:t>
      </w:r>
    </w:p>
    <w:p w14:paraId="7837E935" w14:textId="77777777" w:rsidR="005477D4" w:rsidRPr="00136B35" w:rsidRDefault="005477D4" w:rsidP="005010FD">
      <w:pPr>
        <w:jc w:val="both"/>
        <w:rPr>
          <w:szCs w:val="22"/>
        </w:rPr>
      </w:pPr>
    </w:p>
    <w:p w14:paraId="13FA95B6" w14:textId="77777777" w:rsidR="005477D4" w:rsidRPr="00136B35" w:rsidRDefault="005477D4" w:rsidP="005010FD">
      <w:pPr>
        <w:keepNext/>
        <w:jc w:val="both"/>
        <w:rPr>
          <w:szCs w:val="22"/>
        </w:rPr>
      </w:pPr>
      <w:r w:rsidRPr="00136B35">
        <w:rPr>
          <w:szCs w:val="22"/>
        </w:rPr>
        <w:t>Altri fattori che possono contribuire all’aumento del rischio di PML nell’ambito della linfopenia sono:</w:t>
      </w:r>
    </w:p>
    <w:p w14:paraId="0F4E198C" w14:textId="77777777" w:rsidR="005477D4" w:rsidRPr="00136B35" w:rsidRDefault="005477D4" w:rsidP="005010FD">
      <w:pPr>
        <w:pStyle w:val="ListParagraph"/>
        <w:numPr>
          <w:ilvl w:val="0"/>
          <w:numId w:val="28"/>
        </w:numPr>
        <w:ind w:left="567" w:hanging="283"/>
        <w:jc w:val="both"/>
        <w:rPr>
          <w:szCs w:val="22"/>
        </w:rPr>
      </w:pPr>
      <w:r w:rsidRPr="00136B35">
        <w:rPr>
          <w:szCs w:val="22"/>
        </w:rPr>
        <w:t>durata della terapia con dimetilfumarato. Casi di PML si sono verificati dopo circa 1 - 5 anni di trattamento, anche se non si conosce l’esatta relazione con la durata del trattamento;</w:t>
      </w:r>
    </w:p>
    <w:p w14:paraId="4236CCB4" w14:textId="77777777" w:rsidR="005477D4" w:rsidRPr="00136B35" w:rsidRDefault="005477D4" w:rsidP="005010FD">
      <w:pPr>
        <w:pStyle w:val="ListParagraph"/>
        <w:numPr>
          <w:ilvl w:val="0"/>
          <w:numId w:val="28"/>
        </w:numPr>
        <w:ind w:left="567" w:hanging="283"/>
        <w:jc w:val="both"/>
        <w:rPr>
          <w:szCs w:val="22"/>
        </w:rPr>
      </w:pPr>
      <w:r w:rsidRPr="00136B35">
        <w:rPr>
          <w:szCs w:val="22"/>
        </w:rPr>
        <w:t>rilevante riduzione della conta dei linfociti T CD4+ e specialmente CD8+, che sono importanti per le difese immunitarie (vedere paragrafo 4.8), e</w:t>
      </w:r>
    </w:p>
    <w:p w14:paraId="4B57DBBF" w14:textId="77777777" w:rsidR="005477D4" w:rsidRPr="00136B35" w:rsidRDefault="005477D4" w:rsidP="005010FD">
      <w:pPr>
        <w:pStyle w:val="ListParagraph"/>
        <w:numPr>
          <w:ilvl w:val="0"/>
          <w:numId w:val="28"/>
        </w:numPr>
        <w:ind w:left="567" w:hanging="283"/>
        <w:jc w:val="both"/>
        <w:rPr>
          <w:szCs w:val="22"/>
        </w:rPr>
      </w:pPr>
      <w:r w:rsidRPr="00136B35">
        <w:rPr>
          <w:szCs w:val="22"/>
        </w:rPr>
        <w:t>precedente terapia immunosoppressiva o immunomodulante (vedere sotto).</w:t>
      </w:r>
    </w:p>
    <w:p w14:paraId="04961DBC" w14:textId="77777777" w:rsidR="005477D4" w:rsidRPr="00136B35" w:rsidRDefault="005477D4" w:rsidP="005010FD">
      <w:pPr>
        <w:jc w:val="both"/>
        <w:rPr>
          <w:szCs w:val="22"/>
        </w:rPr>
      </w:pPr>
    </w:p>
    <w:p w14:paraId="0DFF65A1" w14:textId="77777777" w:rsidR="005477D4" w:rsidRPr="00136B35" w:rsidRDefault="005477D4" w:rsidP="005010FD">
      <w:pPr>
        <w:jc w:val="both"/>
        <w:rPr>
          <w:szCs w:val="22"/>
        </w:rPr>
      </w:pPr>
      <w:r w:rsidRPr="00136B35">
        <w:rPr>
          <w:szCs w:val="22"/>
        </w:rPr>
        <w:t>I medici devono valutare i loro pazienti per stabilire se i sintomi siano indicativi di disfunzione neurologica e, in tal caso, se questi sintomi sono tipici della sclerosi multipla o se possono suggerire la PML.</w:t>
      </w:r>
    </w:p>
    <w:p w14:paraId="19EA8B09" w14:textId="77777777" w:rsidR="005477D4" w:rsidRPr="00136B35" w:rsidRDefault="005477D4" w:rsidP="005010FD">
      <w:pPr>
        <w:widowControl w:val="0"/>
        <w:autoSpaceDE w:val="0"/>
        <w:autoSpaceDN w:val="0"/>
        <w:adjustRightInd w:val="0"/>
        <w:jc w:val="both"/>
        <w:rPr>
          <w:szCs w:val="22"/>
          <w:u w:val="single"/>
        </w:rPr>
      </w:pPr>
    </w:p>
    <w:p w14:paraId="55E49EED" w14:textId="77777777" w:rsidR="005477D4" w:rsidRPr="00136B35" w:rsidRDefault="005477D4" w:rsidP="005010FD">
      <w:pPr>
        <w:jc w:val="both"/>
        <w:rPr>
          <w:szCs w:val="22"/>
        </w:rPr>
      </w:pPr>
      <w:r w:rsidRPr="00136B35">
        <w:rPr>
          <w:szCs w:val="22"/>
        </w:rPr>
        <w:t>Al primo segno o sintomo indicativo di PML, dimetilfumarato deve essere sospeso e devono essere eseguite appropriate valutazioni diagnostiche, inclusa la determinazione del DNA di JCV nel liquido cerebrospinale (CSF) mediante la metodologia della reazione a catena della polimerasi (PCR) quantitativa. I sintomi della PML possono essere simili a quelli di una recidiva di sclerosi multipla. I sintomi tipicamente associati alla PML sono vari, progrediscono nell’arco di giorni o settimane e comprendono debolezza progressiva di un lato del corpo o scarsa coordinazione degli arti, disturbi della vista e alterazioni del pensiero, della memoria e dell’orientamento che provocano confusione e cambiamenti della personalità. I medici devono essere particolarmente attenti a sintomi indicativi di PML che il paziente potrebbe non notare. Inoltre, si deve raccomandare ai pazienti di informare del trattamento il partner o chi li assiste, poiché questi ultimi potrebbero notare sintomi di cui il paziente non è consapevole.</w:t>
      </w:r>
    </w:p>
    <w:p w14:paraId="3EB1CEF4" w14:textId="77777777" w:rsidR="005477D4" w:rsidRPr="00136B35" w:rsidRDefault="005477D4" w:rsidP="005010FD">
      <w:pPr>
        <w:widowControl w:val="0"/>
        <w:autoSpaceDE w:val="0"/>
        <w:autoSpaceDN w:val="0"/>
        <w:adjustRightInd w:val="0"/>
        <w:jc w:val="both"/>
        <w:rPr>
          <w:szCs w:val="22"/>
          <w:u w:val="single"/>
        </w:rPr>
      </w:pPr>
    </w:p>
    <w:p w14:paraId="465D2CD9" w14:textId="77777777" w:rsidR="005477D4" w:rsidRPr="00136B35" w:rsidRDefault="005477D4" w:rsidP="005010FD">
      <w:pPr>
        <w:jc w:val="both"/>
        <w:rPr>
          <w:szCs w:val="22"/>
        </w:rPr>
      </w:pPr>
      <w:r w:rsidRPr="00136B35">
        <w:rPr>
          <w:szCs w:val="22"/>
        </w:rPr>
        <w:t>La PML può verificarsi soltanto in presenza di un’infezione da JCV. Si deve considerare che nei pazienti trattati con dimetilfumarato non è stata studiata l’influenza della linfopenia sull’accuratezza dell’analisi degli anticorpi anti-JCV sierici. Inoltre, si deve considerare che un test negativo per gli anticorpi anti</w:t>
      </w:r>
      <w:r w:rsidRPr="00136B35">
        <w:rPr>
          <w:szCs w:val="22"/>
        </w:rPr>
        <w:noBreakHyphen/>
        <w:t>JCV (in presenza di conte linfocitarie normali) non esclude la possibilità di una successiva infezione da JCV.</w:t>
      </w:r>
    </w:p>
    <w:p w14:paraId="7F8E623C" w14:textId="77777777" w:rsidR="005477D4" w:rsidRPr="00136B35" w:rsidRDefault="005477D4" w:rsidP="005010FD">
      <w:pPr>
        <w:jc w:val="both"/>
        <w:rPr>
          <w:szCs w:val="22"/>
        </w:rPr>
      </w:pPr>
    </w:p>
    <w:p w14:paraId="145B9D19" w14:textId="77777777" w:rsidR="005477D4" w:rsidRPr="00136B35" w:rsidRDefault="005477D4" w:rsidP="005010FD">
      <w:pPr>
        <w:jc w:val="both"/>
        <w:rPr>
          <w:szCs w:val="22"/>
        </w:rPr>
      </w:pPr>
      <w:r w:rsidRPr="00136B35">
        <w:rPr>
          <w:szCs w:val="22"/>
        </w:rPr>
        <w:t>Se un paziente sviluppa la PML, la terapia con dimetilfumarato</w:t>
      </w:r>
      <w:r w:rsidRPr="00136B35" w:rsidDel="00EB619A">
        <w:rPr>
          <w:szCs w:val="22"/>
        </w:rPr>
        <w:t xml:space="preserve"> </w:t>
      </w:r>
      <w:r w:rsidRPr="00136B35">
        <w:rPr>
          <w:szCs w:val="22"/>
        </w:rPr>
        <w:t>deve essere interrotta definitivamente.</w:t>
      </w:r>
    </w:p>
    <w:p w14:paraId="19A680F5" w14:textId="77777777" w:rsidR="005477D4" w:rsidRPr="00136B35" w:rsidRDefault="005477D4" w:rsidP="005010FD">
      <w:pPr>
        <w:widowControl w:val="0"/>
        <w:autoSpaceDE w:val="0"/>
        <w:autoSpaceDN w:val="0"/>
        <w:adjustRightInd w:val="0"/>
        <w:jc w:val="both"/>
        <w:rPr>
          <w:szCs w:val="22"/>
          <w:u w:val="single"/>
        </w:rPr>
      </w:pPr>
    </w:p>
    <w:p w14:paraId="23ADE550" w14:textId="77777777" w:rsidR="005477D4" w:rsidRPr="00136B35" w:rsidRDefault="005477D4" w:rsidP="005010FD">
      <w:pPr>
        <w:widowControl w:val="0"/>
        <w:autoSpaceDE w:val="0"/>
        <w:autoSpaceDN w:val="0"/>
        <w:adjustRightInd w:val="0"/>
        <w:jc w:val="both"/>
        <w:rPr>
          <w:szCs w:val="22"/>
          <w:u w:val="single"/>
        </w:rPr>
      </w:pPr>
      <w:r w:rsidRPr="00136B35">
        <w:rPr>
          <w:szCs w:val="22"/>
          <w:u w:val="single"/>
        </w:rPr>
        <w:t>Precedente trattamento con terapie immunosoppressive o immunomodulanti</w:t>
      </w:r>
    </w:p>
    <w:p w14:paraId="6142EB47" w14:textId="77777777" w:rsidR="005477D4" w:rsidRPr="00136B35" w:rsidRDefault="005477D4" w:rsidP="005010FD">
      <w:pPr>
        <w:widowControl w:val="0"/>
        <w:autoSpaceDE w:val="0"/>
        <w:autoSpaceDN w:val="0"/>
        <w:adjustRightInd w:val="0"/>
        <w:jc w:val="both"/>
        <w:rPr>
          <w:szCs w:val="22"/>
          <w:u w:val="single"/>
        </w:rPr>
      </w:pPr>
    </w:p>
    <w:p w14:paraId="5F48EBFE" w14:textId="77777777" w:rsidR="005477D4" w:rsidRPr="00136B35" w:rsidRDefault="005477D4" w:rsidP="005010FD">
      <w:pPr>
        <w:widowControl w:val="0"/>
        <w:autoSpaceDE w:val="0"/>
        <w:autoSpaceDN w:val="0"/>
        <w:adjustRightInd w:val="0"/>
        <w:jc w:val="both"/>
        <w:rPr>
          <w:szCs w:val="22"/>
        </w:rPr>
      </w:pPr>
      <w:r w:rsidRPr="00136B35">
        <w:rPr>
          <w:szCs w:val="22"/>
        </w:rPr>
        <w:t>Non sono stati effettuati studi per valutare l’efficacia e la sicurezza di dimetilfumarato in pazienti che passano da altre terapie che modificano il decorso della malattia a dimetilfumarato. Il contributo di precedenti terapie immunosoppressive nello sviluppo della PML nei pazienti trattati con dimetilfumarato è possibile.</w:t>
      </w:r>
    </w:p>
    <w:p w14:paraId="0B924A04" w14:textId="77777777" w:rsidR="005477D4" w:rsidRPr="00136B35" w:rsidRDefault="005477D4" w:rsidP="005010FD">
      <w:pPr>
        <w:widowControl w:val="0"/>
        <w:autoSpaceDE w:val="0"/>
        <w:autoSpaceDN w:val="0"/>
        <w:adjustRightInd w:val="0"/>
        <w:jc w:val="both"/>
        <w:rPr>
          <w:szCs w:val="22"/>
        </w:rPr>
      </w:pPr>
    </w:p>
    <w:p w14:paraId="062E2DA9" w14:textId="5A1B98CF" w:rsidR="005477D4" w:rsidRPr="00136B35" w:rsidRDefault="005477D4" w:rsidP="005010FD">
      <w:pPr>
        <w:jc w:val="both"/>
        <w:rPr>
          <w:szCs w:val="22"/>
        </w:rPr>
      </w:pPr>
      <w:r w:rsidRPr="00136B35">
        <w:rPr>
          <w:szCs w:val="22"/>
        </w:rPr>
        <w:t>Sono stati segnalati di PML in pazienti trattati in precedenza con natalizumab, per cui è noto il rischio di PML. I medici devono essere a conoscenza del fatto che i casi di PML verificatisi dopo recente interruzione di natalizumab possono non presentare linfopenia.</w:t>
      </w:r>
    </w:p>
    <w:p w14:paraId="349A5455" w14:textId="77777777" w:rsidR="005477D4" w:rsidRPr="00136B35" w:rsidRDefault="005477D4" w:rsidP="005010FD">
      <w:pPr>
        <w:jc w:val="both"/>
        <w:rPr>
          <w:szCs w:val="22"/>
        </w:rPr>
      </w:pPr>
    </w:p>
    <w:p w14:paraId="1FA2139A" w14:textId="77777777" w:rsidR="005477D4" w:rsidRPr="00136B35" w:rsidRDefault="005477D4" w:rsidP="005010FD">
      <w:pPr>
        <w:jc w:val="both"/>
        <w:rPr>
          <w:szCs w:val="22"/>
        </w:rPr>
      </w:pPr>
      <w:r w:rsidRPr="00136B35">
        <w:rPr>
          <w:szCs w:val="22"/>
        </w:rPr>
        <w:t xml:space="preserve">Inoltre, la maggioranza dei casi confermati di PML con dimetilfumarato si è verificata in pazienti sottoposti a precedente trattamento immunomodulante. </w:t>
      </w:r>
    </w:p>
    <w:p w14:paraId="27D6C2CE" w14:textId="77777777" w:rsidR="005477D4" w:rsidRPr="00136B35" w:rsidRDefault="005477D4" w:rsidP="005010FD">
      <w:pPr>
        <w:jc w:val="both"/>
        <w:rPr>
          <w:szCs w:val="22"/>
        </w:rPr>
      </w:pPr>
    </w:p>
    <w:p w14:paraId="74FC13BA" w14:textId="77777777" w:rsidR="005477D4" w:rsidRPr="00136B35" w:rsidRDefault="005477D4" w:rsidP="005010FD">
      <w:pPr>
        <w:keepNext/>
        <w:keepLines/>
        <w:autoSpaceDE w:val="0"/>
        <w:autoSpaceDN w:val="0"/>
        <w:adjustRightInd w:val="0"/>
        <w:jc w:val="both"/>
        <w:rPr>
          <w:szCs w:val="22"/>
        </w:rPr>
      </w:pPr>
      <w:r w:rsidRPr="00136B35">
        <w:rPr>
          <w:szCs w:val="22"/>
        </w:rPr>
        <w:t>Quando i pazienti passano da un’altra terapia che modifica il decorso della malattia a dimetilfumarato, è necessario tenere in considerazione l’emivita e la modalità di azione dell’altra terapia per evitare un effetto additivo sul sistema immunitario e, al contempo, ridurre il rischio di riattivazione della sclerosi multipla. Si consiglia un emocromo completo prima di iniziare il trattamento con dimetilfumarato</w:t>
      </w:r>
      <w:r w:rsidRPr="00136B35" w:rsidDel="00EB619A">
        <w:rPr>
          <w:szCs w:val="22"/>
        </w:rPr>
        <w:t xml:space="preserve"> </w:t>
      </w:r>
      <w:r w:rsidRPr="00136B35">
        <w:rPr>
          <w:szCs w:val="22"/>
        </w:rPr>
        <w:t>e a intervalli regolari durante il trattamento (vedere Esami del sangue/analisi di laboratorio sopra).</w:t>
      </w:r>
    </w:p>
    <w:p w14:paraId="058DBDEF" w14:textId="77777777" w:rsidR="005477D4" w:rsidRPr="00136B35" w:rsidRDefault="005477D4" w:rsidP="005010FD">
      <w:pPr>
        <w:widowControl w:val="0"/>
        <w:autoSpaceDE w:val="0"/>
        <w:autoSpaceDN w:val="0"/>
        <w:adjustRightInd w:val="0"/>
        <w:jc w:val="both"/>
        <w:rPr>
          <w:szCs w:val="22"/>
        </w:rPr>
      </w:pPr>
    </w:p>
    <w:p w14:paraId="29BC3AF0" w14:textId="77777777" w:rsidR="005477D4" w:rsidRPr="00136B35" w:rsidRDefault="005477D4" w:rsidP="005010FD">
      <w:pPr>
        <w:widowControl w:val="0"/>
        <w:jc w:val="both"/>
        <w:rPr>
          <w:szCs w:val="22"/>
          <w:u w:val="single"/>
        </w:rPr>
      </w:pPr>
      <w:r w:rsidRPr="00136B35">
        <w:rPr>
          <w:szCs w:val="22"/>
          <w:u w:val="single"/>
        </w:rPr>
        <w:t>Compromissione renale ed epatica severa</w:t>
      </w:r>
    </w:p>
    <w:p w14:paraId="352DDD1C" w14:textId="77777777" w:rsidR="005477D4" w:rsidRPr="00136B35" w:rsidRDefault="005477D4" w:rsidP="005010FD">
      <w:pPr>
        <w:widowControl w:val="0"/>
        <w:jc w:val="both"/>
        <w:rPr>
          <w:szCs w:val="22"/>
          <w:u w:val="single"/>
        </w:rPr>
      </w:pPr>
    </w:p>
    <w:p w14:paraId="3B883F6F" w14:textId="77777777" w:rsidR="005477D4" w:rsidRPr="00136B35" w:rsidRDefault="005477D4" w:rsidP="005010FD">
      <w:pPr>
        <w:widowControl w:val="0"/>
        <w:jc w:val="both"/>
        <w:rPr>
          <w:szCs w:val="22"/>
        </w:rPr>
      </w:pPr>
      <w:r w:rsidRPr="00136B35">
        <w:rPr>
          <w:szCs w:val="22"/>
        </w:rPr>
        <w:t>Dimetilfumarato</w:t>
      </w:r>
      <w:r w:rsidRPr="00136B35" w:rsidDel="00EB619A">
        <w:rPr>
          <w:szCs w:val="22"/>
        </w:rPr>
        <w:t xml:space="preserve"> </w:t>
      </w:r>
      <w:r w:rsidRPr="00136B35">
        <w:rPr>
          <w:szCs w:val="22"/>
        </w:rPr>
        <w:t>non è stato studiato nei pazienti con compromissione renale severa o con compromissione epatica severa ed è perciò necessario usare cautela in questi pazienti (vedere paragrafo 4.2).</w:t>
      </w:r>
    </w:p>
    <w:p w14:paraId="74F64B01" w14:textId="77777777" w:rsidR="005477D4" w:rsidRPr="00136B35" w:rsidRDefault="005477D4" w:rsidP="005010FD">
      <w:pPr>
        <w:widowControl w:val="0"/>
        <w:jc w:val="both"/>
        <w:rPr>
          <w:szCs w:val="22"/>
        </w:rPr>
      </w:pPr>
    </w:p>
    <w:p w14:paraId="27A862B8" w14:textId="77777777" w:rsidR="005477D4" w:rsidRPr="00136B35" w:rsidRDefault="005477D4" w:rsidP="005010FD">
      <w:pPr>
        <w:keepNext/>
        <w:widowControl w:val="0"/>
        <w:jc w:val="both"/>
        <w:rPr>
          <w:szCs w:val="22"/>
          <w:u w:val="single"/>
        </w:rPr>
      </w:pPr>
      <w:r w:rsidRPr="00136B35">
        <w:rPr>
          <w:szCs w:val="22"/>
          <w:u w:val="single"/>
        </w:rPr>
        <w:t>Malattia gastrointestinale attiva severa</w:t>
      </w:r>
    </w:p>
    <w:p w14:paraId="01E00257" w14:textId="77777777" w:rsidR="005477D4" w:rsidRPr="00136B35" w:rsidRDefault="005477D4" w:rsidP="005010FD">
      <w:pPr>
        <w:keepNext/>
        <w:widowControl w:val="0"/>
        <w:jc w:val="both"/>
        <w:rPr>
          <w:szCs w:val="22"/>
          <w:u w:val="single"/>
        </w:rPr>
      </w:pPr>
    </w:p>
    <w:p w14:paraId="09C680C0" w14:textId="77777777" w:rsidR="005477D4" w:rsidRPr="00136B35" w:rsidRDefault="005477D4" w:rsidP="005010FD">
      <w:pPr>
        <w:keepNext/>
        <w:widowControl w:val="0"/>
        <w:jc w:val="both"/>
        <w:rPr>
          <w:szCs w:val="22"/>
        </w:rPr>
      </w:pPr>
      <w:r w:rsidRPr="00136B35">
        <w:rPr>
          <w:szCs w:val="22"/>
        </w:rPr>
        <w:t>Dimetilfumarato</w:t>
      </w:r>
      <w:r w:rsidRPr="00136B35" w:rsidDel="00EB619A">
        <w:rPr>
          <w:szCs w:val="22"/>
        </w:rPr>
        <w:t xml:space="preserve"> </w:t>
      </w:r>
      <w:r w:rsidRPr="00136B35">
        <w:rPr>
          <w:szCs w:val="22"/>
        </w:rPr>
        <w:t>non è stato studiato nei pazienti affetti da malattia gastrointestinale attiva severa ed è perciò necessario usare cautela in questi pazienti.</w:t>
      </w:r>
    </w:p>
    <w:p w14:paraId="1F46019F" w14:textId="77777777" w:rsidR="005477D4" w:rsidRPr="00136B35" w:rsidRDefault="005477D4" w:rsidP="005010FD">
      <w:pPr>
        <w:widowControl w:val="0"/>
        <w:jc w:val="both"/>
        <w:rPr>
          <w:szCs w:val="22"/>
        </w:rPr>
      </w:pPr>
    </w:p>
    <w:p w14:paraId="5BB90040" w14:textId="77777777" w:rsidR="005477D4" w:rsidRPr="00136B35" w:rsidRDefault="005477D4" w:rsidP="005010FD">
      <w:pPr>
        <w:widowControl w:val="0"/>
        <w:jc w:val="both"/>
        <w:rPr>
          <w:szCs w:val="22"/>
          <w:u w:val="single"/>
        </w:rPr>
      </w:pPr>
      <w:r w:rsidRPr="00136B35">
        <w:rPr>
          <w:szCs w:val="22"/>
          <w:u w:val="single"/>
        </w:rPr>
        <w:t>Rossore</w:t>
      </w:r>
    </w:p>
    <w:p w14:paraId="634B7D7D" w14:textId="77777777" w:rsidR="005477D4" w:rsidRPr="00136B35" w:rsidRDefault="005477D4" w:rsidP="005010FD">
      <w:pPr>
        <w:widowControl w:val="0"/>
        <w:jc w:val="both"/>
        <w:rPr>
          <w:szCs w:val="22"/>
          <w:u w:val="single"/>
        </w:rPr>
      </w:pPr>
    </w:p>
    <w:p w14:paraId="621A0BA9" w14:textId="77777777" w:rsidR="005477D4" w:rsidRPr="00136B35" w:rsidRDefault="005477D4" w:rsidP="005010FD">
      <w:pPr>
        <w:jc w:val="both"/>
        <w:rPr>
          <w:szCs w:val="22"/>
        </w:rPr>
      </w:pPr>
      <w:r w:rsidRPr="00136B35">
        <w:rPr>
          <w:szCs w:val="22"/>
        </w:rPr>
        <w:t>Negli studi clinici, il 34% dei pazienti trattati con dimetilfumarato ha manifestato rossore. Nella maggior parte dei pazienti che hanno manifestato rossore, questo è stato di grado lieve o moderato. I dati derivati da studi condotti in volontari sani suggeriscono che il rossore associato a dimetilfumarato è probabilmente mediato dalle prostaglandine. Un breve ciclo di trattamento con 75 mg di acido acetilsalicilico senza rivestimento enterico può essere di beneficio nei pazienti che manifestano rossore intollerabile (vedere paragrafo 4.5). In due studi condotti su volontari sani, l’insorgenza e la gravità del rossore si sono ridotti durante il periodo di somministrazione.</w:t>
      </w:r>
    </w:p>
    <w:p w14:paraId="1C3E37C6" w14:textId="77777777" w:rsidR="005477D4" w:rsidRPr="00136B35" w:rsidRDefault="005477D4" w:rsidP="005010FD">
      <w:pPr>
        <w:widowControl w:val="0"/>
        <w:jc w:val="both"/>
        <w:rPr>
          <w:szCs w:val="22"/>
        </w:rPr>
      </w:pPr>
    </w:p>
    <w:p w14:paraId="19EE778E" w14:textId="6FC214F0" w:rsidR="005477D4" w:rsidRPr="00136B35" w:rsidRDefault="005477D4" w:rsidP="005010FD">
      <w:pPr>
        <w:widowControl w:val="0"/>
        <w:jc w:val="both"/>
        <w:rPr>
          <w:szCs w:val="22"/>
        </w:rPr>
      </w:pPr>
      <w:r w:rsidRPr="00136B35">
        <w:rPr>
          <w:szCs w:val="22"/>
        </w:rPr>
        <w:t>Negli studi clinici, 3 pazienti su un totale di 2 560 trattati con dimetilfumarato hanno presentato sintomi gravi di rossore, probabilmente riconducibili a reazioni di ipersensibilità o anafilattoidi. Queste reazioni avverse non sono stati pericolosi per la vita, ma hanno richiesto l’ospedalizzazione. I medici prescrittori e i pazienti devono essere consapevoli di questa possibilità nel caso di reazioni di rossore severe (vedere paragrafi 4.2, 4.5 e 4.8).</w:t>
      </w:r>
    </w:p>
    <w:p w14:paraId="6C6D4725" w14:textId="77777777" w:rsidR="005477D4" w:rsidRPr="00136B35" w:rsidRDefault="005477D4" w:rsidP="005010FD">
      <w:pPr>
        <w:widowControl w:val="0"/>
        <w:jc w:val="both"/>
        <w:rPr>
          <w:szCs w:val="22"/>
        </w:rPr>
      </w:pPr>
    </w:p>
    <w:p w14:paraId="374F3800" w14:textId="77777777" w:rsidR="005477D4" w:rsidRPr="00136B35" w:rsidRDefault="005477D4" w:rsidP="005010FD">
      <w:pPr>
        <w:widowControl w:val="0"/>
        <w:suppressLineNumbers/>
        <w:jc w:val="both"/>
        <w:rPr>
          <w:szCs w:val="22"/>
          <w:u w:val="single"/>
        </w:rPr>
      </w:pPr>
      <w:r w:rsidRPr="00136B35">
        <w:rPr>
          <w:szCs w:val="22"/>
          <w:u w:val="single"/>
        </w:rPr>
        <w:t>Reazioni anafilattiche</w:t>
      </w:r>
    </w:p>
    <w:p w14:paraId="75241EA8" w14:textId="77777777" w:rsidR="005477D4" w:rsidRPr="00136B35" w:rsidRDefault="005477D4" w:rsidP="005010FD">
      <w:pPr>
        <w:widowControl w:val="0"/>
        <w:suppressLineNumbers/>
        <w:jc w:val="both"/>
        <w:rPr>
          <w:szCs w:val="22"/>
          <w:u w:val="single"/>
        </w:rPr>
      </w:pPr>
    </w:p>
    <w:p w14:paraId="05B8F7E3" w14:textId="77777777" w:rsidR="005477D4" w:rsidRPr="00136B35" w:rsidRDefault="005477D4" w:rsidP="005010FD">
      <w:pPr>
        <w:widowControl w:val="0"/>
        <w:suppressLineNumbers/>
        <w:jc w:val="both"/>
        <w:rPr>
          <w:szCs w:val="22"/>
        </w:rPr>
      </w:pPr>
      <w:r w:rsidRPr="00136B35">
        <w:rPr>
          <w:szCs w:val="22"/>
        </w:rPr>
        <w:t>Casi di anafilassi/reazione anafilattoide sono stati segnalati dopo la somministrazione di dimetilfumarato nel periodo post</w:t>
      </w:r>
      <w:r w:rsidRPr="00136B35">
        <w:rPr>
          <w:szCs w:val="22"/>
        </w:rPr>
        <w:noBreakHyphen/>
        <w:t>marketing (vedere paragrafo 4.8). I sintomi possono comprendere dispnea, ipossia, ipotensione, angioedema, eruzione cutanea o orticaria. Non è noto il meccanismo dell’anafilassi indotta da dimetilfumarato. Queste reazioni si verificano generalmente dopo la prima dose, ma possono comparire anche in qualsiasi momento durante il trattamento e possono essere gravi e potenzialmente pericolose per la vita. I pazienti devono essere avvertiti di sospendere dimetilfumarato e di chiedere assistenza medica immediata nel caso in cui si manifestino segni o sintomi di anafilassi. Il trattamento non deve essere ripreso (vedere paragrafo 4.8).</w:t>
      </w:r>
    </w:p>
    <w:p w14:paraId="240A85D3" w14:textId="77777777" w:rsidR="005477D4" w:rsidRPr="00136B35" w:rsidRDefault="005477D4" w:rsidP="005010FD">
      <w:pPr>
        <w:widowControl w:val="0"/>
        <w:jc w:val="both"/>
        <w:rPr>
          <w:szCs w:val="22"/>
        </w:rPr>
      </w:pPr>
    </w:p>
    <w:p w14:paraId="42BCB8A2" w14:textId="77777777" w:rsidR="005477D4" w:rsidRPr="00136B35" w:rsidRDefault="005477D4" w:rsidP="005010FD">
      <w:pPr>
        <w:widowControl w:val="0"/>
        <w:jc w:val="both"/>
        <w:rPr>
          <w:szCs w:val="22"/>
        </w:rPr>
      </w:pPr>
      <w:r w:rsidRPr="00136B35">
        <w:rPr>
          <w:szCs w:val="22"/>
          <w:u w:val="single"/>
        </w:rPr>
        <w:t>Infezioni</w:t>
      </w:r>
    </w:p>
    <w:p w14:paraId="5D03F58B" w14:textId="77777777" w:rsidR="005477D4" w:rsidRPr="00136B35" w:rsidRDefault="005477D4" w:rsidP="005010FD">
      <w:pPr>
        <w:widowControl w:val="0"/>
        <w:jc w:val="both"/>
        <w:rPr>
          <w:szCs w:val="22"/>
        </w:rPr>
      </w:pPr>
    </w:p>
    <w:p w14:paraId="7BEFB567" w14:textId="03AA2FEE" w:rsidR="005477D4" w:rsidRPr="00136B35" w:rsidRDefault="005477D4" w:rsidP="005010FD">
      <w:pPr>
        <w:widowControl w:val="0"/>
        <w:suppressLineNumbers/>
        <w:jc w:val="both"/>
        <w:rPr>
          <w:szCs w:val="22"/>
        </w:rPr>
      </w:pPr>
      <w:r w:rsidRPr="00136B35">
        <w:rPr>
          <w:szCs w:val="22"/>
        </w:rPr>
        <w:t>Negli studi di fase 3 controllati verso placebo, l’incidenza di infezioni (60% rispetto a 58%) e di infezioni gravi (2% rispetto a 2%) è risultata simile nei pazienti trattati rispettivamente con dimetilfumarato o placebo. Tuttavia, a causa delle proprietà immunomodulatorie di dimetilfumarato (vedere paragrafo 5.1), se un paziente sviluppa un’infezione grave, deve essere presa in considerazione la sospensione del trattamento con dimetilfumarato e si devono rivalutare i benefici e i rischi prima di iniziare nuovamente la terapia. I pazienti in trattamento con dimetilfumarato devono essere avvisati di segnalare i sintomi di infezioni al medico. I pazienti con infezioni gravi non devono iniziare il trattamento con dimetilfumarato fino alla risoluzione della(e) infezione(i).</w:t>
      </w:r>
    </w:p>
    <w:p w14:paraId="360F1D71" w14:textId="77777777" w:rsidR="005477D4" w:rsidRPr="00136B35" w:rsidRDefault="005477D4" w:rsidP="005010FD">
      <w:pPr>
        <w:widowControl w:val="0"/>
        <w:suppressLineNumbers/>
        <w:jc w:val="both"/>
        <w:rPr>
          <w:szCs w:val="22"/>
        </w:rPr>
      </w:pPr>
    </w:p>
    <w:p w14:paraId="7CE9369D" w14:textId="77777777" w:rsidR="005477D4" w:rsidRPr="00136B35" w:rsidRDefault="005477D4" w:rsidP="005010FD">
      <w:pPr>
        <w:widowControl w:val="0"/>
        <w:suppressLineNumbers/>
        <w:jc w:val="both"/>
        <w:rPr>
          <w:szCs w:val="22"/>
        </w:rPr>
      </w:pPr>
      <w:r w:rsidRPr="00136B35">
        <w:rPr>
          <w:szCs w:val="22"/>
        </w:rPr>
        <w:t>Non è stato osservato un incremento dell’incidenza di infezioni gravi in pazienti con conta linfocitaria &lt; 0,</w:t>
      </w:r>
      <w:r w:rsidRPr="00136B35">
        <w:rPr>
          <w:spacing w:val="-1"/>
          <w:szCs w:val="22"/>
        </w:rPr>
        <w:t>8x10</w:t>
      </w:r>
      <w:r w:rsidRPr="005010FD">
        <w:rPr>
          <w:spacing w:val="-1"/>
          <w:position w:val="9"/>
          <w:szCs w:val="22"/>
        </w:rPr>
        <w:t>9</w:t>
      </w:r>
      <w:r w:rsidRPr="00136B35">
        <w:rPr>
          <w:szCs w:val="22"/>
        </w:rPr>
        <w:t>/L o &lt; 0,</w:t>
      </w:r>
      <w:r w:rsidRPr="00136B35">
        <w:rPr>
          <w:spacing w:val="-1"/>
          <w:szCs w:val="22"/>
        </w:rPr>
        <w:t>5x10</w:t>
      </w:r>
      <w:r w:rsidRPr="005010FD">
        <w:rPr>
          <w:spacing w:val="-1"/>
          <w:position w:val="9"/>
          <w:szCs w:val="22"/>
        </w:rPr>
        <w:t>9</w:t>
      </w:r>
      <w:r w:rsidRPr="00136B35">
        <w:rPr>
          <w:szCs w:val="22"/>
        </w:rPr>
        <w:t>/L (vedere paragrafo 4.8). Qualora si prosegua la terapia in presenza di linfopenia prolungata da moderata a severa, non si può escludere il rischio di un’infezione opportunistica, compresa la PML (vedere la sezione riguardante la PML al paragrafo 4.4).</w:t>
      </w:r>
    </w:p>
    <w:p w14:paraId="19E11894" w14:textId="77777777" w:rsidR="005477D4" w:rsidRPr="00136B35" w:rsidRDefault="005477D4" w:rsidP="005010FD">
      <w:pPr>
        <w:widowControl w:val="0"/>
        <w:suppressLineNumbers/>
        <w:jc w:val="both"/>
        <w:rPr>
          <w:szCs w:val="22"/>
        </w:rPr>
      </w:pPr>
    </w:p>
    <w:p w14:paraId="6B789CD6" w14:textId="77777777" w:rsidR="005477D4" w:rsidRPr="00136B35" w:rsidRDefault="005477D4" w:rsidP="005010FD">
      <w:pPr>
        <w:pStyle w:val="HeadingUnderlined"/>
        <w:keepNext w:val="0"/>
        <w:jc w:val="both"/>
      </w:pPr>
      <w:r w:rsidRPr="00136B35">
        <w:t>Infezioni da herpes zoster</w:t>
      </w:r>
    </w:p>
    <w:p w14:paraId="0D25AAFE" w14:textId="77777777" w:rsidR="005477D4" w:rsidRPr="00136B35" w:rsidRDefault="005477D4" w:rsidP="005010FD">
      <w:pPr>
        <w:jc w:val="both"/>
        <w:rPr>
          <w:szCs w:val="22"/>
        </w:rPr>
      </w:pPr>
    </w:p>
    <w:p w14:paraId="791D7F74" w14:textId="6E43694F" w:rsidR="005477D4" w:rsidRPr="00136B35" w:rsidRDefault="005477D4" w:rsidP="005010FD">
      <w:pPr>
        <w:jc w:val="both"/>
        <w:rPr>
          <w:szCs w:val="22"/>
          <w:lang w:eastAsia="zh-CN"/>
        </w:rPr>
      </w:pPr>
      <w:r w:rsidRPr="00136B35">
        <w:rPr>
          <w:szCs w:val="22"/>
        </w:rPr>
        <w:t xml:space="preserve">Con dimetilfumarato </w:t>
      </w:r>
      <w:r w:rsidRPr="00136B35">
        <w:rPr>
          <w:szCs w:val="22"/>
          <w:lang w:eastAsia="zh-CN"/>
        </w:rPr>
        <w:t>sono stati segnalati</w:t>
      </w:r>
      <w:r w:rsidRPr="00136B35">
        <w:rPr>
          <w:szCs w:val="22"/>
        </w:rPr>
        <w:t xml:space="preserve"> casi di infezione da herpes zoster </w:t>
      </w:r>
      <w:r w:rsidRPr="00136B35">
        <w:rPr>
          <w:szCs w:val="22"/>
          <w:lang w:eastAsia="zh-CN"/>
        </w:rPr>
        <w:t>(vedere paragrafo 4.8)</w:t>
      </w:r>
      <w:r w:rsidRPr="00136B35">
        <w:rPr>
          <w:szCs w:val="22"/>
        </w:rPr>
        <w:t xml:space="preserve">. La maggior parte dei casi non era grave; tuttavia, sono stati segnalati casi gravi, inclusi herpes zoster </w:t>
      </w:r>
      <w:r w:rsidRPr="00136B35">
        <w:rPr>
          <w:szCs w:val="22"/>
        </w:rPr>
        <w:lastRenderedPageBreak/>
        <w:t xml:space="preserve">diffuso, herpes zoster oftalmico, herpes zoster otico, infezione neurologica da herpes zoster, meningoencefalite da herpes zoster e meningomielite da herpes zoster. Queste reazioni avverse  si possono verificare in qualsiasi momento durante il trattamento. </w:t>
      </w:r>
      <w:r w:rsidRPr="00136B35">
        <w:rPr>
          <w:szCs w:val="22"/>
          <w:lang w:eastAsia="zh-CN"/>
        </w:rPr>
        <w:t>I pazienti devono essere monitorati</w:t>
      </w:r>
      <w:r w:rsidRPr="00136B35">
        <w:rPr>
          <w:szCs w:val="22"/>
        </w:rPr>
        <w:t xml:space="preserve"> per la presenza di segni e sintomi di infezione da herpes zoster, soprattutto in caso di linfocitopenia concomitante. Nel caso in cui si manifesti infezione da herpes zoster, deve essere somministrato un trattamento appropriato</w:t>
      </w:r>
      <w:r w:rsidR="00DA4C45" w:rsidRPr="005010FD">
        <w:rPr>
          <w:szCs w:val="22"/>
        </w:rPr>
        <w:t xml:space="preserve"> per herpes zoster</w:t>
      </w:r>
      <w:r w:rsidRPr="00136B35">
        <w:rPr>
          <w:szCs w:val="22"/>
        </w:rPr>
        <w:t xml:space="preserve">. </w:t>
      </w:r>
      <w:r w:rsidRPr="00136B35">
        <w:rPr>
          <w:szCs w:val="22"/>
          <w:lang w:eastAsia="zh-CN"/>
        </w:rPr>
        <w:t>Deve essere presa in considerazione l'opportunità di sospendere il trattamento nei pazienti con infezioni gravi fino alla risoluzione dell'infezione (vedere paragrafo 4.8).</w:t>
      </w:r>
    </w:p>
    <w:p w14:paraId="14E691F6" w14:textId="77777777" w:rsidR="005477D4" w:rsidRPr="00136B35" w:rsidRDefault="005477D4" w:rsidP="005010FD">
      <w:pPr>
        <w:jc w:val="both"/>
        <w:rPr>
          <w:szCs w:val="22"/>
        </w:rPr>
      </w:pPr>
    </w:p>
    <w:p w14:paraId="6C7A4722" w14:textId="77777777" w:rsidR="005477D4" w:rsidRPr="00136B35" w:rsidRDefault="005477D4" w:rsidP="005010FD">
      <w:pPr>
        <w:pStyle w:val="HeadingUnderlined"/>
        <w:jc w:val="both"/>
      </w:pPr>
      <w:r w:rsidRPr="00136B35">
        <w:t>Inizio del trattamento</w:t>
      </w:r>
    </w:p>
    <w:p w14:paraId="2A07C91B" w14:textId="77777777" w:rsidR="005477D4" w:rsidRPr="00136B35" w:rsidRDefault="005477D4" w:rsidP="005010FD">
      <w:pPr>
        <w:keepNext/>
        <w:jc w:val="both"/>
        <w:rPr>
          <w:szCs w:val="22"/>
        </w:rPr>
      </w:pPr>
    </w:p>
    <w:p w14:paraId="07BADE10" w14:textId="4FAE12A2" w:rsidR="005477D4" w:rsidRPr="00136B35" w:rsidRDefault="005477D4" w:rsidP="005010FD">
      <w:pPr>
        <w:jc w:val="both"/>
        <w:rPr>
          <w:szCs w:val="22"/>
        </w:rPr>
      </w:pPr>
      <w:r w:rsidRPr="00136B35">
        <w:rPr>
          <w:szCs w:val="22"/>
        </w:rPr>
        <w:t>Il trattamento deve essere iniziato gradualmente, per ridurre l’insorgenza di rossore e di reazioni avverse gastrointestinali (vedere paragrafo 4.2).</w:t>
      </w:r>
    </w:p>
    <w:p w14:paraId="26E5C9B5" w14:textId="77777777" w:rsidR="005477D4" w:rsidRPr="00136B35" w:rsidRDefault="005477D4" w:rsidP="005010FD">
      <w:pPr>
        <w:widowControl w:val="0"/>
        <w:suppressLineNumbers/>
        <w:jc w:val="both"/>
        <w:rPr>
          <w:szCs w:val="22"/>
        </w:rPr>
      </w:pPr>
    </w:p>
    <w:p w14:paraId="5877D994" w14:textId="77777777" w:rsidR="005477D4" w:rsidRPr="00136B35" w:rsidRDefault="005477D4" w:rsidP="005010FD">
      <w:pPr>
        <w:pStyle w:val="HeadingUnderlined"/>
        <w:jc w:val="both"/>
      </w:pPr>
      <w:r w:rsidRPr="00136B35">
        <w:t>Sindrome di Fanconi</w:t>
      </w:r>
    </w:p>
    <w:p w14:paraId="08E2DEC8" w14:textId="77777777" w:rsidR="005477D4" w:rsidRPr="00136B35" w:rsidRDefault="005477D4" w:rsidP="005010FD">
      <w:pPr>
        <w:jc w:val="both"/>
        <w:rPr>
          <w:szCs w:val="22"/>
        </w:rPr>
      </w:pPr>
    </w:p>
    <w:p w14:paraId="0289543C" w14:textId="77777777" w:rsidR="005477D4" w:rsidRPr="00136B35" w:rsidRDefault="005477D4" w:rsidP="005010FD">
      <w:pPr>
        <w:jc w:val="both"/>
        <w:rPr>
          <w:szCs w:val="22"/>
        </w:rPr>
      </w:pPr>
      <w:r w:rsidRPr="00136B35">
        <w:rPr>
          <w:szCs w:val="22"/>
        </w:rPr>
        <w:t>Sono stati riportati casi di sindrome di Fanconi con l'uso di un medicinale contenente dimetilfumarato in associazione ad altri esteri dell'acido fumarico. La diagnosi precoce della sindrome di Fanconi e l'interruzione del trattamento con dimetilfumarato sono importanti per prevenire l'insorgenza di compromissione renale e osteomalacia, poiché la sindrome è generalmente reversibile. I segni più importanti sono proteinuria, glicosuria (con livelli glicemici normali), iperaminoaciduria e fosfaturia (possibilmente concomitante con ipofosfatemia). La progressione può comprendere sintomi, quali poliuria, polidipsia e debolezza muscolare prossimale. In casi rari, si possono verificare osteomalacia ipofosfatemica con dolore osseo non localizzato, livelli elevati di fosfatasi alcalina nel siero e fratture da stress. Ancor più importante, la sindrome di Fanconi può manifestarsi senza essere accompagnata da livelli elevati di creatinina o velocità di filtrazione glomerulare bassa. In caso di sintomi dubbi, si deve prendere in considerazione la sindrome di Fanconi e devono essere eseguiti esami appropriati.</w:t>
      </w:r>
    </w:p>
    <w:p w14:paraId="1B259853" w14:textId="77777777" w:rsidR="005477D4" w:rsidRPr="00136B35" w:rsidRDefault="005477D4" w:rsidP="005010FD">
      <w:pPr>
        <w:pStyle w:val="Standard1"/>
        <w:autoSpaceDE w:val="0"/>
        <w:autoSpaceDN w:val="0"/>
        <w:adjustRightInd w:val="0"/>
        <w:jc w:val="both"/>
        <w:rPr>
          <w:szCs w:val="22"/>
        </w:rPr>
      </w:pPr>
    </w:p>
    <w:p w14:paraId="0C517A6D" w14:textId="77777777" w:rsidR="005477D4" w:rsidRPr="005010FD" w:rsidRDefault="005477D4" w:rsidP="005010FD">
      <w:pPr>
        <w:jc w:val="both"/>
        <w:rPr>
          <w:szCs w:val="22"/>
          <w:u w:val="single"/>
        </w:rPr>
      </w:pPr>
      <w:r w:rsidRPr="00136B35">
        <w:rPr>
          <w:szCs w:val="22"/>
          <w:u w:val="single"/>
        </w:rPr>
        <w:t>Eccipienti</w:t>
      </w:r>
    </w:p>
    <w:p w14:paraId="2CD26C02" w14:textId="77777777" w:rsidR="005477D4" w:rsidRPr="00136B35" w:rsidRDefault="005477D4" w:rsidP="005010FD">
      <w:pPr>
        <w:jc w:val="both"/>
        <w:rPr>
          <w:szCs w:val="22"/>
        </w:rPr>
      </w:pPr>
    </w:p>
    <w:p w14:paraId="1F865C59" w14:textId="77777777" w:rsidR="005477D4" w:rsidRPr="00136B35" w:rsidRDefault="005477D4" w:rsidP="005010FD">
      <w:pPr>
        <w:jc w:val="both"/>
        <w:rPr>
          <w:szCs w:val="22"/>
        </w:rPr>
      </w:pPr>
      <w:r w:rsidRPr="00136B35">
        <w:rPr>
          <w:szCs w:val="22"/>
        </w:rPr>
        <w:t>Questo medicinale contiene meno di 1 mmol (23 mg) di sodio per capsula, cioè essenzialmente ‘senza sodio’.</w:t>
      </w:r>
    </w:p>
    <w:p w14:paraId="00919116" w14:textId="77777777" w:rsidR="005477D4" w:rsidRPr="00136B35" w:rsidRDefault="005477D4" w:rsidP="005010FD">
      <w:pPr>
        <w:widowControl w:val="0"/>
        <w:suppressLineNumbers/>
        <w:jc w:val="both"/>
        <w:rPr>
          <w:szCs w:val="22"/>
        </w:rPr>
      </w:pPr>
    </w:p>
    <w:p w14:paraId="6B77A8CB" w14:textId="77777777" w:rsidR="005477D4" w:rsidRPr="00136B35" w:rsidRDefault="005477D4" w:rsidP="005010FD">
      <w:pPr>
        <w:keepNext/>
        <w:keepLines/>
        <w:jc w:val="both"/>
        <w:rPr>
          <w:b/>
          <w:szCs w:val="22"/>
        </w:rPr>
      </w:pPr>
      <w:r w:rsidRPr="00136B35">
        <w:rPr>
          <w:b/>
          <w:szCs w:val="22"/>
        </w:rPr>
        <w:t>4.5</w:t>
      </w:r>
      <w:r w:rsidRPr="00136B35">
        <w:rPr>
          <w:b/>
          <w:szCs w:val="22"/>
        </w:rPr>
        <w:tab/>
        <w:t>Interazioni con altri medicinali ed altre forme d’interazione</w:t>
      </w:r>
    </w:p>
    <w:p w14:paraId="68936F9A" w14:textId="77777777" w:rsidR="005477D4" w:rsidRPr="005010FD" w:rsidRDefault="005477D4" w:rsidP="005010FD">
      <w:pPr>
        <w:keepNext/>
        <w:keepLines/>
        <w:jc w:val="both"/>
        <w:rPr>
          <w:b/>
          <w:szCs w:val="22"/>
          <w:u w:val="single"/>
        </w:rPr>
      </w:pPr>
    </w:p>
    <w:p w14:paraId="7B2D5610" w14:textId="77777777" w:rsidR="005477D4" w:rsidRPr="005010FD" w:rsidRDefault="005477D4" w:rsidP="005010FD">
      <w:pPr>
        <w:keepNext/>
        <w:keepLines/>
        <w:jc w:val="both"/>
        <w:rPr>
          <w:bCs/>
          <w:szCs w:val="22"/>
          <w:u w:val="single"/>
        </w:rPr>
      </w:pPr>
      <w:r w:rsidRPr="005010FD">
        <w:rPr>
          <w:bCs/>
          <w:szCs w:val="22"/>
          <w:u w:val="single"/>
        </w:rPr>
        <w:t>Terapie antineoplastiche, immunosoppressive o con corticosteroidi</w:t>
      </w:r>
    </w:p>
    <w:p w14:paraId="154B8BF7" w14:textId="77777777" w:rsidR="005477D4" w:rsidRPr="00136B35" w:rsidRDefault="005477D4" w:rsidP="005010FD">
      <w:pPr>
        <w:keepNext/>
        <w:keepLines/>
        <w:jc w:val="both"/>
        <w:rPr>
          <w:szCs w:val="22"/>
        </w:rPr>
      </w:pPr>
    </w:p>
    <w:p w14:paraId="0E4548CB" w14:textId="77777777" w:rsidR="005477D4" w:rsidRPr="00136B35" w:rsidRDefault="005477D4" w:rsidP="005010FD">
      <w:pPr>
        <w:keepNext/>
        <w:keepLines/>
        <w:jc w:val="both"/>
        <w:rPr>
          <w:szCs w:val="22"/>
        </w:rPr>
      </w:pPr>
      <w:r w:rsidRPr="00136B35">
        <w:rPr>
          <w:szCs w:val="22"/>
        </w:rPr>
        <w:t>Dimetilfumarato non è stato studiato in associazione a terapie antineoplastiche o immunosoppressive ed è perciò necessario usare cautela durante la somministrazione concomitante. Negli studi clinici sulla sclerosi multipla, il trattamento concomitante delle recidive con un breve ciclo di corticosteroidi somministrati per via endovenosa non è stato associato ad un aumento clinicamente rilevante dell’infezione.</w:t>
      </w:r>
    </w:p>
    <w:p w14:paraId="130640DB" w14:textId="77777777" w:rsidR="005477D4" w:rsidRPr="00136B35" w:rsidRDefault="005477D4" w:rsidP="005010FD">
      <w:pPr>
        <w:keepNext/>
        <w:keepLines/>
        <w:jc w:val="both"/>
        <w:rPr>
          <w:szCs w:val="22"/>
        </w:rPr>
      </w:pPr>
    </w:p>
    <w:p w14:paraId="71F2D25E" w14:textId="77777777" w:rsidR="005477D4" w:rsidRPr="00136B35" w:rsidRDefault="005477D4" w:rsidP="005010FD">
      <w:pPr>
        <w:keepNext/>
        <w:keepLines/>
        <w:jc w:val="both"/>
        <w:rPr>
          <w:szCs w:val="22"/>
        </w:rPr>
      </w:pPr>
      <w:r w:rsidRPr="00136B35">
        <w:rPr>
          <w:szCs w:val="22"/>
        </w:rPr>
        <w:t>Vaccini</w:t>
      </w:r>
    </w:p>
    <w:p w14:paraId="0B7D64ED" w14:textId="77777777" w:rsidR="005477D4" w:rsidRPr="00136B35" w:rsidRDefault="005477D4" w:rsidP="005010FD">
      <w:pPr>
        <w:widowControl w:val="0"/>
        <w:jc w:val="both"/>
        <w:rPr>
          <w:szCs w:val="22"/>
        </w:rPr>
      </w:pPr>
    </w:p>
    <w:p w14:paraId="6495867A" w14:textId="0D3CF9DE" w:rsidR="005477D4" w:rsidRPr="00136B35" w:rsidRDefault="005477D4" w:rsidP="005010FD">
      <w:pPr>
        <w:widowControl w:val="0"/>
        <w:suppressLineNumbers/>
        <w:jc w:val="both"/>
        <w:rPr>
          <w:szCs w:val="22"/>
        </w:rPr>
      </w:pPr>
      <w:r w:rsidRPr="00136B35">
        <w:rPr>
          <w:szCs w:val="22"/>
        </w:rPr>
        <w:t>La co-somministrazione di vaccini non vivi, secondo il programma di vaccinazione nazionale, può essere presa in considerazione durante la terapia con dimetilfumarato. In uno studio clinico che ha coinvolto in totale 71 pazienti con SMRR, nei pazienti trattati con dimetilfumarato 240 mg due volte al giorno per almeno 6 mesi (n = 38) o interferone non pegilato per almeno 3 mesi (n = 33) è insorta una risposta immunitaria paragonabile (definita come un aumento ≥ 2 volte dal titolo pre-vaccinazione a quello post-vaccinazione) al tossoide tetanico (antigene di richiamo) e a un vaccino antimeningococcico polisaccaridico C coniugato (neoantigene), mentre la risposta immunitaria a diversi sierotipi di un vaccino antipneumococcico polisaccaridico 23-valente non coniugato (antigene T-indipendente) variava in entrambi i gruppi di trattamento. Una risposta immunitaria positiva, definita come aumento ≥ 4 volte del titolo anticorpale ai tre vaccini, è stata raggiunta da un minore numero di soggetti in entrambi i gruppi di trattamento. Piccole differenze numeriche nella risposta al tossoide tetanico e al polisaccaride pneumococcico sierotipo 3 sono state notate a favore di interferone non pegilato.</w:t>
      </w:r>
    </w:p>
    <w:p w14:paraId="5754E0DE" w14:textId="77777777" w:rsidR="005477D4" w:rsidRPr="00136B35" w:rsidRDefault="005477D4" w:rsidP="005010FD">
      <w:pPr>
        <w:widowControl w:val="0"/>
        <w:suppressLineNumbers/>
        <w:jc w:val="both"/>
        <w:rPr>
          <w:szCs w:val="22"/>
        </w:rPr>
      </w:pPr>
    </w:p>
    <w:p w14:paraId="6E4389B9" w14:textId="77777777" w:rsidR="005477D4" w:rsidRPr="00136B35" w:rsidRDefault="005477D4" w:rsidP="005010FD">
      <w:pPr>
        <w:jc w:val="both"/>
        <w:rPr>
          <w:szCs w:val="22"/>
        </w:rPr>
      </w:pPr>
      <w:r w:rsidRPr="00136B35">
        <w:rPr>
          <w:szCs w:val="22"/>
        </w:rPr>
        <w:t>Non sono disponibili dati clinici sull’efficacia e sulla sicurezza di vaccini vivi attenuati nei pazienti trattati con dimetilfumarato. I vaccini vivi potrebbero comportare un maggiore rischio di infezione clinica e non devono essere somministrati a pazienti trattati con dimetilfumarato a meno che, in casi eccezionali, questo rischio potenziale sia considerato meno importante del rischio della mancata vaccinazione per l’individuo.</w:t>
      </w:r>
    </w:p>
    <w:p w14:paraId="30077FAF" w14:textId="77777777" w:rsidR="005477D4" w:rsidRPr="00136B35" w:rsidRDefault="005477D4" w:rsidP="005010FD">
      <w:pPr>
        <w:widowControl w:val="0"/>
        <w:jc w:val="both"/>
        <w:rPr>
          <w:szCs w:val="22"/>
        </w:rPr>
      </w:pPr>
    </w:p>
    <w:p w14:paraId="2ABA319F" w14:textId="77777777" w:rsidR="005477D4" w:rsidRPr="00136B35" w:rsidRDefault="005477D4" w:rsidP="005010FD">
      <w:pPr>
        <w:widowControl w:val="0"/>
        <w:jc w:val="both"/>
        <w:rPr>
          <w:szCs w:val="22"/>
        </w:rPr>
      </w:pPr>
    </w:p>
    <w:p w14:paraId="440E5A75" w14:textId="77777777" w:rsidR="005477D4" w:rsidRPr="005010FD" w:rsidRDefault="005477D4" w:rsidP="005010FD">
      <w:pPr>
        <w:widowControl w:val="0"/>
        <w:jc w:val="both"/>
        <w:rPr>
          <w:szCs w:val="22"/>
          <w:u w:val="single"/>
        </w:rPr>
      </w:pPr>
      <w:r w:rsidRPr="005010FD">
        <w:rPr>
          <w:szCs w:val="22"/>
          <w:u w:val="single"/>
        </w:rPr>
        <w:t>Altri derivati dell’acido fumarico</w:t>
      </w:r>
    </w:p>
    <w:p w14:paraId="75B10F18" w14:textId="77777777" w:rsidR="005477D4" w:rsidRPr="00136B35" w:rsidRDefault="005477D4" w:rsidP="005010FD">
      <w:pPr>
        <w:widowControl w:val="0"/>
        <w:jc w:val="both"/>
        <w:rPr>
          <w:szCs w:val="22"/>
        </w:rPr>
      </w:pPr>
    </w:p>
    <w:p w14:paraId="249D0EB2" w14:textId="77777777" w:rsidR="005477D4" w:rsidRPr="00136B35" w:rsidRDefault="005477D4" w:rsidP="005010FD">
      <w:pPr>
        <w:widowControl w:val="0"/>
        <w:jc w:val="both"/>
        <w:rPr>
          <w:szCs w:val="22"/>
        </w:rPr>
      </w:pPr>
      <w:r w:rsidRPr="00136B35">
        <w:rPr>
          <w:szCs w:val="22"/>
        </w:rPr>
        <w:t>Durante il trattamento con dimetilfumarato, deve essere evitato l’utilizzo concomitante di altri derivati dell’acido fumarico (topici o sistemici).</w:t>
      </w:r>
    </w:p>
    <w:p w14:paraId="3849899F" w14:textId="77777777" w:rsidR="005477D4" w:rsidRPr="00136B35" w:rsidRDefault="005477D4" w:rsidP="005010FD">
      <w:pPr>
        <w:widowControl w:val="0"/>
        <w:jc w:val="both"/>
        <w:rPr>
          <w:szCs w:val="22"/>
        </w:rPr>
      </w:pPr>
    </w:p>
    <w:p w14:paraId="7831731F" w14:textId="77777777" w:rsidR="005477D4" w:rsidRPr="00136B35" w:rsidRDefault="005477D4" w:rsidP="005010FD">
      <w:pPr>
        <w:jc w:val="both"/>
        <w:rPr>
          <w:szCs w:val="22"/>
        </w:rPr>
      </w:pPr>
      <w:r w:rsidRPr="00136B35">
        <w:rPr>
          <w:szCs w:val="22"/>
        </w:rPr>
        <w:t xml:space="preserve">Nell’uomo, il dimetilfumarato viene ampiamente metabolizzato dalle esterasi prima di raggiungere la circolazione sistemica e un ulteriore metabolismo avviene attraverso il ciclo dell’acido tricarbossilico, senza alcun coinvolgimento del sistema del citocromo P450 (CYP). Non sono stati identificati potenziali rischi di interazioni farmacologiche dagli studi </w:t>
      </w:r>
      <w:r w:rsidRPr="00136B35">
        <w:rPr>
          <w:i/>
          <w:szCs w:val="22"/>
        </w:rPr>
        <w:t>in vitro</w:t>
      </w:r>
      <w:r w:rsidRPr="00136B35">
        <w:rPr>
          <w:szCs w:val="22"/>
        </w:rPr>
        <w:t xml:space="preserve"> dell’inibizione e dell’induzione del CYP, da uno studio delle p-glicoproteine o dagli studi del legame con le proteine di dimetilfumarato e monometilfumarato (un metabolita primario di dimetilfumarato).</w:t>
      </w:r>
    </w:p>
    <w:p w14:paraId="1C1A6EB7" w14:textId="77777777" w:rsidR="005477D4" w:rsidRPr="00136B35" w:rsidRDefault="005477D4" w:rsidP="005010FD">
      <w:pPr>
        <w:widowControl w:val="0"/>
        <w:jc w:val="both"/>
        <w:rPr>
          <w:szCs w:val="22"/>
        </w:rPr>
      </w:pPr>
    </w:p>
    <w:p w14:paraId="3D161F19" w14:textId="77777777" w:rsidR="005477D4" w:rsidRPr="00136B35" w:rsidRDefault="005477D4" w:rsidP="005010FD">
      <w:pPr>
        <w:widowControl w:val="0"/>
        <w:jc w:val="both"/>
        <w:rPr>
          <w:szCs w:val="22"/>
        </w:rPr>
      </w:pPr>
      <w:r w:rsidRPr="00136B35">
        <w:rPr>
          <w:szCs w:val="22"/>
        </w:rPr>
        <w:t>Effetti di altre sostanze su dimetilfumarato</w:t>
      </w:r>
    </w:p>
    <w:p w14:paraId="14B3D9E7" w14:textId="77777777" w:rsidR="005477D4" w:rsidRPr="00136B35" w:rsidRDefault="005477D4" w:rsidP="005010FD">
      <w:pPr>
        <w:widowControl w:val="0"/>
        <w:jc w:val="both"/>
        <w:rPr>
          <w:szCs w:val="22"/>
        </w:rPr>
      </w:pPr>
    </w:p>
    <w:p w14:paraId="52BB21E6" w14:textId="77777777" w:rsidR="005477D4" w:rsidRPr="00136B35" w:rsidRDefault="005477D4" w:rsidP="005010FD">
      <w:pPr>
        <w:widowControl w:val="0"/>
        <w:jc w:val="both"/>
        <w:rPr>
          <w:szCs w:val="22"/>
        </w:rPr>
      </w:pPr>
      <w:r w:rsidRPr="00136B35">
        <w:rPr>
          <w:szCs w:val="22"/>
        </w:rPr>
        <w:t>Medicinali comunemente utilizzati nei pazienti con sclerosi multipla, quali interferone beta-1a somministrato per via intramuscolare e glatiramer acetato, sono stati testati clinicamente per le interazioni potenziali con dimetilfumarato e non hanno modificato il profilo farmacocinetico di dimetilfumarato.</w:t>
      </w:r>
    </w:p>
    <w:p w14:paraId="70104A1F" w14:textId="77777777" w:rsidR="005477D4" w:rsidRPr="00136B35" w:rsidRDefault="005477D4" w:rsidP="005010FD">
      <w:pPr>
        <w:widowControl w:val="0"/>
        <w:jc w:val="both"/>
        <w:rPr>
          <w:szCs w:val="22"/>
        </w:rPr>
      </w:pPr>
    </w:p>
    <w:p w14:paraId="3BF871BC" w14:textId="774A6D45" w:rsidR="005477D4" w:rsidRPr="00136B35" w:rsidRDefault="005477D4" w:rsidP="005010FD">
      <w:pPr>
        <w:jc w:val="both"/>
        <w:rPr>
          <w:szCs w:val="22"/>
        </w:rPr>
      </w:pPr>
      <w:r w:rsidRPr="00136B35">
        <w:rPr>
          <w:szCs w:val="22"/>
        </w:rPr>
        <w:t>Le evidenze derivate da studi condotti su volontari sani suggeriscono che il rossore associato a dimetilfumarato è probabilmente mediato dalle prostaglandine. In due studi condotti su volontari sani, la somministrazione di 325 mg (o equivalente) di acido acetilsalicilico senza rivestimento enterico, 30 minuti prima di dimetilfumarato, con assunzione rispettivamente nel corso di 4 giorni e nel corso di 4 settimane, non ha modificato il profilo farmacocinetico di dimetilfumarato. I potenziali rischi associati alla terapia con acido acetilsalicilico devono essere considerati prima della co-somministrazione con dimetilfumarato nei pazienti con SMRR. L’uso continuativo a lungo termine (&gt; 4 settimane) di acido acetilsalicilico non è stato studiato (vedere paragrafi 4.4 e 4.8).</w:t>
      </w:r>
    </w:p>
    <w:p w14:paraId="4530177B" w14:textId="77777777" w:rsidR="005477D4" w:rsidRPr="00136B35" w:rsidRDefault="005477D4" w:rsidP="005010FD">
      <w:pPr>
        <w:widowControl w:val="0"/>
        <w:jc w:val="both"/>
        <w:rPr>
          <w:szCs w:val="22"/>
        </w:rPr>
      </w:pPr>
    </w:p>
    <w:p w14:paraId="6101AFE2" w14:textId="77777777" w:rsidR="005477D4" w:rsidRPr="00136B35" w:rsidRDefault="005477D4" w:rsidP="005010FD">
      <w:pPr>
        <w:widowControl w:val="0"/>
        <w:jc w:val="both"/>
        <w:rPr>
          <w:szCs w:val="22"/>
        </w:rPr>
      </w:pPr>
      <w:r w:rsidRPr="00136B35">
        <w:rPr>
          <w:szCs w:val="22"/>
        </w:rPr>
        <w:t>La terapia concomitante con medicinali nefrotossici (come aminoglicosidi, diuretici, antinfiammatori non steroidei o litio) può aumentare la possibilità di reazioni avverse renali (ad es. proteinuria, vedere paragrafo 4.8) nei pazienti trattati con dimetilfumarato (vedere paragrafo 4.4 Esami del sangue/analisi di laboratorio).</w:t>
      </w:r>
    </w:p>
    <w:p w14:paraId="18C56804" w14:textId="77777777" w:rsidR="005477D4" w:rsidRPr="00136B35" w:rsidRDefault="005477D4" w:rsidP="005010FD">
      <w:pPr>
        <w:widowControl w:val="0"/>
        <w:jc w:val="both"/>
        <w:rPr>
          <w:szCs w:val="22"/>
        </w:rPr>
      </w:pPr>
    </w:p>
    <w:p w14:paraId="68341F0B" w14:textId="77777777" w:rsidR="005477D4" w:rsidRPr="00136B35" w:rsidRDefault="005477D4" w:rsidP="005010FD">
      <w:pPr>
        <w:jc w:val="both"/>
        <w:rPr>
          <w:szCs w:val="22"/>
        </w:rPr>
      </w:pPr>
      <w:r w:rsidRPr="00136B35">
        <w:rPr>
          <w:szCs w:val="22"/>
        </w:rPr>
        <w:t>Il consumo di quantità moderate di alcol non ha modificato l’esposizione a dimetilfumarato e non è stato associato ad un aumento delle reazioni avverse. Il consumo di elevate quantità di bevande ad alto tasso alcolico (più del 30% di alcol in volume) deve essere evitato entro un’ora dall’assunzione di dimetilfumarato, in quanto l’alcol può provocare un aumento della frequenza delle reazioni avverse gastrointestinali.</w:t>
      </w:r>
    </w:p>
    <w:p w14:paraId="3297CEAD" w14:textId="77777777" w:rsidR="005477D4" w:rsidRPr="00136B35" w:rsidRDefault="005477D4" w:rsidP="005010FD">
      <w:pPr>
        <w:jc w:val="both"/>
        <w:rPr>
          <w:szCs w:val="22"/>
        </w:rPr>
      </w:pPr>
    </w:p>
    <w:p w14:paraId="04E088FC" w14:textId="77777777" w:rsidR="005477D4" w:rsidRPr="00136B35" w:rsidRDefault="005477D4" w:rsidP="005010FD">
      <w:pPr>
        <w:jc w:val="both"/>
        <w:rPr>
          <w:szCs w:val="22"/>
        </w:rPr>
      </w:pPr>
      <w:r w:rsidRPr="00136B35">
        <w:rPr>
          <w:szCs w:val="22"/>
        </w:rPr>
        <w:t xml:space="preserve">Effetti di </w:t>
      </w:r>
      <w:r w:rsidRPr="005010FD">
        <w:rPr>
          <w:szCs w:val="22"/>
          <w:u w:val="single"/>
        </w:rPr>
        <w:t>dimetilfumarato su altre sostanze</w:t>
      </w:r>
    </w:p>
    <w:p w14:paraId="34F3DF9F" w14:textId="77777777" w:rsidR="005477D4" w:rsidRPr="00136B35" w:rsidRDefault="005477D4" w:rsidP="005010FD">
      <w:pPr>
        <w:jc w:val="both"/>
        <w:rPr>
          <w:szCs w:val="22"/>
        </w:rPr>
      </w:pPr>
    </w:p>
    <w:p w14:paraId="0AD6B9D2" w14:textId="7D4EF609" w:rsidR="005477D4" w:rsidRPr="00136B35" w:rsidRDefault="005477D4" w:rsidP="005010FD">
      <w:pPr>
        <w:jc w:val="both"/>
        <w:rPr>
          <w:szCs w:val="22"/>
        </w:rPr>
      </w:pPr>
      <w:r w:rsidRPr="00136B35">
        <w:rPr>
          <w:szCs w:val="22"/>
        </w:rPr>
        <w:t xml:space="preserve">Gli studi </w:t>
      </w:r>
      <w:r w:rsidRPr="00136B35">
        <w:rPr>
          <w:i/>
          <w:szCs w:val="22"/>
        </w:rPr>
        <w:t>in vitro</w:t>
      </w:r>
      <w:r w:rsidRPr="00136B35">
        <w:rPr>
          <w:szCs w:val="22"/>
        </w:rPr>
        <w:t xml:space="preserve"> dell’induzione del CYP non hanno dimostrato un’interazione tra dimetilfumarato e i contraccettivi orali. In uno studio </w:t>
      </w:r>
      <w:r w:rsidRPr="00136B35">
        <w:rPr>
          <w:i/>
          <w:szCs w:val="22"/>
        </w:rPr>
        <w:t>in vivo</w:t>
      </w:r>
      <w:r w:rsidRPr="00136B35">
        <w:rPr>
          <w:szCs w:val="22"/>
        </w:rPr>
        <w:t>, la somministrazione concomitante di dimetilfumarato e di un contraccettivo orale combinato (norgestimato ed etinilestradiolo) non ha determinato variazioni rilevanti nell’esposizione al contraccettivo orale. Studi d’interazione con contraccettivi orali contenenti altri progestinici non sono stati effettuati, tuttavia non è atteso un effetto di dimetilfumarato sulla loro esposizione.</w:t>
      </w:r>
    </w:p>
    <w:p w14:paraId="6AA365B5" w14:textId="77777777" w:rsidR="005477D4" w:rsidRPr="00136B35" w:rsidRDefault="005477D4" w:rsidP="005010FD">
      <w:pPr>
        <w:widowControl w:val="0"/>
        <w:jc w:val="both"/>
        <w:rPr>
          <w:szCs w:val="22"/>
          <w:u w:val="single"/>
        </w:rPr>
      </w:pPr>
    </w:p>
    <w:p w14:paraId="1981C858" w14:textId="77777777" w:rsidR="005477D4" w:rsidRPr="00136B35" w:rsidRDefault="005477D4" w:rsidP="005010FD">
      <w:pPr>
        <w:widowControl w:val="0"/>
        <w:jc w:val="both"/>
        <w:rPr>
          <w:szCs w:val="22"/>
          <w:u w:val="single"/>
        </w:rPr>
      </w:pPr>
      <w:r w:rsidRPr="00136B35">
        <w:rPr>
          <w:szCs w:val="22"/>
          <w:u w:val="single"/>
        </w:rPr>
        <w:t>Popolazione pediatrica</w:t>
      </w:r>
    </w:p>
    <w:p w14:paraId="22EF878D" w14:textId="77777777" w:rsidR="005477D4" w:rsidRPr="00136B35" w:rsidRDefault="005477D4" w:rsidP="005010FD">
      <w:pPr>
        <w:widowControl w:val="0"/>
        <w:jc w:val="both"/>
        <w:rPr>
          <w:szCs w:val="22"/>
          <w:u w:val="single"/>
        </w:rPr>
      </w:pPr>
    </w:p>
    <w:p w14:paraId="5A2FECCF" w14:textId="77777777" w:rsidR="005477D4" w:rsidRPr="00136B35" w:rsidRDefault="005477D4" w:rsidP="005010FD">
      <w:pPr>
        <w:widowControl w:val="0"/>
        <w:jc w:val="both"/>
        <w:rPr>
          <w:szCs w:val="22"/>
        </w:rPr>
      </w:pPr>
      <w:r w:rsidRPr="00136B35">
        <w:rPr>
          <w:szCs w:val="22"/>
        </w:rPr>
        <w:t>Sono stati effettuati studi d’interazione solo negli adulti.</w:t>
      </w:r>
    </w:p>
    <w:p w14:paraId="7B9CB110" w14:textId="77777777" w:rsidR="005477D4" w:rsidRPr="00136B35" w:rsidRDefault="005477D4" w:rsidP="005010FD">
      <w:pPr>
        <w:widowControl w:val="0"/>
        <w:jc w:val="both"/>
        <w:rPr>
          <w:szCs w:val="22"/>
        </w:rPr>
      </w:pPr>
    </w:p>
    <w:p w14:paraId="4541BA48" w14:textId="77777777" w:rsidR="005477D4" w:rsidRPr="00136B35" w:rsidRDefault="005477D4" w:rsidP="005010FD">
      <w:pPr>
        <w:keepNext/>
        <w:widowControl w:val="0"/>
        <w:ind w:left="567" w:hanging="567"/>
        <w:jc w:val="both"/>
        <w:rPr>
          <w:b/>
          <w:szCs w:val="22"/>
        </w:rPr>
      </w:pPr>
      <w:r w:rsidRPr="00136B35">
        <w:rPr>
          <w:b/>
          <w:szCs w:val="22"/>
        </w:rPr>
        <w:t>4.6</w:t>
      </w:r>
      <w:r w:rsidRPr="00136B35">
        <w:rPr>
          <w:b/>
          <w:szCs w:val="22"/>
        </w:rPr>
        <w:tab/>
        <w:t>Fertilità, gravidanza e allattamento</w:t>
      </w:r>
    </w:p>
    <w:p w14:paraId="05944596" w14:textId="77777777" w:rsidR="005477D4" w:rsidRPr="00136B35" w:rsidRDefault="005477D4" w:rsidP="005010FD">
      <w:pPr>
        <w:keepNext/>
        <w:widowControl w:val="0"/>
        <w:jc w:val="both"/>
        <w:rPr>
          <w:szCs w:val="22"/>
        </w:rPr>
      </w:pPr>
    </w:p>
    <w:p w14:paraId="243E2E69" w14:textId="77777777" w:rsidR="005477D4" w:rsidRPr="00136B35" w:rsidRDefault="005477D4" w:rsidP="005010FD">
      <w:pPr>
        <w:widowControl w:val="0"/>
        <w:jc w:val="both"/>
        <w:rPr>
          <w:szCs w:val="22"/>
          <w:u w:val="single"/>
        </w:rPr>
      </w:pPr>
      <w:r w:rsidRPr="00136B35">
        <w:rPr>
          <w:szCs w:val="22"/>
          <w:u w:val="single"/>
        </w:rPr>
        <w:t>Gravidanza</w:t>
      </w:r>
    </w:p>
    <w:p w14:paraId="4F8C7619" w14:textId="77777777" w:rsidR="00877306" w:rsidRPr="00136B35" w:rsidRDefault="00877306" w:rsidP="00877306">
      <w:pPr>
        <w:widowControl w:val="0"/>
        <w:jc w:val="both"/>
        <w:rPr>
          <w:szCs w:val="22"/>
        </w:rPr>
      </w:pPr>
    </w:p>
    <w:p w14:paraId="5A9B8861" w14:textId="6041166A" w:rsidR="00877306" w:rsidRPr="00136B35" w:rsidRDefault="00877306" w:rsidP="00877306">
      <w:pPr>
        <w:widowControl w:val="0"/>
        <w:jc w:val="both"/>
        <w:rPr>
          <w:szCs w:val="22"/>
        </w:rPr>
      </w:pPr>
      <w:r w:rsidRPr="00136B35">
        <w:rPr>
          <w:szCs w:val="22"/>
        </w:rPr>
        <w:t>I dati sull'uso del dimetilfumarato nelle donne in gravidanza sono assenti o limitati. Gli studi sugli animali hanno evidenziato una tossicità riproduttiva (vedere paragrafo 5.3). Il dimetilfumarato non è raccomandato durante la gravidanza e nelle donne con potenziale fertile che non utilizzano una contraccezione adeguata (vedere paragrafo 4.5). Il dimetil fumarato deve essere usato in gravidanza solo in caso di evidente necessità e se il potenziale beneficio giustifica il potenziale rischio per il feto.</w:t>
      </w:r>
    </w:p>
    <w:p w14:paraId="1BCBCF47" w14:textId="77777777" w:rsidR="00877306" w:rsidRPr="00136B35" w:rsidRDefault="00877306" w:rsidP="00877306">
      <w:pPr>
        <w:widowControl w:val="0"/>
        <w:jc w:val="both"/>
        <w:rPr>
          <w:szCs w:val="22"/>
        </w:rPr>
      </w:pPr>
    </w:p>
    <w:p w14:paraId="673A6A7C" w14:textId="77777777" w:rsidR="005477D4" w:rsidRPr="00136B35" w:rsidRDefault="005477D4" w:rsidP="005010FD">
      <w:pPr>
        <w:widowControl w:val="0"/>
        <w:jc w:val="both"/>
        <w:rPr>
          <w:szCs w:val="22"/>
        </w:rPr>
      </w:pPr>
    </w:p>
    <w:p w14:paraId="4714159A" w14:textId="77777777" w:rsidR="005477D4" w:rsidRPr="00136B35" w:rsidRDefault="005477D4" w:rsidP="005010FD">
      <w:pPr>
        <w:widowControl w:val="0"/>
        <w:jc w:val="both"/>
        <w:rPr>
          <w:szCs w:val="22"/>
          <w:u w:val="single"/>
        </w:rPr>
      </w:pPr>
      <w:r w:rsidRPr="00136B35">
        <w:rPr>
          <w:szCs w:val="22"/>
          <w:u w:val="single"/>
        </w:rPr>
        <w:t>Allattamento</w:t>
      </w:r>
    </w:p>
    <w:p w14:paraId="688D86C4" w14:textId="77777777" w:rsidR="005477D4" w:rsidRPr="00136B35" w:rsidRDefault="005477D4" w:rsidP="005010FD">
      <w:pPr>
        <w:widowControl w:val="0"/>
        <w:jc w:val="both"/>
        <w:rPr>
          <w:szCs w:val="22"/>
        </w:rPr>
      </w:pPr>
    </w:p>
    <w:p w14:paraId="1877F488" w14:textId="77777777" w:rsidR="005477D4" w:rsidRPr="00136B35" w:rsidRDefault="005477D4" w:rsidP="005010FD">
      <w:pPr>
        <w:widowControl w:val="0"/>
        <w:jc w:val="both"/>
        <w:rPr>
          <w:szCs w:val="22"/>
        </w:rPr>
      </w:pPr>
      <w:r w:rsidRPr="00136B35">
        <w:rPr>
          <w:szCs w:val="22"/>
        </w:rPr>
        <w:t>Non è noto se dimetilfumarato/metaboliti siano escreti nel latte materno. Il rischio per i neonati/lattanti non può essere escluso. Deve essere presa la decisione se interrompere l’allattamento o interrompere la terapia con dimetilfumarato tenendo in considerazione il beneficio dell’allattamento per il bambino e il beneficio della terapia per la donna.</w:t>
      </w:r>
    </w:p>
    <w:p w14:paraId="4CECCB64" w14:textId="77777777" w:rsidR="005477D4" w:rsidRPr="00136B35" w:rsidRDefault="005477D4" w:rsidP="005010FD">
      <w:pPr>
        <w:widowControl w:val="0"/>
        <w:jc w:val="both"/>
        <w:rPr>
          <w:szCs w:val="22"/>
          <w:u w:val="single"/>
        </w:rPr>
      </w:pPr>
    </w:p>
    <w:p w14:paraId="334387D5" w14:textId="77777777" w:rsidR="005477D4" w:rsidRPr="00136B35" w:rsidRDefault="005477D4" w:rsidP="005010FD">
      <w:pPr>
        <w:pStyle w:val="HeadingUnderlined"/>
        <w:jc w:val="both"/>
      </w:pPr>
      <w:r w:rsidRPr="00136B35">
        <w:t>Fertilità</w:t>
      </w:r>
    </w:p>
    <w:p w14:paraId="40BEBB50" w14:textId="77777777" w:rsidR="005477D4" w:rsidRPr="00136B35" w:rsidRDefault="005477D4" w:rsidP="005010FD">
      <w:pPr>
        <w:keepNext/>
        <w:jc w:val="both"/>
        <w:rPr>
          <w:szCs w:val="22"/>
        </w:rPr>
      </w:pPr>
    </w:p>
    <w:p w14:paraId="7024CA18" w14:textId="77777777" w:rsidR="005477D4" w:rsidRPr="00136B35" w:rsidRDefault="005477D4" w:rsidP="005010FD">
      <w:pPr>
        <w:keepNext/>
        <w:widowControl w:val="0"/>
        <w:jc w:val="both"/>
        <w:rPr>
          <w:szCs w:val="22"/>
        </w:rPr>
      </w:pPr>
      <w:r w:rsidRPr="00136B35">
        <w:rPr>
          <w:szCs w:val="22"/>
        </w:rPr>
        <w:t>Non sono disponibili dati sugli effetti di dimetilfumarato sulla fertilità umana. I dati forniti dagli studi preclinici non suggeriscono che dimetilfumarato possa essere associato ad un aumento del rischio di riduzione della fertilità (vedere paragrafo 5.3).</w:t>
      </w:r>
    </w:p>
    <w:p w14:paraId="4E69F959" w14:textId="77777777" w:rsidR="005477D4" w:rsidRPr="00136B35" w:rsidRDefault="005477D4" w:rsidP="005010FD">
      <w:pPr>
        <w:widowControl w:val="0"/>
        <w:jc w:val="both"/>
        <w:rPr>
          <w:szCs w:val="22"/>
        </w:rPr>
      </w:pPr>
    </w:p>
    <w:p w14:paraId="528FA445" w14:textId="77777777" w:rsidR="005477D4" w:rsidRPr="00136B35" w:rsidRDefault="005477D4" w:rsidP="005010FD">
      <w:pPr>
        <w:keepNext/>
        <w:widowControl w:val="0"/>
        <w:ind w:left="567" w:hanging="567"/>
        <w:jc w:val="both"/>
        <w:rPr>
          <w:b/>
          <w:szCs w:val="22"/>
        </w:rPr>
      </w:pPr>
      <w:r w:rsidRPr="00136B35">
        <w:rPr>
          <w:b/>
          <w:szCs w:val="22"/>
        </w:rPr>
        <w:t>4.7</w:t>
      </w:r>
      <w:r w:rsidRPr="00136B35">
        <w:rPr>
          <w:b/>
          <w:szCs w:val="22"/>
        </w:rPr>
        <w:tab/>
        <w:t>Effetti sulla capacità di guidare veicoli e sull’uso di macchinari</w:t>
      </w:r>
    </w:p>
    <w:p w14:paraId="6B9DDC35" w14:textId="77777777" w:rsidR="005477D4" w:rsidRPr="00136B35" w:rsidRDefault="005477D4" w:rsidP="005010FD">
      <w:pPr>
        <w:keepNext/>
        <w:widowControl w:val="0"/>
        <w:jc w:val="both"/>
        <w:rPr>
          <w:szCs w:val="22"/>
        </w:rPr>
      </w:pPr>
    </w:p>
    <w:p w14:paraId="2215C1BC" w14:textId="77777777" w:rsidR="005477D4" w:rsidRPr="00136B35" w:rsidRDefault="005477D4" w:rsidP="005010FD">
      <w:pPr>
        <w:keepNext/>
        <w:widowControl w:val="0"/>
        <w:jc w:val="both"/>
        <w:rPr>
          <w:szCs w:val="22"/>
        </w:rPr>
      </w:pPr>
      <w:r w:rsidRPr="00136B35">
        <w:rPr>
          <w:szCs w:val="22"/>
        </w:rPr>
        <w:t>Dimetilfumarato non altera o altera in modo trascurabile la capacità di guidare veicoli e di usare macchinari. Non sono stati condotti studi sulla capacità di guidare veicoli e sull’uso di macchinari; tuttavia, negli studi clinici non sono stati rilevati effetti correlati a dimetilfumarato che potenzialmente influiscono su questa capacità.</w:t>
      </w:r>
    </w:p>
    <w:p w14:paraId="37B6131A" w14:textId="77777777" w:rsidR="005477D4" w:rsidRPr="00136B35" w:rsidRDefault="005477D4" w:rsidP="005010FD">
      <w:pPr>
        <w:widowControl w:val="0"/>
        <w:jc w:val="both"/>
        <w:rPr>
          <w:szCs w:val="22"/>
        </w:rPr>
      </w:pPr>
    </w:p>
    <w:p w14:paraId="5F07A310" w14:textId="77777777" w:rsidR="005477D4" w:rsidRPr="00136B35" w:rsidRDefault="005477D4" w:rsidP="005010FD">
      <w:pPr>
        <w:keepNext/>
        <w:widowControl w:val="0"/>
        <w:jc w:val="both"/>
        <w:rPr>
          <w:b/>
          <w:szCs w:val="22"/>
        </w:rPr>
      </w:pPr>
      <w:r w:rsidRPr="00136B35">
        <w:rPr>
          <w:b/>
          <w:szCs w:val="22"/>
        </w:rPr>
        <w:t>4.8</w:t>
      </w:r>
      <w:r w:rsidRPr="00136B35">
        <w:rPr>
          <w:b/>
          <w:szCs w:val="22"/>
        </w:rPr>
        <w:tab/>
        <w:t>Effetti indesiderati</w:t>
      </w:r>
    </w:p>
    <w:p w14:paraId="430775C1" w14:textId="77777777" w:rsidR="005477D4" w:rsidRPr="00136B35" w:rsidRDefault="005477D4" w:rsidP="005010FD">
      <w:pPr>
        <w:keepNext/>
        <w:widowControl w:val="0"/>
        <w:jc w:val="both"/>
        <w:rPr>
          <w:szCs w:val="22"/>
        </w:rPr>
      </w:pPr>
    </w:p>
    <w:p w14:paraId="103D37E5" w14:textId="77777777" w:rsidR="005477D4" w:rsidRPr="00136B35" w:rsidRDefault="005477D4" w:rsidP="005010FD">
      <w:pPr>
        <w:keepNext/>
        <w:widowControl w:val="0"/>
        <w:jc w:val="both"/>
        <w:rPr>
          <w:szCs w:val="22"/>
          <w:u w:val="single"/>
        </w:rPr>
      </w:pPr>
      <w:r w:rsidRPr="00136B35">
        <w:rPr>
          <w:szCs w:val="22"/>
          <w:u w:val="single"/>
        </w:rPr>
        <w:t>Riassunto del profilo di sicurezza</w:t>
      </w:r>
    </w:p>
    <w:p w14:paraId="17960A4F" w14:textId="77777777" w:rsidR="005477D4" w:rsidRPr="00136B35" w:rsidRDefault="005477D4" w:rsidP="005010FD">
      <w:pPr>
        <w:keepNext/>
        <w:widowControl w:val="0"/>
        <w:jc w:val="both"/>
        <w:rPr>
          <w:szCs w:val="22"/>
        </w:rPr>
      </w:pPr>
    </w:p>
    <w:p w14:paraId="7216426D" w14:textId="227C35CA" w:rsidR="005477D4" w:rsidRPr="00136B35" w:rsidRDefault="005477D4" w:rsidP="005010FD">
      <w:pPr>
        <w:widowControl w:val="0"/>
        <w:jc w:val="both"/>
        <w:rPr>
          <w:szCs w:val="22"/>
        </w:rPr>
      </w:pPr>
      <w:r w:rsidRPr="00136B35">
        <w:rPr>
          <w:szCs w:val="22"/>
        </w:rPr>
        <w:t>Le reazioni avverse più comuni sono il rossore (flushing) (35%) (cioè diarrea (14%), nausea (12%), dolore addominale (10%), dolore addominale superiore (10%)). Rossore ed eventi gastrointestinali tendono a insorgere agli inizi della terapia (soprattutto durante il primo mese) e nei pazienti soggetti a rossore ed eventi gastrointestinali, questi eventi possono continuare a verificarsi in modo intermittente durante l’intero trattamento con dimetilfumarato. Le reazioni avverse segnalate più comunemente che hanno condotto ad interruzione della terapia (incidenza &gt; 1%) nei pazienti trattati con dimetilfumarato sono state il rossore (3%) e gli eventi gastrointestinali (4%).</w:t>
      </w:r>
    </w:p>
    <w:p w14:paraId="5AFF459C" w14:textId="77777777" w:rsidR="005477D4" w:rsidRPr="00136B35" w:rsidRDefault="005477D4" w:rsidP="005010FD">
      <w:pPr>
        <w:widowControl w:val="0"/>
        <w:jc w:val="both"/>
        <w:rPr>
          <w:szCs w:val="22"/>
        </w:rPr>
      </w:pPr>
    </w:p>
    <w:p w14:paraId="0E1E4ED0" w14:textId="6ABD1D94" w:rsidR="005477D4" w:rsidRPr="00136B35" w:rsidRDefault="005477D4" w:rsidP="005010FD">
      <w:pPr>
        <w:widowControl w:val="0"/>
        <w:jc w:val="both"/>
        <w:rPr>
          <w:szCs w:val="22"/>
        </w:rPr>
      </w:pPr>
      <w:r w:rsidRPr="00136B35">
        <w:rPr>
          <w:szCs w:val="22"/>
        </w:rPr>
        <w:t xml:space="preserve">Negli studi clinici </w:t>
      </w:r>
      <w:r w:rsidR="00877306" w:rsidRPr="00136B35">
        <w:rPr>
          <w:szCs w:val="22"/>
        </w:rPr>
        <w:t>di fase 2 e 3</w:t>
      </w:r>
      <w:r w:rsidR="00877306" w:rsidRPr="005010FD">
        <w:rPr>
          <w:szCs w:val="22"/>
        </w:rPr>
        <w:t xml:space="preserve">, </w:t>
      </w:r>
      <w:r w:rsidRPr="00136B35">
        <w:rPr>
          <w:szCs w:val="22"/>
        </w:rPr>
        <w:t>controllati con placebo e non controllati, 2 513 pazienti in totale hanno ricevuto dimetilfumarato per periodi fino a 12 anni con un’esposizione complessiva equivalente a 11 318 anni-persona. Un totale di 1 169 pazienti ha ricevuto per almeno 5 anni la terapia con dimetilfumarato e 426 pazienti hanno ricevuto per almeno 10 anni la terapia con dimetilfumarato. L’esperienza negli studi clinici non controllati è coerente con l’esperienza negli studi clinici controllati con placebo.</w:t>
      </w:r>
    </w:p>
    <w:p w14:paraId="3BC22C92" w14:textId="77777777" w:rsidR="005477D4" w:rsidRPr="00136B35" w:rsidRDefault="005477D4" w:rsidP="005010FD">
      <w:pPr>
        <w:widowControl w:val="0"/>
        <w:jc w:val="both"/>
        <w:rPr>
          <w:szCs w:val="22"/>
        </w:rPr>
      </w:pPr>
    </w:p>
    <w:p w14:paraId="2334C0EC" w14:textId="1228519D" w:rsidR="005477D4" w:rsidRPr="00136B35" w:rsidRDefault="005477D4" w:rsidP="005010FD">
      <w:pPr>
        <w:widowControl w:val="0"/>
        <w:jc w:val="both"/>
        <w:rPr>
          <w:szCs w:val="22"/>
          <w:u w:val="single"/>
        </w:rPr>
      </w:pPr>
      <w:r w:rsidRPr="00136B35">
        <w:rPr>
          <w:szCs w:val="22"/>
          <w:u w:val="single"/>
        </w:rPr>
        <w:t xml:space="preserve">Tabella </w:t>
      </w:r>
      <w:r w:rsidR="00877306" w:rsidRPr="00136B35">
        <w:rPr>
          <w:szCs w:val="22"/>
          <w:u w:val="single"/>
        </w:rPr>
        <w:t>con l’elenco delle</w:t>
      </w:r>
      <w:r w:rsidRPr="00136B35">
        <w:rPr>
          <w:szCs w:val="22"/>
          <w:u w:val="single"/>
        </w:rPr>
        <w:t xml:space="preserve"> reazioni avverse</w:t>
      </w:r>
    </w:p>
    <w:p w14:paraId="39D9D615" w14:textId="77777777" w:rsidR="005477D4" w:rsidRPr="00136B35" w:rsidRDefault="005477D4" w:rsidP="005010FD">
      <w:pPr>
        <w:widowControl w:val="0"/>
        <w:jc w:val="both"/>
        <w:rPr>
          <w:szCs w:val="22"/>
        </w:rPr>
      </w:pPr>
    </w:p>
    <w:p w14:paraId="74F6ADE1" w14:textId="77777777" w:rsidR="005477D4" w:rsidRPr="00136B35" w:rsidRDefault="005477D4" w:rsidP="005010FD">
      <w:pPr>
        <w:widowControl w:val="0"/>
        <w:jc w:val="both"/>
        <w:rPr>
          <w:szCs w:val="22"/>
        </w:rPr>
      </w:pPr>
      <w:r w:rsidRPr="00136B35">
        <w:rPr>
          <w:szCs w:val="22"/>
        </w:rPr>
        <w:t>Nella tabella di seguito sono riportate le reazioni avverse emerse dagli studi clinici, dagli studi di sicurezza post-autorizzazione e dalle segnalazioni spontanee.</w:t>
      </w:r>
    </w:p>
    <w:p w14:paraId="3679912B" w14:textId="77777777" w:rsidR="005477D4" w:rsidRPr="00136B35" w:rsidRDefault="005477D4" w:rsidP="005010FD">
      <w:pPr>
        <w:widowControl w:val="0"/>
        <w:jc w:val="both"/>
        <w:rPr>
          <w:szCs w:val="22"/>
        </w:rPr>
      </w:pPr>
    </w:p>
    <w:p w14:paraId="70C2DEFB" w14:textId="77777777" w:rsidR="005477D4" w:rsidRPr="00136B35" w:rsidRDefault="005477D4" w:rsidP="005010FD">
      <w:pPr>
        <w:keepNext/>
        <w:keepLines/>
        <w:jc w:val="both"/>
        <w:rPr>
          <w:szCs w:val="22"/>
        </w:rPr>
      </w:pPr>
      <w:r w:rsidRPr="00136B35">
        <w:rPr>
          <w:szCs w:val="22"/>
        </w:rPr>
        <w:t xml:space="preserve">Le reazioni avverse sono presentate secondo la terminologia </w:t>
      </w:r>
      <w:r w:rsidRPr="00136B35">
        <w:rPr>
          <w:rStyle w:val="st"/>
          <w:szCs w:val="22"/>
        </w:rPr>
        <w:t xml:space="preserve">MedDRA raccomandata nella </w:t>
      </w:r>
      <w:r w:rsidRPr="00136B35">
        <w:rPr>
          <w:rStyle w:val="Emphasis"/>
          <w:i w:val="0"/>
          <w:szCs w:val="22"/>
        </w:rPr>
        <w:t xml:space="preserve">classificazione </w:t>
      </w:r>
      <w:r w:rsidRPr="00136B35">
        <w:rPr>
          <w:szCs w:val="22"/>
        </w:rPr>
        <w:t>per sistemi e organi secondo MedDRA. L’incidenza delle reazioni avverse riportate di seguito è espressa secondo la seguente convenzione:</w:t>
      </w:r>
    </w:p>
    <w:p w14:paraId="7EF14482" w14:textId="77777777" w:rsidR="005477D4" w:rsidRPr="00136B35" w:rsidRDefault="005477D4" w:rsidP="005010FD">
      <w:pPr>
        <w:widowControl w:val="0"/>
        <w:numPr>
          <w:ilvl w:val="0"/>
          <w:numId w:val="8"/>
        </w:numPr>
        <w:tabs>
          <w:tab w:val="clear" w:pos="567"/>
        </w:tabs>
        <w:ind w:left="567" w:hanging="567"/>
        <w:jc w:val="both"/>
        <w:rPr>
          <w:szCs w:val="22"/>
        </w:rPr>
      </w:pPr>
      <w:r w:rsidRPr="00136B35">
        <w:rPr>
          <w:szCs w:val="22"/>
        </w:rPr>
        <w:t>Molto comune (≥ 1/10)</w:t>
      </w:r>
    </w:p>
    <w:p w14:paraId="08DE1CDA" w14:textId="77777777" w:rsidR="005477D4" w:rsidRPr="00136B35" w:rsidRDefault="005477D4" w:rsidP="005010FD">
      <w:pPr>
        <w:widowControl w:val="0"/>
        <w:numPr>
          <w:ilvl w:val="0"/>
          <w:numId w:val="8"/>
        </w:numPr>
        <w:tabs>
          <w:tab w:val="clear" w:pos="567"/>
        </w:tabs>
        <w:ind w:left="567" w:hanging="567"/>
        <w:jc w:val="both"/>
        <w:rPr>
          <w:szCs w:val="22"/>
        </w:rPr>
      </w:pPr>
      <w:r w:rsidRPr="00136B35">
        <w:rPr>
          <w:szCs w:val="22"/>
        </w:rPr>
        <w:t>Comune (≥ 1/100, &lt; 1/10)</w:t>
      </w:r>
    </w:p>
    <w:p w14:paraId="4C0580C8" w14:textId="77777777" w:rsidR="005477D4" w:rsidRPr="00136B35" w:rsidRDefault="005477D4" w:rsidP="005010FD">
      <w:pPr>
        <w:widowControl w:val="0"/>
        <w:numPr>
          <w:ilvl w:val="0"/>
          <w:numId w:val="8"/>
        </w:numPr>
        <w:tabs>
          <w:tab w:val="clear" w:pos="567"/>
        </w:tabs>
        <w:ind w:left="567" w:hanging="567"/>
        <w:jc w:val="both"/>
        <w:rPr>
          <w:szCs w:val="22"/>
        </w:rPr>
      </w:pPr>
      <w:r w:rsidRPr="00136B35">
        <w:rPr>
          <w:szCs w:val="22"/>
        </w:rPr>
        <w:t>Non comune (≥ 1/1 000, &lt; 1/100)</w:t>
      </w:r>
    </w:p>
    <w:p w14:paraId="0A2A4B3B" w14:textId="77777777" w:rsidR="005477D4" w:rsidRPr="00136B35" w:rsidRDefault="005477D4" w:rsidP="005010FD">
      <w:pPr>
        <w:widowControl w:val="0"/>
        <w:numPr>
          <w:ilvl w:val="0"/>
          <w:numId w:val="8"/>
        </w:numPr>
        <w:tabs>
          <w:tab w:val="clear" w:pos="567"/>
        </w:tabs>
        <w:ind w:left="567" w:hanging="567"/>
        <w:jc w:val="both"/>
        <w:rPr>
          <w:szCs w:val="22"/>
        </w:rPr>
      </w:pPr>
      <w:r w:rsidRPr="00136B35">
        <w:rPr>
          <w:szCs w:val="22"/>
        </w:rPr>
        <w:t>Raro (≥ 1/10.000, &lt; 1/1 000)</w:t>
      </w:r>
    </w:p>
    <w:p w14:paraId="1394D05B" w14:textId="77777777" w:rsidR="005477D4" w:rsidRPr="00136B35" w:rsidRDefault="005477D4" w:rsidP="005010FD">
      <w:pPr>
        <w:widowControl w:val="0"/>
        <w:numPr>
          <w:ilvl w:val="0"/>
          <w:numId w:val="8"/>
        </w:numPr>
        <w:tabs>
          <w:tab w:val="clear" w:pos="567"/>
        </w:tabs>
        <w:ind w:left="567" w:hanging="567"/>
        <w:jc w:val="both"/>
        <w:rPr>
          <w:szCs w:val="22"/>
        </w:rPr>
      </w:pPr>
      <w:r w:rsidRPr="00136B35">
        <w:rPr>
          <w:szCs w:val="22"/>
        </w:rPr>
        <w:t>Molto raro (&lt; 1/10 000)</w:t>
      </w:r>
    </w:p>
    <w:p w14:paraId="4F09F632" w14:textId="77777777" w:rsidR="005477D4" w:rsidRPr="00136B35" w:rsidRDefault="005477D4" w:rsidP="005010FD">
      <w:pPr>
        <w:widowControl w:val="0"/>
        <w:numPr>
          <w:ilvl w:val="0"/>
          <w:numId w:val="8"/>
        </w:numPr>
        <w:tabs>
          <w:tab w:val="clear" w:pos="567"/>
        </w:tabs>
        <w:ind w:left="567" w:hanging="567"/>
        <w:jc w:val="both"/>
        <w:rPr>
          <w:szCs w:val="22"/>
        </w:rPr>
      </w:pPr>
      <w:r w:rsidRPr="00136B35">
        <w:rPr>
          <w:szCs w:val="22"/>
        </w:rPr>
        <w:t>Non nota (la frequenza non può essere definita sulla base dei dati disponibili)</w:t>
      </w:r>
    </w:p>
    <w:p w14:paraId="4C36AC69" w14:textId="77777777" w:rsidR="005477D4" w:rsidRPr="00136B35" w:rsidRDefault="005477D4" w:rsidP="005010FD">
      <w:pPr>
        <w:widowControl w:val="0"/>
        <w:jc w:val="both"/>
        <w:rPr>
          <w:i/>
          <w:szCs w:val="22"/>
        </w:rPr>
      </w:pPr>
    </w:p>
    <w:tbl>
      <w:tblPr>
        <w:tblW w:w="9401" w:type="dxa"/>
        <w:tblInd w:w="83" w:type="dxa"/>
        <w:tblLayout w:type="fixed"/>
        <w:tblLook w:val="0000" w:firstRow="0" w:lastRow="0" w:firstColumn="0" w:lastColumn="0" w:noHBand="0" w:noVBand="0"/>
      </w:tblPr>
      <w:tblGrid>
        <w:gridCol w:w="3120"/>
        <w:gridCol w:w="3120"/>
        <w:gridCol w:w="3161"/>
      </w:tblGrid>
      <w:tr w:rsidR="005477D4" w:rsidRPr="00136B35" w14:paraId="646D9D48" w14:textId="77777777" w:rsidTr="009F1691">
        <w:trPr>
          <w:cantSplit/>
          <w:trHeight w:val="283"/>
          <w:tblHeader/>
        </w:trPr>
        <w:tc>
          <w:tcPr>
            <w:tcW w:w="3120" w:type="dxa"/>
            <w:tcBorders>
              <w:top w:val="single" w:sz="4" w:space="0" w:color="000000"/>
              <w:left w:val="single" w:sz="4" w:space="0" w:color="000000"/>
              <w:bottom w:val="single" w:sz="4" w:space="0" w:color="auto"/>
            </w:tcBorders>
            <w:vAlign w:val="center"/>
          </w:tcPr>
          <w:p w14:paraId="68812696" w14:textId="77777777" w:rsidR="005477D4" w:rsidRPr="00136B35" w:rsidRDefault="005477D4" w:rsidP="005010FD">
            <w:pPr>
              <w:widowControl w:val="0"/>
              <w:autoSpaceDE w:val="0"/>
              <w:snapToGrid w:val="0"/>
              <w:jc w:val="both"/>
              <w:rPr>
                <w:b/>
                <w:szCs w:val="22"/>
              </w:rPr>
            </w:pPr>
            <w:bookmarkStart w:id="6" w:name="_Hlk345585762"/>
            <w:bookmarkStart w:id="7" w:name="OLE_LINK4"/>
            <w:bookmarkStart w:id="8" w:name="OLE_LINK3"/>
            <w:bookmarkEnd w:id="6"/>
            <w:bookmarkEnd w:id="7"/>
            <w:bookmarkEnd w:id="8"/>
            <w:r w:rsidRPr="00136B35">
              <w:rPr>
                <w:b/>
                <w:szCs w:val="22"/>
              </w:rPr>
              <w:t>Classificazione per sistemi e organi MedDRA</w:t>
            </w:r>
          </w:p>
        </w:tc>
        <w:tc>
          <w:tcPr>
            <w:tcW w:w="3120" w:type="dxa"/>
            <w:tcBorders>
              <w:top w:val="single" w:sz="4" w:space="0" w:color="000000"/>
              <w:left w:val="single" w:sz="4" w:space="0" w:color="000000"/>
              <w:bottom w:val="single" w:sz="4" w:space="0" w:color="auto"/>
            </w:tcBorders>
            <w:vAlign w:val="center"/>
          </w:tcPr>
          <w:p w14:paraId="3DB23EA8" w14:textId="77777777" w:rsidR="005477D4" w:rsidRPr="00136B35" w:rsidRDefault="005477D4" w:rsidP="005010FD">
            <w:pPr>
              <w:widowControl w:val="0"/>
              <w:autoSpaceDE w:val="0"/>
              <w:snapToGrid w:val="0"/>
              <w:jc w:val="both"/>
              <w:rPr>
                <w:b/>
                <w:szCs w:val="22"/>
              </w:rPr>
            </w:pPr>
            <w:r w:rsidRPr="00136B35">
              <w:rPr>
                <w:b/>
                <w:szCs w:val="22"/>
              </w:rPr>
              <w:t>Reazione avversa</w:t>
            </w:r>
          </w:p>
        </w:tc>
        <w:tc>
          <w:tcPr>
            <w:tcW w:w="3161" w:type="dxa"/>
            <w:tcBorders>
              <w:top w:val="single" w:sz="4" w:space="0" w:color="000000"/>
              <w:left w:val="single" w:sz="4" w:space="0" w:color="000000"/>
              <w:bottom w:val="single" w:sz="4" w:space="0" w:color="000000"/>
              <w:right w:val="single" w:sz="4" w:space="0" w:color="000000"/>
            </w:tcBorders>
            <w:vAlign w:val="center"/>
          </w:tcPr>
          <w:p w14:paraId="7A1A77AA" w14:textId="77777777" w:rsidR="005477D4" w:rsidRPr="00136B35" w:rsidRDefault="005477D4" w:rsidP="005010FD">
            <w:pPr>
              <w:widowControl w:val="0"/>
              <w:autoSpaceDE w:val="0"/>
              <w:snapToGrid w:val="0"/>
              <w:jc w:val="both"/>
              <w:rPr>
                <w:b/>
                <w:szCs w:val="22"/>
              </w:rPr>
            </w:pPr>
            <w:r w:rsidRPr="00136B35">
              <w:rPr>
                <w:b/>
                <w:szCs w:val="22"/>
              </w:rPr>
              <w:t>Categoria di frequenza</w:t>
            </w:r>
          </w:p>
        </w:tc>
      </w:tr>
      <w:tr w:rsidR="005477D4" w:rsidRPr="00136B35" w14:paraId="40367D22" w14:textId="77777777" w:rsidTr="009F1691">
        <w:trPr>
          <w:cantSplit/>
        </w:trPr>
        <w:tc>
          <w:tcPr>
            <w:tcW w:w="3120" w:type="dxa"/>
            <w:vMerge w:val="restart"/>
            <w:tcBorders>
              <w:top w:val="single" w:sz="4" w:space="0" w:color="auto"/>
              <w:left w:val="single" w:sz="4" w:space="0" w:color="auto"/>
            </w:tcBorders>
          </w:tcPr>
          <w:p w14:paraId="5C37BBFB" w14:textId="77777777" w:rsidR="005477D4" w:rsidRPr="00136B35" w:rsidRDefault="005477D4" w:rsidP="005010FD">
            <w:pPr>
              <w:widowControl w:val="0"/>
              <w:autoSpaceDE w:val="0"/>
              <w:snapToGrid w:val="0"/>
              <w:jc w:val="both"/>
              <w:rPr>
                <w:szCs w:val="22"/>
              </w:rPr>
            </w:pPr>
            <w:r w:rsidRPr="00136B35">
              <w:rPr>
                <w:szCs w:val="22"/>
              </w:rPr>
              <w:t>Infezioni ed infestazioni</w:t>
            </w:r>
          </w:p>
        </w:tc>
        <w:tc>
          <w:tcPr>
            <w:tcW w:w="3120" w:type="dxa"/>
            <w:tcBorders>
              <w:top w:val="single" w:sz="4" w:space="0" w:color="auto"/>
              <w:left w:val="single" w:sz="4" w:space="0" w:color="000000"/>
              <w:bottom w:val="single" w:sz="4" w:space="0" w:color="auto"/>
              <w:right w:val="single" w:sz="4" w:space="0" w:color="auto"/>
            </w:tcBorders>
            <w:vAlign w:val="center"/>
          </w:tcPr>
          <w:p w14:paraId="61336A71" w14:textId="77777777" w:rsidR="005477D4" w:rsidRPr="00136B35" w:rsidRDefault="005477D4" w:rsidP="005010FD">
            <w:pPr>
              <w:widowControl w:val="0"/>
              <w:autoSpaceDE w:val="0"/>
              <w:snapToGrid w:val="0"/>
              <w:jc w:val="both"/>
              <w:rPr>
                <w:szCs w:val="22"/>
              </w:rPr>
            </w:pPr>
            <w:r w:rsidRPr="00136B35">
              <w:rPr>
                <w:szCs w:val="22"/>
              </w:rPr>
              <w:t>Gastroenterite</w:t>
            </w:r>
          </w:p>
        </w:tc>
        <w:tc>
          <w:tcPr>
            <w:tcW w:w="3161" w:type="dxa"/>
            <w:tcBorders>
              <w:top w:val="single" w:sz="4" w:space="0" w:color="000000"/>
              <w:left w:val="single" w:sz="4" w:space="0" w:color="auto"/>
              <w:bottom w:val="single" w:sz="4" w:space="0" w:color="000000"/>
              <w:right w:val="single" w:sz="4" w:space="0" w:color="000000"/>
            </w:tcBorders>
            <w:vAlign w:val="center"/>
          </w:tcPr>
          <w:p w14:paraId="0C875E3A" w14:textId="77777777" w:rsidR="005477D4" w:rsidRPr="00136B35" w:rsidRDefault="005477D4" w:rsidP="005010FD">
            <w:pPr>
              <w:widowControl w:val="0"/>
              <w:autoSpaceDE w:val="0"/>
              <w:snapToGrid w:val="0"/>
              <w:jc w:val="both"/>
              <w:rPr>
                <w:szCs w:val="22"/>
              </w:rPr>
            </w:pPr>
            <w:r w:rsidRPr="00136B35">
              <w:rPr>
                <w:szCs w:val="22"/>
              </w:rPr>
              <w:t>Comune</w:t>
            </w:r>
          </w:p>
        </w:tc>
      </w:tr>
      <w:tr w:rsidR="005477D4" w:rsidRPr="00136B35" w14:paraId="13A327F3" w14:textId="77777777" w:rsidTr="009F1691">
        <w:trPr>
          <w:cantSplit/>
          <w:trHeight w:val="383"/>
        </w:trPr>
        <w:tc>
          <w:tcPr>
            <w:tcW w:w="3120" w:type="dxa"/>
            <w:vMerge/>
            <w:tcBorders>
              <w:left w:val="single" w:sz="4" w:space="0" w:color="auto"/>
              <w:right w:val="single" w:sz="4" w:space="0" w:color="auto"/>
            </w:tcBorders>
          </w:tcPr>
          <w:p w14:paraId="056B65AF" w14:textId="77777777" w:rsidR="005477D4" w:rsidRPr="00136B35" w:rsidRDefault="005477D4" w:rsidP="005010FD">
            <w:pPr>
              <w:widowControl w:val="0"/>
              <w:autoSpaceDE w:val="0"/>
              <w:snapToGrid w:val="0"/>
              <w:jc w:val="both"/>
              <w:rPr>
                <w:szCs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0428A65F" w14:textId="77777777" w:rsidR="005477D4" w:rsidRPr="00136B35" w:rsidRDefault="005477D4" w:rsidP="005010FD">
            <w:pPr>
              <w:widowControl w:val="0"/>
              <w:autoSpaceDE w:val="0"/>
              <w:snapToGrid w:val="0"/>
              <w:jc w:val="both"/>
              <w:rPr>
                <w:szCs w:val="22"/>
                <w:lang w:eastAsia="zh-CN"/>
              </w:rPr>
            </w:pPr>
            <w:r w:rsidRPr="00136B35">
              <w:rPr>
                <w:szCs w:val="22"/>
              </w:rPr>
              <w:t>Leucoencefalopatia multifocale progressiva (PML)</w:t>
            </w:r>
          </w:p>
        </w:tc>
        <w:tc>
          <w:tcPr>
            <w:tcW w:w="3161" w:type="dxa"/>
            <w:tcBorders>
              <w:top w:val="single" w:sz="4" w:space="0" w:color="000000"/>
              <w:left w:val="single" w:sz="4" w:space="0" w:color="auto"/>
              <w:bottom w:val="single" w:sz="4" w:space="0" w:color="000000"/>
              <w:right w:val="single" w:sz="4" w:space="0" w:color="000000"/>
            </w:tcBorders>
            <w:vAlign w:val="center"/>
          </w:tcPr>
          <w:p w14:paraId="26833C0B" w14:textId="77777777" w:rsidR="005477D4" w:rsidRPr="00136B35" w:rsidRDefault="005477D4" w:rsidP="005010FD">
            <w:pPr>
              <w:widowControl w:val="0"/>
              <w:snapToGrid w:val="0"/>
              <w:jc w:val="both"/>
              <w:rPr>
                <w:szCs w:val="22"/>
                <w:lang w:eastAsia="zh-CN"/>
              </w:rPr>
            </w:pPr>
            <w:r w:rsidRPr="00136B35">
              <w:rPr>
                <w:szCs w:val="22"/>
              </w:rPr>
              <w:t>Non nota</w:t>
            </w:r>
          </w:p>
        </w:tc>
      </w:tr>
      <w:tr w:rsidR="005477D4" w:rsidRPr="00136B35" w14:paraId="6AFB1866" w14:textId="77777777" w:rsidTr="009F1691">
        <w:trPr>
          <w:cantSplit/>
          <w:trHeight w:val="248"/>
        </w:trPr>
        <w:tc>
          <w:tcPr>
            <w:tcW w:w="3120" w:type="dxa"/>
            <w:vMerge/>
            <w:tcBorders>
              <w:left w:val="single" w:sz="4" w:space="0" w:color="auto"/>
              <w:bottom w:val="single" w:sz="4" w:space="0" w:color="auto"/>
              <w:right w:val="single" w:sz="4" w:space="0" w:color="auto"/>
            </w:tcBorders>
          </w:tcPr>
          <w:p w14:paraId="7540405C" w14:textId="77777777" w:rsidR="005477D4" w:rsidRPr="00136B35" w:rsidRDefault="005477D4" w:rsidP="005010FD">
            <w:pPr>
              <w:widowControl w:val="0"/>
              <w:autoSpaceDE w:val="0"/>
              <w:snapToGrid w:val="0"/>
              <w:jc w:val="both"/>
              <w:rPr>
                <w:szCs w:val="22"/>
              </w:rPr>
            </w:pPr>
          </w:p>
        </w:tc>
        <w:tc>
          <w:tcPr>
            <w:tcW w:w="3120" w:type="dxa"/>
            <w:tcBorders>
              <w:top w:val="single" w:sz="4" w:space="0" w:color="auto"/>
              <w:left w:val="single" w:sz="4" w:space="0" w:color="auto"/>
              <w:bottom w:val="single" w:sz="4" w:space="0" w:color="auto"/>
              <w:right w:val="single" w:sz="4" w:space="0" w:color="auto"/>
            </w:tcBorders>
            <w:vAlign w:val="center"/>
          </w:tcPr>
          <w:p w14:paraId="3CF1F445" w14:textId="77777777" w:rsidR="005477D4" w:rsidRPr="00136B35" w:rsidRDefault="005477D4" w:rsidP="005010FD">
            <w:pPr>
              <w:widowControl w:val="0"/>
              <w:autoSpaceDE w:val="0"/>
              <w:snapToGrid w:val="0"/>
              <w:jc w:val="both"/>
              <w:rPr>
                <w:szCs w:val="22"/>
              </w:rPr>
            </w:pPr>
            <w:r w:rsidRPr="00136B35">
              <w:rPr>
                <w:szCs w:val="22"/>
              </w:rPr>
              <w:t>Herpes zoster</w:t>
            </w:r>
          </w:p>
        </w:tc>
        <w:tc>
          <w:tcPr>
            <w:tcW w:w="3161" w:type="dxa"/>
            <w:tcBorders>
              <w:top w:val="single" w:sz="4" w:space="0" w:color="000000"/>
              <w:left w:val="single" w:sz="4" w:space="0" w:color="auto"/>
              <w:bottom w:val="single" w:sz="4" w:space="0" w:color="000000"/>
              <w:right w:val="single" w:sz="4" w:space="0" w:color="000000"/>
            </w:tcBorders>
            <w:vAlign w:val="center"/>
          </w:tcPr>
          <w:p w14:paraId="2934D5CE" w14:textId="77777777" w:rsidR="005477D4" w:rsidRPr="00136B35" w:rsidRDefault="005477D4" w:rsidP="005010FD">
            <w:pPr>
              <w:widowControl w:val="0"/>
              <w:snapToGrid w:val="0"/>
              <w:jc w:val="both"/>
              <w:rPr>
                <w:szCs w:val="22"/>
              </w:rPr>
            </w:pPr>
            <w:r w:rsidRPr="00136B35">
              <w:rPr>
                <w:szCs w:val="22"/>
              </w:rPr>
              <w:t>Non nota</w:t>
            </w:r>
          </w:p>
        </w:tc>
      </w:tr>
      <w:tr w:rsidR="005477D4" w:rsidRPr="00136B35" w14:paraId="4060FC8E" w14:textId="77777777" w:rsidTr="009F1691">
        <w:trPr>
          <w:cantSplit/>
        </w:trPr>
        <w:tc>
          <w:tcPr>
            <w:tcW w:w="3120" w:type="dxa"/>
            <w:vMerge w:val="restart"/>
            <w:tcBorders>
              <w:top w:val="single" w:sz="4" w:space="0" w:color="auto"/>
              <w:left w:val="single" w:sz="4" w:space="0" w:color="000000"/>
            </w:tcBorders>
          </w:tcPr>
          <w:p w14:paraId="3DE3F5B8" w14:textId="77777777" w:rsidR="005477D4" w:rsidRPr="00136B35" w:rsidRDefault="005477D4" w:rsidP="005010FD">
            <w:pPr>
              <w:keepNext/>
              <w:widowControl w:val="0"/>
              <w:autoSpaceDE w:val="0"/>
              <w:snapToGrid w:val="0"/>
              <w:jc w:val="both"/>
              <w:rPr>
                <w:szCs w:val="22"/>
              </w:rPr>
            </w:pPr>
            <w:r w:rsidRPr="00136B35">
              <w:rPr>
                <w:szCs w:val="22"/>
              </w:rPr>
              <w:t>Patologie del sistema emolinfopoietico</w:t>
            </w:r>
          </w:p>
        </w:tc>
        <w:tc>
          <w:tcPr>
            <w:tcW w:w="3120" w:type="dxa"/>
            <w:tcBorders>
              <w:top w:val="single" w:sz="4" w:space="0" w:color="auto"/>
              <w:left w:val="single" w:sz="4" w:space="0" w:color="000000"/>
              <w:bottom w:val="single" w:sz="4" w:space="0" w:color="000000"/>
            </w:tcBorders>
            <w:vAlign w:val="center"/>
          </w:tcPr>
          <w:p w14:paraId="6D5666A3" w14:textId="77777777" w:rsidR="005477D4" w:rsidRPr="00136B35" w:rsidRDefault="005477D4" w:rsidP="005010FD">
            <w:pPr>
              <w:keepNext/>
              <w:widowControl w:val="0"/>
              <w:autoSpaceDE w:val="0"/>
              <w:snapToGrid w:val="0"/>
              <w:jc w:val="both"/>
              <w:rPr>
                <w:szCs w:val="22"/>
              </w:rPr>
            </w:pPr>
            <w:r w:rsidRPr="00136B35">
              <w:rPr>
                <w:szCs w:val="22"/>
              </w:rPr>
              <w:t>Linfocitopenia</w:t>
            </w:r>
          </w:p>
        </w:tc>
        <w:tc>
          <w:tcPr>
            <w:tcW w:w="3161" w:type="dxa"/>
            <w:tcBorders>
              <w:top w:val="single" w:sz="4" w:space="0" w:color="000000"/>
              <w:left w:val="single" w:sz="4" w:space="0" w:color="000000"/>
              <w:bottom w:val="single" w:sz="4" w:space="0" w:color="000000"/>
              <w:right w:val="single" w:sz="4" w:space="0" w:color="000000"/>
            </w:tcBorders>
            <w:vAlign w:val="center"/>
          </w:tcPr>
          <w:p w14:paraId="26AC7068" w14:textId="77777777" w:rsidR="005477D4" w:rsidRPr="00136B35" w:rsidRDefault="005477D4" w:rsidP="005010FD">
            <w:pPr>
              <w:keepNext/>
              <w:widowControl w:val="0"/>
              <w:snapToGrid w:val="0"/>
              <w:jc w:val="both"/>
              <w:rPr>
                <w:szCs w:val="22"/>
              </w:rPr>
            </w:pPr>
            <w:r w:rsidRPr="00136B35">
              <w:rPr>
                <w:szCs w:val="22"/>
              </w:rPr>
              <w:t>Comune</w:t>
            </w:r>
          </w:p>
        </w:tc>
      </w:tr>
      <w:tr w:rsidR="005477D4" w:rsidRPr="00136B35" w14:paraId="50AE5FD1" w14:textId="77777777" w:rsidTr="009F1691">
        <w:trPr>
          <w:cantSplit/>
        </w:trPr>
        <w:tc>
          <w:tcPr>
            <w:tcW w:w="3120" w:type="dxa"/>
            <w:vMerge/>
            <w:tcBorders>
              <w:left w:val="single" w:sz="4" w:space="0" w:color="000000"/>
            </w:tcBorders>
          </w:tcPr>
          <w:p w14:paraId="63C5A4F5" w14:textId="77777777" w:rsidR="005477D4" w:rsidRPr="00136B35" w:rsidRDefault="005477D4" w:rsidP="005010FD">
            <w:pPr>
              <w:keepNext/>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30562EE2" w14:textId="77777777" w:rsidR="005477D4" w:rsidRPr="00136B35" w:rsidRDefault="005477D4" w:rsidP="005010FD">
            <w:pPr>
              <w:keepNext/>
              <w:widowControl w:val="0"/>
              <w:autoSpaceDE w:val="0"/>
              <w:snapToGrid w:val="0"/>
              <w:jc w:val="both"/>
              <w:rPr>
                <w:szCs w:val="22"/>
              </w:rPr>
            </w:pPr>
            <w:r w:rsidRPr="00136B35">
              <w:rPr>
                <w:szCs w:val="22"/>
              </w:rPr>
              <w:t>Leucopenia</w:t>
            </w:r>
          </w:p>
        </w:tc>
        <w:tc>
          <w:tcPr>
            <w:tcW w:w="3161" w:type="dxa"/>
            <w:tcBorders>
              <w:top w:val="single" w:sz="4" w:space="0" w:color="000000"/>
              <w:left w:val="single" w:sz="4" w:space="0" w:color="000000"/>
              <w:bottom w:val="single" w:sz="4" w:space="0" w:color="000000"/>
              <w:right w:val="single" w:sz="4" w:space="0" w:color="000000"/>
            </w:tcBorders>
            <w:vAlign w:val="center"/>
          </w:tcPr>
          <w:p w14:paraId="755172CF" w14:textId="77777777" w:rsidR="005477D4" w:rsidRPr="00136B35" w:rsidRDefault="005477D4" w:rsidP="005010FD">
            <w:pPr>
              <w:keepNext/>
              <w:widowControl w:val="0"/>
              <w:snapToGrid w:val="0"/>
              <w:jc w:val="both"/>
              <w:rPr>
                <w:szCs w:val="22"/>
              </w:rPr>
            </w:pPr>
            <w:r w:rsidRPr="00136B35">
              <w:rPr>
                <w:szCs w:val="22"/>
              </w:rPr>
              <w:t>Comune</w:t>
            </w:r>
          </w:p>
        </w:tc>
      </w:tr>
      <w:tr w:rsidR="005477D4" w:rsidRPr="00136B35" w14:paraId="168D0651" w14:textId="77777777" w:rsidTr="009F1691">
        <w:trPr>
          <w:cantSplit/>
        </w:trPr>
        <w:tc>
          <w:tcPr>
            <w:tcW w:w="3120" w:type="dxa"/>
            <w:vMerge/>
            <w:tcBorders>
              <w:left w:val="single" w:sz="4" w:space="0" w:color="000000"/>
              <w:bottom w:val="single" w:sz="4" w:space="0" w:color="000000"/>
            </w:tcBorders>
          </w:tcPr>
          <w:p w14:paraId="4C9EAF10"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7EAEE65B" w14:textId="77777777" w:rsidR="005477D4" w:rsidRPr="00136B35" w:rsidRDefault="005477D4" w:rsidP="005010FD">
            <w:pPr>
              <w:widowControl w:val="0"/>
              <w:autoSpaceDE w:val="0"/>
              <w:snapToGrid w:val="0"/>
              <w:jc w:val="both"/>
              <w:rPr>
                <w:szCs w:val="22"/>
              </w:rPr>
            </w:pPr>
            <w:r w:rsidRPr="00136B35">
              <w:rPr>
                <w:szCs w:val="22"/>
              </w:rPr>
              <w:t>Trombocitopenia</w:t>
            </w:r>
          </w:p>
        </w:tc>
        <w:tc>
          <w:tcPr>
            <w:tcW w:w="3161" w:type="dxa"/>
            <w:tcBorders>
              <w:top w:val="single" w:sz="4" w:space="0" w:color="000000"/>
              <w:left w:val="single" w:sz="4" w:space="0" w:color="000000"/>
              <w:bottom w:val="single" w:sz="4" w:space="0" w:color="000000"/>
              <w:right w:val="single" w:sz="4" w:space="0" w:color="000000"/>
            </w:tcBorders>
            <w:vAlign w:val="center"/>
          </w:tcPr>
          <w:p w14:paraId="16C82054" w14:textId="77777777" w:rsidR="005477D4" w:rsidRPr="00136B35" w:rsidRDefault="005477D4" w:rsidP="005010FD">
            <w:pPr>
              <w:widowControl w:val="0"/>
              <w:snapToGrid w:val="0"/>
              <w:jc w:val="both"/>
              <w:rPr>
                <w:szCs w:val="22"/>
              </w:rPr>
            </w:pPr>
            <w:r w:rsidRPr="00136B35">
              <w:rPr>
                <w:szCs w:val="22"/>
              </w:rPr>
              <w:t>Non comune</w:t>
            </w:r>
          </w:p>
        </w:tc>
      </w:tr>
      <w:tr w:rsidR="005477D4" w:rsidRPr="00136B35" w14:paraId="13C28AB3" w14:textId="77777777" w:rsidTr="009F1691">
        <w:trPr>
          <w:cantSplit/>
        </w:trPr>
        <w:tc>
          <w:tcPr>
            <w:tcW w:w="3120" w:type="dxa"/>
            <w:vMerge w:val="restart"/>
            <w:tcBorders>
              <w:top w:val="single" w:sz="4" w:space="0" w:color="000000"/>
              <w:left w:val="single" w:sz="4" w:space="0" w:color="000000"/>
            </w:tcBorders>
          </w:tcPr>
          <w:p w14:paraId="3B381610" w14:textId="77777777" w:rsidR="005477D4" w:rsidRPr="00136B35" w:rsidRDefault="005477D4" w:rsidP="005010FD">
            <w:pPr>
              <w:keepNext/>
              <w:widowControl w:val="0"/>
              <w:autoSpaceDE w:val="0"/>
              <w:snapToGrid w:val="0"/>
              <w:jc w:val="both"/>
              <w:rPr>
                <w:szCs w:val="22"/>
              </w:rPr>
            </w:pPr>
            <w:r w:rsidRPr="00136B35">
              <w:rPr>
                <w:szCs w:val="22"/>
              </w:rPr>
              <w:t>Disturbi del sistema immunitario</w:t>
            </w:r>
          </w:p>
        </w:tc>
        <w:tc>
          <w:tcPr>
            <w:tcW w:w="3120" w:type="dxa"/>
            <w:tcBorders>
              <w:top w:val="single" w:sz="4" w:space="0" w:color="000000"/>
              <w:left w:val="single" w:sz="4" w:space="0" w:color="000000"/>
              <w:bottom w:val="single" w:sz="4" w:space="0" w:color="000000"/>
            </w:tcBorders>
            <w:vAlign w:val="center"/>
          </w:tcPr>
          <w:p w14:paraId="71B325F9" w14:textId="77777777" w:rsidR="005477D4" w:rsidRPr="00136B35" w:rsidRDefault="005477D4" w:rsidP="005010FD">
            <w:pPr>
              <w:keepNext/>
              <w:widowControl w:val="0"/>
              <w:autoSpaceDE w:val="0"/>
              <w:snapToGrid w:val="0"/>
              <w:jc w:val="both"/>
              <w:rPr>
                <w:szCs w:val="22"/>
              </w:rPr>
            </w:pPr>
            <w:r w:rsidRPr="00136B35">
              <w:rPr>
                <w:szCs w:val="22"/>
              </w:rPr>
              <w:t>Ipersensibilità</w:t>
            </w:r>
          </w:p>
        </w:tc>
        <w:tc>
          <w:tcPr>
            <w:tcW w:w="3161" w:type="dxa"/>
            <w:tcBorders>
              <w:top w:val="single" w:sz="4" w:space="0" w:color="000000"/>
              <w:left w:val="single" w:sz="4" w:space="0" w:color="000000"/>
              <w:bottom w:val="single" w:sz="4" w:space="0" w:color="000000"/>
              <w:right w:val="single" w:sz="4" w:space="0" w:color="000000"/>
            </w:tcBorders>
            <w:vAlign w:val="center"/>
          </w:tcPr>
          <w:p w14:paraId="00C4AA36" w14:textId="77777777" w:rsidR="005477D4" w:rsidRPr="00136B35" w:rsidRDefault="005477D4" w:rsidP="005010FD">
            <w:pPr>
              <w:keepNext/>
              <w:widowControl w:val="0"/>
              <w:snapToGrid w:val="0"/>
              <w:jc w:val="both"/>
              <w:rPr>
                <w:szCs w:val="22"/>
              </w:rPr>
            </w:pPr>
            <w:r w:rsidRPr="00136B35">
              <w:rPr>
                <w:szCs w:val="22"/>
              </w:rPr>
              <w:t>Non comune</w:t>
            </w:r>
          </w:p>
        </w:tc>
      </w:tr>
      <w:tr w:rsidR="005477D4" w:rsidRPr="00136B35" w14:paraId="430BB9BD" w14:textId="77777777" w:rsidTr="009F1691">
        <w:trPr>
          <w:cantSplit/>
        </w:trPr>
        <w:tc>
          <w:tcPr>
            <w:tcW w:w="3120" w:type="dxa"/>
            <w:vMerge/>
            <w:tcBorders>
              <w:left w:val="single" w:sz="4" w:space="0" w:color="000000"/>
            </w:tcBorders>
          </w:tcPr>
          <w:p w14:paraId="294FA788" w14:textId="77777777" w:rsidR="005477D4" w:rsidRPr="00136B35" w:rsidRDefault="005477D4" w:rsidP="005010FD">
            <w:pPr>
              <w:keepNext/>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6FDADBB7" w14:textId="77777777" w:rsidR="005477D4" w:rsidRPr="00136B35" w:rsidRDefault="005477D4" w:rsidP="005010FD">
            <w:pPr>
              <w:keepNext/>
              <w:widowControl w:val="0"/>
              <w:autoSpaceDE w:val="0"/>
              <w:snapToGrid w:val="0"/>
              <w:jc w:val="both"/>
              <w:rPr>
                <w:szCs w:val="22"/>
                <w:vertAlign w:val="superscript"/>
              </w:rPr>
            </w:pPr>
            <w:r w:rsidRPr="00136B35">
              <w:rPr>
                <w:szCs w:val="22"/>
              </w:rPr>
              <w:t>Anafilassi</w:t>
            </w:r>
          </w:p>
        </w:tc>
        <w:tc>
          <w:tcPr>
            <w:tcW w:w="3161" w:type="dxa"/>
            <w:tcBorders>
              <w:top w:val="single" w:sz="4" w:space="0" w:color="000000"/>
              <w:left w:val="single" w:sz="4" w:space="0" w:color="000000"/>
              <w:bottom w:val="single" w:sz="4" w:space="0" w:color="000000"/>
              <w:right w:val="single" w:sz="4" w:space="0" w:color="000000"/>
            </w:tcBorders>
            <w:vAlign w:val="center"/>
          </w:tcPr>
          <w:p w14:paraId="3A2BF2BB" w14:textId="77777777" w:rsidR="005477D4" w:rsidRPr="00136B35" w:rsidRDefault="005477D4" w:rsidP="005010FD">
            <w:pPr>
              <w:keepNext/>
              <w:widowControl w:val="0"/>
              <w:snapToGrid w:val="0"/>
              <w:jc w:val="both"/>
              <w:rPr>
                <w:szCs w:val="22"/>
              </w:rPr>
            </w:pPr>
            <w:r w:rsidRPr="00136B35">
              <w:rPr>
                <w:szCs w:val="22"/>
              </w:rPr>
              <w:t>Non nota</w:t>
            </w:r>
          </w:p>
        </w:tc>
      </w:tr>
      <w:tr w:rsidR="005477D4" w:rsidRPr="00136B35" w14:paraId="3C6EAA62" w14:textId="77777777" w:rsidTr="009F1691">
        <w:trPr>
          <w:cantSplit/>
        </w:trPr>
        <w:tc>
          <w:tcPr>
            <w:tcW w:w="3120" w:type="dxa"/>
            <w:vMerge/>
            <w:tcBorders>
              <w:left w:val="single" w:sz="4" w:space="0" w:color="000000"/>
            </w:tcBorders>
          </w:tcPr>
          <w:p w14:paraId="33E15E47" w14:textId="77777777" w:rsidR="005477D4" w:rsidRPr="00136B35" w:rsidRDefault="005477D4" w:rsidP="005010FD">
            <w:pPr>
              <w:keepNext/>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67EAA2BB" w14:textId="77777777" w:rsidR="005477D4" w:rsidRPr="00136B35" w:rsidRDefault="005477D4" w:rsidP="005010FD">
            <w:pPr>
              <w:keepNext/>
              <w:widowControl w:val="0"/>
              <w:autoSpaceDE w:val="0"/>
              <w:snapToGrid w:val="0"/>
              <w:jc w:val="both"/>
              <w:rPr>
                <w:szCs w:val="22"/>
              </w:rPr>
            </w:pPr>
            <w:r w:rsidRPr="00136B35">
              <w:rPr>
                <w:szCs w:val="22"/>
              </w:rPr>
              <w:t>Dispnea</w:t>
            </w:r>
          </w:p>
        </w:tc>
        <w:tc>
          <w:tcPr>
            <w:tcW w:w="3161" w:type="dxa"/>
            <w:tcBorders>
              <w:top w:val="single" w:sz="4" w:space="0" w:color="000000"/>
              <w:left w:val="single" w:sz="4" w:space="0" w:color="000000"/>
              <w:bottom w:val="single" w:sz="4" w:space="0" w:color="000000"/>
              <w:right w:val="single" w:sz="4" w:space="0" w:color="000000"/>
            </w:tcBorders>
            <w:vAlign w:val="center"/>
          </w:tcPr>
          <w:p w14:paraId="2F71D114" w14:textId="77777777" w:rsidR="005477D4" w:rsidRPr="00136B35" w:rsidRDefault="005477D4" w:rsidP="005010FD">
            <w:pPr>
              <w:keepNext/>
              <w:widowControl w:val="0"/>
              <w:snapToGrid w:val="0"/>
              <w:jc w:val="both"/>
              <w:rPr>
                <w:szCs w:val="22"/>
              </w:rPr>
            </w:pPr>
            <w:r w:rsidRPr="00136B35">
              <w:rPr>
                <w:szCs w:val="22"/>
              </w:rPr>
              <w:t>Non nota</w:t>
            </w:r>
          </w:p>
        </w:tc>
      </w:tr>
      <w:tr w:rsidR="005477D4" w:rsidRPr="00136B35" w14:paraId="4CE48115" w14:textId="77777777" w:rsidTr="009F1691">
        <w:trPr>
          <w:cantSplit/>
        </w:trPr>
        <w:tc>
          <w:tcPr>
            <w:tcW w:w="3120" w:type="dxa"/>
            <w:vMerge/>
            <w:tcBorders>
              <w:left w:val="single" w:sz="4" w:space="0" w:color="000000"/>
            </w:tcBorders>
          </w:tcPr>
          <w:p w14:paraId="7C8B3B54" w14:textId="77777777" w:rsidR="005477D4" w:rsidRPr="00136B35" w:rsidRDefault="005477D4" w:rsidP="005010FD">
            <w:pPr>
              <w:keepNext/>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046FFB88" w14:textId="77777777" w:rsidR="005477D4" w:rsidRPr="00136B35" w:rsidRDefault="005477D4" w:rsidP="005010FD">
            <w:pPr>
              <w:keepNext/>
              <w:widowControl w:val="0"/>
              <w:autoSpaceDE w:val="0"/>
              <w:snapToGrid w:val="0"/>
              <w:jc w:val="both"/>
              <w:rPr>
                <w:szCs w:val="22"/>
              </w:rPr>
            </w:pPr>
            <w:r w:rsidRPr="00136B35">
              <w:rPr>
                <w:szCs w:val="22"/>
              </w:rPr>
              <w:t>Ipossia</w:t>
            </w:r>
          </w:p>
        </w:tc>
        <w:tc>
          <w:tcPr>
            <w:tcW w:w="3161" w:type="dxa"/>
            <w:tcBorders>
              <w:top w:val="single" w:sz="4" w:space="0" w:color="000000"/>
              <w:left w:val="single" w:sz="4" w:space="0" w:color="000000"/>
              <w:bottom w:val="single" w:sz="4" w:space="0" w:color="000000"/>
              <w:right w:val="single" w:sz="4" w:space="0" w:color="000000"/>
            </w:tcBorders>
            <w:vAlign w:val="center"/>
          </w:tcPr>
          <w:p w14:paraId="5711472E" w14:textId="77777777" w:rsidR="005477D4" w:rsidRPr="00136B35" w:rsidRDefault="005477D4" w:rsidP="005010FD">
            <w:pPr>
              <w:keepNext/>
              <w:widowControl w:val="0"/>
              <w:snapToGrid w:val="0"/>
              <w:jc w:val="both"/>
              <w:rPr>
                <w:szCs w:val="22"/>
              </w:rPr>
            </w:pPr>
            <w:r w:rsidRPr="00136B35">
              <w:rPr>
                <w:szCs w:val="22"/>
              </w:rPr>
              <w:t>Non nota</w:t>
            </w:r>
          </w:p>
        </w:tc>
      </w:tr>
      <w:tr w:rsidR="005477D4" w:rsidRPr="00136B35" w14:paraId="1D61451E" w14:textId="77777777" w:rsidTr="009F1691">
        <w:trPr>
          <w:cantSplit/>
        </w:trPr>
        <w:tc>
          <w:tcPr>
            <w:tcW w:w="3120" w:type="dxa"/>
            <w:vMerge/>
            <w:tcBorders>
              <w:left w:val="single" w:sz="4" w:space="0" w:color="000000"/>
            </w:tcBorders>
          </w:tcPr>
          <w:p w14:paraId="7538E681"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22EFE7F0" w14:textId="77777777" w:rsidR="005477D4" w:rsidRPr="00136B35" w:rsidRDefault="005477D4" w:rsidP="005010FD">
            <w:pPr>
              <w:widowControl w:val="0"/>
              <w:autoSpaceDE w:val="0"/>
              <w:snapToGrid w:val="0"/>
              <w:jc w:val="both"/>
              <w:rPr>
                <w:szCs w:val="22"/>
              </w:rPr>
            </w:pPr>
            <w:r w:rsidRPr="00136B35">
              <w:rPr>
                <w:szCs w:val="22"/>
              </w:rPr>
              <w:t>Ipotensione</w:t>
            </w:r>
          </w:p>
        </w:tc>
        <w:tc>
          <w:tcPr>
            <w:tcW w:w="3161" w:type="dxa"/>
            <w:tcBorders>
              <w:top w:val="single" w:sz="4" w:space="0" w:color="000000"/>
              <w:left w:val="single" w:sz="4" w:space="0" w:color="000000"/>
              <w:bottom w:val="single" w:sz="4" w:space="0" w:color="000000"/>
              <w:right w:val="single" w:sz="4" w:space="0" w:color="000000"/>
            </w:tcBorders>
            <w:vAlign w:val="center"/>
          </w:tcPr>
          <w:p w14:paraId="68A1AC70" w14:textId="77777777" w:rsidR="005477D4" w:rsidRPr="00136B35" w:rsidRDefault="005477D4" w:rsidP="005010FD">
            <w:pPr>
              <w:widowControl w:val="0"/>
              <w:snapToGrid w:val="0"/>
              <w:jc w:val="both"/>
              <w:rPr>
                <w:szCs w:val="22"/>
              </w:rPr>
            </w:pPr>
            <w:r w:rsidRPr="00136B35">
              <w:rPr>
                <w:szCs w:val="22"/>
              </w:rPr>
              <w:t>Non nota</w:t>
            </w:r>
          </w:p>
        </w:tc>
      </w:tr>
      <w:tr w:rsidR="005477D4" w:rsidRPr="00136B35" w14:paraId="41D7CEF2" w14:textId="77777777" w:rsidTr="009F1691">
        <w:trPr>
          <w:cantSplit/>
        </w:trPr>
        <w:tc>
          <w:tcPr>
            <w:tcW w:w="3120" w:type="dxa"/>
            <w:vMerge/>
            <w:tcBorders>
              <w:left w:val="single" w:sz="4" w:space="0" w:color="000000"/>
              <w:bottom w:val="single" w:sz="4" w:space="0" w:color="000000"/>
            </w:tcBorders>
          </w:tcPr>
          <w:p w14:paraId="37A5501D"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5BFF358F" w14:textId="77777777" w:rsidR="005477D4" w:rsidRPr="00136B35" w:rsidRDefault="005477D4" w:rsidP="005010FD">
            <w:pPr>
              <w:widowControl w:val="0"/>
              <w:autoSpaceDE w:val="0"/>
              <w:snapToGrid w:val="0"/>
              <w:jc w:val="both"/>
              <w:rPr>
                <w:szCs w:val="22"/>
              </w:rPr>
            </w:pPr>
            <w:r w:rsidRPr="00136B35">
              <w:rPr>
                <w:szCs w:val="22"/>
              </w:rPr>
              <w:t>Angioedema</w:t>
            </w:r>
          </w:p>
        </w:tc>
        <w:tc>
          <w:tcPr>
            <w:tcW w:w="3161" w:type="dxa"/>
            <w:tcBorders>
              <w:top w:val="single" w:sz="4" w:space="0" w:color="000000"/>
              <w:left w:val="single" w:sz="4" w:space="0" w:color="000000"/>
              <w:bottom w:val="single" w:sz="4" w:space="0" w:color="000000"/>
              <w:right w:val="single" w:sz="4" w:space="0" w:color="000000"/>
            </w:tcBorders>
            <w:vAlign w:val="center"/>
          </w:tcPr>
          <w:p w14:paraId="68B6A4A9" w14:textId="77777777" w:rsidR="005477D4" w:rsidRPr="00136B35" w:rsidRDefault="005477D4" w:rsidP="005010FD">
            <w:pPr>
              <w:widowControl w:val="0"/>
              <w:snapToGrid w:val="0"/>
              <w:jc w:val="both"/>
              <w:rPr>
                <w:szCs w:val="22"/>
              </w:rPr>
            </w:pPr>
            <w:r w:rsidRPr="00136B35">
              <w:rPr>
                <w:szCs w:val="22"/>
              </w:rPr>
              <w:t>Non nota</w:t>
            </w:r>
          </w:p>
        </w:tc>
      </w:tr>
      <w:tr w:rsidR="005477D4" w:rsidRPr="00136B35" w14:paraId="52B22948" w14:textId="77777777" w:rsidTr="009F1691">
        <w:trPr>
          <w:cantSplit/>
        </w:trPr>
        <w:tc>
          <w:tcPr>
            <w:tcW w:w="3120" w:type="dxa"/>
            <w:tcBorders>
              <w:top w:val="single" w:sz="4" w:space="0" w:color="000000"/>
              <w:left w:val="single" w:sz="4" w:space="0" w:color="000000"/>
              <w:bottom w:val="single" w:sz="4" w:space="0" w:color="000000"/>
            </w:tcBorders>
          </w:tcPr>
          <w:p w14:paraId="0F2AF4CE" w14:textId="77777777" w:rsidR="005477D4" w:rsidRPr="00136B35" w:rsidRDefault="005477D4" w:rsidP="005010FD">
            <w:pPr>
              <w:widowControl w:val="0"/>
              <w:autoSpaceDE w:val="0"/>
              <w:snapToGrid w:val="0"/>
              <w:jc w:val="both"/>
              <w:rPr>
                <w:szCs w:val="22"/>
              </w:rPr>
            </w:pPr>
            <w:r w:rsidRPr="00136B35">
              <w:rPr>
                <w:szCs w:val="22"/>
              </w:rPr>
              <w:t>Patologie del sistema nervoso</w:t>
            </w:r>
          </w:p>
        </w:tc>
        <w:tc>
          <w:tcPr>
            <w:tcW w:w="3120" w:type="dxa"/>
            <w:tcBorders>
              <w:top w:val="single" w:sz="4" w:space="0" w:color="000000"/>
              <w:left w:val="single" w:sz="4" w:space="0" w:color="000000"/>
              <w:bottom w:val="single" w:sz="4" w:space="0" w:color="000000"/>
            </w:tcBorders>
            <w:vAlign w:val="center"/>
          </w:tcPr>
          <w:p w14:paraId="7DFE42F9" w14:textId="77777777" w:rsidR="005477D4" w:rsidRPr="00136B35" w:rsidRDefault="005477D4" w:rsidP="005010FD">
            <w:pPr>
              <w:widowControl w:val="0"/>
              <w:autoSpaceDE w:val="0"/>
              <w:snapToGrid w:val="0"/>
              <w:jc w:val="both"/>
              <w:rPr>
                <w:szCs w:val="22"/>
              </w:rPr>
            </w:pPr>
            <w:r w:rsidRPr="00136B35">
              <w:rPr>
                <w:szCs w:val="22"/>
              </w:rPr>
              <w:t>Sensazione di bruciore</w:t>
            </w:r>
          </w:p>
        </w:tc>
        <w:tc>
          <w:tcPr>
            <w:tcW w:w="3161" w:type="dxa"/>
            <w:tcBorders>
              <w:top w:val="single" w:sz="4" w:space="0" w:color="000000"/>
              <w:left w:val="single" w:sz="4" w:space="0" w:color="000000"/>
              <w:bottom w:val="single" w:sz="4" w:space="0" w:color="000000"/>
              <w:right w:val="single" w:sz="4" w:space="0" w:color="000000"/>
            </w:tcBorders>
            <w:vAlign w:val="center"/>
          </w:tcPr>
          <w:p w14:paraId="1E5C36E1"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44AB0788" w14:textId="77777777" w:rsidTr="009F1691">
        <w:trPr>
          <w:cantSplit/>
        </w:trPr>
        <w:tc>
          <w:tcPr>
            <w:tcW w:w="3120" w:type="dxa"/>
            <w:vMerge w:val="restart"/>
            <w:tcBorders>
              <w:top w:val="single" w:sz="4" w:space="0" w:color="000000"/>
              <w:left w:val="single" w:sz="4" w:space="0" w:color="000000"/>
              <w:bottom w:val="single" w:sz="4" w:space="0" w:color="000000"/>
            </w:tcBorders>
          </w:tcPr>
          <w:p w14:paraId="17E69D4E" w14:textId="77777777" w:rsidR="005477D4" w:rsidRPr="00136B35" w:rsidRDefault="005477D4" w:rsidP="005010FD">
            <w:pPr>
              <w:keepNext/>
              <w:widowControl w:val="0"/>
              <w:autoSpaceDE w:val="0"/>
              <w:snapToGrid w:val="0"/>
              <w:jc w:val="both"/>
              <w:rPr>
                <w:szCs w:val="22"/>
              </w:rPr>
            </w:pPr>
            <w:r w:rsidRPr="00136B35">
              <w:rPr>
                <w:szCs w:val="22"/>
              </w:rPr>
              <w:t>Patologie vascolari</w:t>
            </w:r>
          </w:p>
        </w:tc>
        <w:tc>
          <w:tcPr>
            <w:tcW w:w="3120" w:type="dxa"/>
            <w:tcBorders>
              <w:top w:val="single" w:sz="4" w:space="0" w:color="000000"/>
              <w:left w:val="single" w:sz="4" w:space="0" w:color="000000"/>
              <w:bottom w:val="single" w:sz="4" w:space="0" w:color="000000"/>
            </w:tcBorders>
            <w:vAlign w:val="center"/>
          </w:tcPr>
          <w:p w14:paraId="052D6D44" w14:textId="77777777" w:rsidR="005477D4" w:rsidRPr="00136B35" w:rsidRDefault="005477D4" w:rsidP="005010FD">
            <w:pPr>
              <w:keepNext/>
              <w:widowControl w:val="0"/>
              <w:autoSpaceDE w:val="0"/>
              <w:snapToGrid w:val="0"/>
              <w:jc w:val="both"/>
              <w:rPr>
                <w:i/>
                <w:szCs w:val="22"/>
              </w:rPr>
            </w:pPr>
            <w:r w:rsidRPr="00136B35">
              <w:rPr>
                <w:szCs w:val="22"/>
              </w:rPr>
              <w:t xml:space="preserve">Rossore </w:t>
            </w:r>
          </w:p>
        </w:tc>
        <w:tc>
          <w:tcPr>
            <w:tcW w:w="3161" w:type="dxa"/>
            <w:tcBorders>
              <w:top w:val="single" w:sz="4" w:space="0" w:color="000000"/>
              <w:left w:val="single" w:sz="4" w:space="0" w:color="000000"/>
              <w:bottom w:val="single" w:sz="4" w:space="0" w:color="000000"/>
              <w:right w:val="single" w:sz="4" w:space="0" w:color="000000"/>
            </w:tcBorders>
            <w:vAlign w:val="center"/>
          </w:tcPr>
          <w:p w14:paraId="3AC57876" w14:textId="77777777" w:rsidR="005477D4" w:rsidRPr="00136B35" w:rsidRDefault="005477D4" w:rsidP="005010FD">
            <w:pPr>
              <w:keepNext/>
              <w:widowControl w:val="0"/>
              <w:autoSpaceDE w:val="0"/>
              <w:snapToGrid w:val="0"/>
              <w:jc w:val="both"/>
              <w:rPr>
                <w:szCs w:val="22"/>
              </w:rPr>
            </w:pPr>
            <w:r w:rsidRPr="00136B35">
              <w:rPr>
                <w:szCs w:val="22"/>
              </w:rPr>
              <w:t>Molto comune</w:t>
            </w:r>
          </w:p>
        </w:tc>
      </w:tr>
      <w:tr w:rsidR="005477D4" w:rsidRPr="00136B35" w14:paraId="403B095B" w14:textId="77777777" w:rsidTr="009F1691">
        <w:trPr>
          <w:cantSplit/>
        </w:trPr>
        <w:tc>
          <w:tcPr>
            <w:tcW w:w="3120" w:type="dxa"/>
            <w:vMerge/>
            <w:tcBorders>
              <w:top w:val="single" w:sz="4" w:space="0" w:color="000000"/>
              <w:left w:val="single" w:sz="4" w:space="0" w:color="000000"/>
              <w:bottom w:val="single" w:sz="4" w:space="0" w:color="000000"/>
            </w:tcBorders>
          </w:tcPr>
          <w:p w14:paraId="704CBCE0"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4AF6E0B9" w14:textId="77777777" w:rsidR="005477D4" w:rsidRPr="00136B35" w:rsidRDefault="005477D4" w:rsidP="005010FD">
            <w:pPr>
              <w:widowControl w:val="0"/>
              <w:autoSpaceDE w:val="0"/>
              <w:snapToGrid w:val="0"/>
              <w:jc w:val="both"/>
              <w:rPr>
                <w:szCs w:val="22"/>
              </w:rPr>
            </w:pPr>
            <w:r w:rsidRPr="00136B35">
              <w:rPr>
                <w:szCs w:val="22"/>
              </w:rPr>
              <w:t>Vampata di calore</w:t>
            </w:r>
          </w:p>
        </w:tc>
        <w:tc>
          <w:tcPr>
            <w:tcW w:w="3161" w:type="dxa"/>
            <w:tcBorders>
              <w:top w:val="single" w:sz="4" w:space="0" w:color="000000"/>
              <w:left w:val="single" w:sz="4" w:space="0" w:color="000000"/>
              <w:bottom w:val="single" w:sz="4" w:space="0" w:color="000000"/>
              <w:right w:val="single" w:sz="4" w:space="0" w:color="000000"/>
            </w:tcBorders>
            <w:vAlign w:val="center"/>
          </w:tcPr>
          <w:p w14:paraId="7C180314" w14:textId="77777777" w:rsidR="005477D4" w:rsidRPr="00136B35" w:rsidRDefault="005477D4" w:rsidP="005010FD">
            <w:pPr>
              <w:widowControl w:val="0"/>
              <w:autoSpaceDE w:val="0"/>
              <w:snapToGrid w:val="0"/>
              <w:jc w:val="both"/>
              <w:rPr>
                <w:szCs w:val="22"/>
              </w:rPr>
            </w:pPr>
            <w:r w:rsidRPr="00136B35">
              <w:rPr>
                <w:szCs w:val="22"/>
              </w:rPr>
              <w:t>Comune</w:t>
            </w:r>
          </w:p>
        </w:tc>
      </w:tr>
      <w:tr w:rsidR="005477D4" w:rsidRPr="00136B35" w14:paraId="19A8B518" w14:textId="77777777" w:rsidTr="009F1691">
        <w:trPr>
          <w:cantSplit/>
        </w:trPr>
        <w:tc>
          <w:tcPr>
            <w:tcW w:w="3120" w:type="dxa"/>
            <w:tcBorders>
              <w:top w:val="single" w:sz="4" w:space="0" w:color="000000"/>
              <w:left w:val="single" w:sz="4" w:space="0" w:color="000000"/>
              <w:bottom w:val="single" w:sz="4" w:space="0" w:color="000000"/>
            </w:tcBorders>
          </w:tcPr>
          <w:p w14:paraId="33E2C1E6" w14:textId="77777777" w:rsidR="005477D4" w:rsidRPr="00136B35" w:rsidRDefault="005477D4" w:rsidP="005010FD">
            <w:pPr>
              <w:widowControl w:val="0"/>
              <w:autoSpaceDE w:val="0"/>
              <w:snapToGrid w:val="0"/>
              <w:jc w:val="both"/>
              <w:rPr>
                <w:szCs w:val="22"/>
              </w:rPr>
            </w:pPr>
            <w:r w:rsidRPr="00136B35">
              <w:rPr>
                <w:szCs w:val="22"/>
              </w:rPr>
              <w:t>Patologie respiratorie, toraciche e mediastiniche</w:t>
            </w:r>
          </w:p>
        </w:tc>
        <w:tc>
          <w:tcPr>
            <w:tcW w:w="3120" w:type="dxa"/>
            <w:tcBorders>
              <w:top w:val="single" w:sz="4" w:space="0" w:color="000000"/>
              <w:left w:val="single" w:sz="4" w:space="0" w:color="000000"/>
              <w:bottom w:val="single" w:sz="4" w:space="0" w:color="000000"/>
            </w:tcBorders>
            <w:vAlign w:val="center"/>
          </w:tcPr>
          <w:p w14:paraId="1D35663B" w14:textId="77777777" w:rsidR="005477D4" w:rsidRPr="00136B35" w:rsidRDefault="005477D4" w:rsidP="005010FD">
            <w:pPr>
              <w:widowControl w:val="0"/>
              <w:autoSpaceDE w:val="0"/>
              <w:snapToGrid w:val="0"/>
              <w:jc w:val="both"/>
              <w:rPr>
                <w:szCs w:val="22"/>
              </w:rPr>
            </w:pPr>
            <w:r w:rsidRPr="00136B35">
              <w:rPr>
                <w:szCs w:val="22"/>
              </w:rPr>
              <w:t>Rinorrea</w:t>
            </w:r>
          </w:p>
        </w:tc>
        <w:tc>
          <w:tcPr>
            <w:tcW w:w="3161" w:type="dxa"/>
            <w:tcBorders>
              <w:top w:val="single" w:sz="4" w:space="0" w:color="000000"/>
              <w:left w:val="single" w:sz="4" w:space="0" w:color="000000"/>
              <w:bottom w:val="single" w:sz="4" w:space="0" w:color="000000"/>
              <w:right w:val="single" w:sz="4" w:space="0" w:color="000000"/>
            </w:tcBorders>
            <w:vAlign w:val="center"/>
          </w:tcPr>
          <w:p w14:paraId="249F9876" w14:textId="77777777" w:rsidR="005477D4" w:rsidRPr="00136B35" w:rsidRDefault="005477D4" w:rsidP="005010FD">
            <w:pPr>
              <w:widowControl w:val="0"/>
              <w:autoSpaceDE w:val="0"/>
              <w:snapToGrid w:val="0"/>
              <w:jc w:val="both"/>
              <w:rPr>
                <w:szCs w:val="22"/>
              </w:rPr>
            </w:pPr>
            <w:r w:rsidRPr="00136B35">
              <w:rPr>
                <w:szCs w:val="22"/>
              </w:rPr>
              <w:t>Non nota</w:t>
            </w:r>
          </w:p>
        </w:tc>
      </w:tr>
      <w:tr w:rsidR="005477D4" w:rsidRPr="00136B35" w14:paraId="5E65CF03" w14:textId="77777777" w:rsidTr="009F1691">
        <w:trPr>
          <w:cantSplit/>
        </w:trPr>
        <w:tc>
          <w:tcPr>
            <w:tcW w:w="3120" w:type="dxa"/>
            <w:vMerge w:val="restart"/>
            <w:tcBorders>
              <w:top w:val="single" w:sz="4" w:space="0" w:color="000000"/>
              <w:left w:val="single" w:sz="4" w:space="0" w:color="000000"/>
              <w:bottom w:val="single" w:sz="4" w:space="0" w:color="000000"/>
            </w:tcBorders>
          </w:tcPr>
          <w:p w14:paraId="78382578" w14:textId="77777777" w:rsidR="005477D4" w:rsidRPr="00136B35" w:rsidRDefault="005477D4" w:rsidP="005010FD">
            <w:pPr>
              <w:widowControl w:val="0"/>
              <w:autoSpaceDE w:val="0"/>
              <w:snapToGrid w:val="0"/>
              <w:jc w:val="both"/>
              <w:rPr>
                <w:szCs w:val="22"/>
              </w:rPr>
            </w:pPr>
            <w:r w:rsidRPr="00136B35">
              <w:rPr>
                <w:szCs w:val="22"/>
              </w:rPr>
              <w:t>Patologie gastrointestinali</w:t>
            </w:r>
          </w:p>
        </w:tc>
        <w:tc>
          <w:tcPr>
            <w:tcW w:w="3120" w:type="dxa"/>
            <w:tcBorders>
              <w:top w:val="single" w:sz="4" w:space="0" w:color="000000"/>
              <w:left w:val="single" w:sz="4" w:space="0" w:color="000000"/>
              <w:bottom w:val="single" w:sz="4" w:space="0" w:color="000000"/>
            </w:tcBorders>
            <w:vAlign w:val="center"/>
          </w:tcPr>
          <w:p w14:paraId="1D025EF0" w14:textId="77777777" w:rsidR="005477D4" w:rsidRPr="00136B35" w:rsidRDefault="005477D4" w:rsidP="005010FD">
            <w:pPr>
              <w:widowControl w:val="0"/>
              <w:autoSpaceDE w:val="0"/>
              <w:snapToGrid w:val="0"/>
              <w:jc w:val="both"/>
              <w:rPr>
                <w:szCs w:val="22"/>
              </w:rPr>
            </w:pPr>
            <w:r w:rsidRPr="00136B35">
              <w:rPr>
                <w:szCs w:val="22"/>
              </w:rPr>
              <w:t xml:space="preserve">Diarrea </w:t>
            </w:r>
          </w:p>
        </w:tc>
        <w:tc>
          <w:tcPr>
            <w:tcW w:w="3161" w:type="dxa"/>
            <w:tcBorders>
              <w:top w:val="single" w:sz="4" w:space="0" w:color="000000"/>
              <w:left w:val="single" w:sz="4" w:space="0" w:color="000000"/>
              <w:bottom w:val="single" w:sz="4" w:space="0" w:color="000000"/>
              <w:right w:val="single" w:sz="4" w:space="0" w:color="000000"/>
            </w:tcBorders>
            <w:vAlign w:val="center"/>
          </w:tcPr>
          <w:p w14:paraId="7F00D7DA" w14:textId="77777777" w:rsidR="005477D4" w:rsidRPr="00136B35" w:rsidRDefault="005477D4" w:rsidP="005010FD">
            <w:pPr>
              <w:widowControl w:val="0"/>
              <w:snapToGrid w:val="0"/>
              <w:jc w:val="both"/>
              <w:rPr>
                <w:szCs w:val="22"/>
              </w:rPr>
            </w:pPr>
            <w:r w:rsidRPr="00136B35">
              <w:rPr>
                <w:szCs w:val="22"/>
              </w:rPr>
              <w:t>Molto comune</w:t>
            </w:r>
          </w:p>
        </w:tc>
      </w:tr>
      <w:tr w:rsidR="005477D4" w:rsidRPr="00136B35" w14:paraId="34D7C8D1" w14:textId="77777777" w:rsidTr="009F1691">
        <w:trPr>
          <w:cantSplit/>
        </w:trPr>
        <w:tc>
          <w:tcPr>
            <w:tcW w:w="3120" w:type="dxa"/>
            <w:vMerge/>
            <w:tcBorders>
              <w:top w:val="single" w:sz="4" w:space="0" w:color="000000"/>
              <w:left w:val="single" w:sz="4" w:space="0" w:color="000000"/>
              <w:bottom w:val="single" w:sz="4" w:space="0" w:color="000000"/>
            </w:tcBorders>
          </w:tcPr>
          <w:p w14:paraId="02C39A02"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24F7F221" w14:textId="77777777" w:rsidR="005477D4" w:rsidRPr="00136B35" w:rsidRDefault="005477D4" w:rsidP="005010FD">
            <w:pPr>
              <w:widowControl w:val="0"/>
              <w:autoSpaceDE w:val="0"/>
              <w:snapToGrid w:val="0"/>
              <w:jc w:val="both"/>
              <w:rPr>
                <w:szCs w:val="22"/>
              </w:rPr>
            </w:pPr>
            <w:r w:rsidRPr="00136B35">
              <w:rPr>
                <w:szCs w:val="22"/>
              </w:rPr>
              <w:t xml:space="preserve">Nausea </w:t>
            </w:r>
          </w:p>
        </w:tc>
        <w:tc>
          <w:tcPr>
            <w:tcW w:w="3161" w:type="dxa"/>
            <w:tcBorders>
              <w:top w:val="single" w:sz="4" w:space="0" w:color="000000"/>
              <w:left w:val="single" w:sz="4" w:space="0" w:color="000000"/>
              <w:bottom w:val="single" w:sz="4" w:space="0" w:color="000000"/>
              <w:right w:val="single" w:sz="4" w:space="0" w:color="000000"/>
            </w:tcBorders>
            <w:vAlign w:val="center"/>
          </w:tcPr>
          <w:p w14:paraId="5710A6B1" w14:textId="77777777" w:rsidR="005477D4" w:rsidRPr="00136B35" w:rsidRDefault="005477D4" w:rsidP="005010FD">
            <w:pPr>
              <w:widowControl w:val="0"/>
              <w:snapToGrid w:val="0"/>
              <w:jc w:val="both"/>
              <w:rPr>
                <w:szCs w:val="22"/>
              </w:rPr>
            </w:pPr>
            <w:r w:rsidRPr="00136B35">
              <w:rPr>
                <w:szCs w:val="22"/>
              </w:rPr>
              <w:t>Molto comune</w:t>
            </w:r>
          </w:p>
        </w:tc>
      </w:tr>
      <w:tr w:rsidR="005477D4" w:rsidRPr="00136B35" w14:paraId="79A57573" w14:textId="77777777" w:rsidTr="009F1691">
        <w:trPr>
          <w:cantSplit/>
        </w:trPr>
        <w:tc>
          <w:tcPr>
            <w:tcW w:w="3120" w:type="dxa"/>
            <w:vMerge/>
            <w:tcBorders>
              <w:top w:val="single" w:sz="4" w:space="0" w:color="000000"/>
              <w:left w:val="single" w:sz="4" w:space="0" w:color="000000"/>
              <w:bottom w:val="single" w:sz="4" w:space="0" w:color="000000"/>
            </w:tcBorders>
          </w:tcPr>
          <w:p w14:paraId="553FBEB6"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09841C38" w14:textId="77777777" w:rsidR="005477D4" w:rsidRPr="00136B35" w:rsidRDefault="005477D4" w:rsidP="005010FD">
            <w:pPr>
              <w:widowControl w:val="0"/>
              <w:autoSpaceDE w:val="0"/>
              <w:snapToGrid w:val="0"/>
              <w:jc w:val="both"/>
              <w:rPr>
                <w:szCs w:val="22"/>
              </w:rPr>
            </w:pPr>
            <w:r w:rsidRPr="00136B35">
              <w:rPr>
                <w:szCs w:val="22"/>
              </w:rPr>
              <w:t xml:space="preserve">Dolore addominale superiore </w:t>
            </w:r>
          </w:p>
        </w:tc>
        <w:tc>
          <w:tcPr>
            <w:tcW w:w="3161" w:type="dxa"/>
            <w:tcBorders>
              <w:top w:val="single" w:sz="4" w:space="0" w:color="000000"/>
              <w:left w:val="single" w:sz="4" w:space="0" w:color="000000"/>
              <w:bottom w:val="single" w:sz="4" w:space="0" w:color="000000"/>
              <w:right w:val="single" w:sz="4" w:space="0" w:color="000000"/>
            </w:tcBorders>
            <w:vAlign w:val="center"/>
          </w:tcPr>
          <w:p w14:paraId="2C3B4A7D" w14:textId="77777777" w:rsidR="005477D4" w:rsidRPr="00136B35" w:rsidRDefault="005477D4" w:rsidP="005010FD">
            <w:pPr>
              <w:widowControl w:val="0"/>
              <w:snapToGrid w:val="0"/>
              <w:jc w:val="both"/>
              <w:rPr>
                <w:szCs w:val="22"/>
              </w:rPr>
            </w:pPr>
            <w:r w:rsidRPr="00136B35">
              <w:rPr>
                <w:szCs w:val="22"/>
              </w:rPr>
              <w:t>Molto comune</w:t>
            </w:r>
          </w:p>
        </w:tc>
      </w:tr>
      <w:tr w:rsidR="005477D4" w:rsidRPr="00136B35" w14:paraId="48DE0CDF" w14:textId="77777777" w:rsidTr="009F1691">
        <w:trPr>
          <w:cantSplit/>
        </w:trPr>
        <w:tc>
          <w:tcPr>
            <w:tcW w:w="3120" w:type="dxa"/>
            <w:vMerge/>
            <w:tcBorders>
              <w:top w:val="single" w:sz="4" w:space="0" w:color="000000"/>
              <w:left w:val="single" w:sz="4" w:space="0" w:color="000000"/>
              <w:bottom w:val="single" w:sz="4" w:space="0" w:color="000000"/>
            </w:tcBorders>
          </w:tcPr>
          <w:p w14:paraId="5B97A706"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63EF80E5" w14:textId="77777777" w:rsidR="005477D4" w:rsidRPr="00136B35" w:rsidRDefault="005477D4" w:rsidP="005010FD">
            <w:pPr>
              <w:widowControl w:val="0"/>
              <w:autoSpaceDE w:val="0"/>
              <w:snapToGrid w:val="0"/>
              <w:jc w:val="both"/>
              <w:rPr>
                <w:szCs w:val="22"/>
              </w:rPr>
            </w:pPr>
            <w:r w:rsidRPr="00136B35">
              <w:rPr>
                <w:szCs w:val="22"/>
              </w:rPr>
              <w:t>Dolore addominale</w:t>
            </w:r>
          </w:p>
        </w:tc>
        <w:tc>
          <w:tcPr>
            <w:tcW w:w="3161" w:type="dxa"/>
            <w:tcBorders>
              <w:top w:val="single" w:sz="4" w:space="0" w:color="000000"/>
              <w:left w:val="single" w:sz="4" w:space="0" w:color="000000"/>
              <w:bottom w:val="single" w:sz="4" w:space="0" w:color="000000"/>
              <w:right w:val="single" w:sz="4" w:space="0" w:color="000000"/>
            </w:tcBorders>
            <w:vAlign w:val="center"/>
          </w:tcPr>
          <w:p w14:paraId="7630CAB9" w14:textId="77777777" w:rsidR="005477D4" w:rsidRPr="00136B35" w:rsidRDefault="005477D4" w:rsidP="005010FD">
            <w:pPr>
              <w:widowControl w:val="0"/>
              <w:snapToGrid w:val="0"/>
              <w:jc w:val="both"/>
              <w:rPr>
                <w:szCs w:val="22"/>
              </w:rPr>
            </w:pPr>
            <w:r w:rsidRPr="00136B35">
              <w:rPr>
                <w:szCs w:val="22"/>
              </w:rPr>
              <w:t>Molto comune</w:t>
            </w:r>
          </w:p>
        </w:tc>
      </w:tr>
      <w:tr w:rsidR="005477D4" w:rsidRPr="00136B35" w14:paraId="71B9091C" w14:textId="77777777" w:rsidTr="009F1691">
        <w:trPr>
          <w:cantSplit/>
        </w:trPr>
        <w:tc>
          <w:tcPr>
            <w:tcW w:w="3120" w:type="dxa"/>
            <w:vMerge/>
            <w:tcBorders>
              <w:top w:val="single" w:sz="4" w:space="0" w:color="000000"/>
              <w:left w:val="single" w:sz="4" w:space="0" w:color="000000"/>
              <w:bottom w:val="single" w:sz="4" w:space="0" w:color="000000"/>
            </w:tcBorders>
          </w:tcPr>
          <w:p w14:paraId="09A0B5FC"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75723865" w14:textId="77777777" w:rsidR="005477D4" w:rsidRPr="00136B35" w:rsidRDefault="005477D4" w:rsidP="005010FD">
            <w:pPr>
              <w:widowControl w:val="0"/>
              <w:autoSpaceDE w:val="0"/>
              <w:snapToGrid w:val="0"/>
              <w:jc w:val="both"/>
              <w:rPr>
                <w:szCs w:val="22"/>
              </w:rPr>
            </w:pPr>
            <w:r w:rsidRPr="00136B35">
              <w:rPr>
                <w:szCs w:val="22"/>
              </w:rPr>
              <w:t>Vomito</w:t>
            </w:r>
          </w:p>
        </w:tc>
        <w:tc>
          <w:tcPr>
            <w:tcW w:w="3161" w:type="dxa"/>
            <w:tcBorders>
              <w:top w:val="single" w:sz="4" w:space="0" w:color="000000"/>
              <w:left w:val="single" w:sz="4" w:space="0" w:color="000000"/>
              <w:bottom w:val="single" w:sz="4" w:space="0" w:color="000000"/>
              <w:right w:val="single" w:sz="4" w:space="0" w:color="000000"/>
            </w:tcBorders>
            <w:vAlign w:val="center"/>
          </w:tcPr>
          <w:p w14:paraId="39EA6F35"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1F32CCC2" w14:textId="77777777" w:rsidTr="009F1691">
        <w:trPr>
          <w:cantSplit/>
        </w:trPr>
        <w:tc>
          <w:tcPr>
            <w:tcW w:w="3120" w:type="dxa"/>
            <w:vMerge/>
            <w:tcBorders>
              <w:top w:val="single" w:sz="4" w:space="0" w:color="000000"/>
              <w:left w:val="single" w:sz="4" w:space="0" w:color="000000"/>
              <w:bottom w:val="single" w:sz="4" w:space="0" w:color="000000"/>
            </w:tcBorders>
          </w:tcPr>
          <w:p w14:paraId="629F749A"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1A49147C" w14:textId="77777777" w:rsidR="005477D4" w:rsidRPr="00136B35" w:rsidRDefault="005477D4" w:rsidP="005010FD">
            <w:pPr>
              <w:widowControl w:val="0"/>
              <w:autoSpaceDE w:val="0"/>
              <w:snapToGrid w:val="0"/>
              <w:jc w:val="both"/>
              <w:rPr>
                <w:szCs w:val="22"/>
              </w:rPr>
            </w:pPr>
            <w:r w:rsidRPr="00136B35">
              <w:rPr>
                <w:szCs w:val="22"/>
              </w:rPr>
              <w:t>Dispepsia</w:t>
            </w:r>
          </w:p>
        </w:tc>
        <w:tc>
          <w:tcPr>
            <w:tcW w:w="3161" w:type="dxa"/>
            <w:tcBorders>
              <w:top w:val="single" w:sz="4" w:space="0" w:color="000000"/>
              <w:left w:val="single" w:sz="4" w:space="0" w:color="000000"/>
              <w:bottom w:val="single" w:sz="4" w:space="0" w:color="000000"/>
              <w:right w:val="single" w:sz="4" w:space="0" w:color="000000"/>
            </w:tcBorders>
            <w:vAlign w:val="center"/>
          </w:tcPr>
          <w:p w14:paraId="00A3990A"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72FDE874" w14:textId="77777777" w:rsidTr="009F1691">
        <w:trPr>
          <w:cantSplit/>
        </w:trPr>
        <w:tc>
          <w:tcPr>
            <w:tcW w:w="3120" w:type="dxa"/>
            <w:vMerge/>
            <w:tcBorders>
              <w:top w:val="single" w:sz="4" w:space="0" w:color="000000"/>
              <w:left w:val="single" w:sz="4" w:space="0" w:color="000000"/>
              <w:bottom w:val="single" w:sz="4" w:space="0" w:color="000000"/>
            </w:tcBorders>
          </w:tcPr>
          <w:p w14:paraId="7AE5E3D3"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60620794" w14:textId="77777777" w:rsidR="005477D4" w:rsidRPr="00136B35" w:rsidRDefault="005477D4" w:rsidP="005010FD">
            <w:pPr>
              <w:widowControl w:val="0"/>
              <w:autoSpaceDE w:val="0"/>
              <w:snapToGrid w:val="0"/>
              <w:jc w:val="both"/>
              <w:rPr>
                <w:szCs w:val="22"/>
              </w:rPr>
            </w:pPr>
            <w:r w:rsidRPr="00136B35">
              <w:rPr>
                <w:szCs w:val="22"/>
              </w:rPr>
              <w:t>Gastrite</w:t>
            </w:r>
          </w:p>
        </w:tc>
        <w:tc>
          <w:tcPr>
            <w:tcW w:w="3161" w:type="dxa"/>
            <w:tcBorders>
              <w:top w:val="single" w:sz="4" w:space="0" w:color="000000"/>
              <w:left w:val="single" w:sz="4" w:space="0" w:color="000000"/>
              <w:bottom w:val="single" w:sz="4" w:space="0" w:color="000000"/>
              <w:right w:val="single" w:sz="4" w:space="0" w:color="000000"/>
            </w:tcBorders>
            <w:vAlign w:val="center"/>
          </w:tcPr>
          <w:p w14:paraId="2BC9ACFB"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69DEEB75" w14:textId="77777777" w:rsidTr="009F1691">
        <w:trPr>
          <w:cantSplit/>
        </w:trPr>
        <w:tc>
          <w:tcPr>
            <w:tcW w:w="3120" w:type="dxa"/>
            <w:vMerge/>
            <w:tcBorders>
              <w:top w:val="single" w:sz="4" w:space="0" w:color="000000"/>
              <w:left w:val="single" w:sz="4" w:space="0" w:color="000000"/>
              <w:bottom w:val="single" w:sz="4" w:space="0" w:color="000000"/>
            </w:tcBorders>
          </w:tcPr>
          <w:p w14:paraId="11CBB117"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4E557813" w14:textId="77777777" w:rsidR="005477D4" w:rsidRPr="00136B35" w:rsidRDefault="005477D4" w:rsidP="005010FD">
            <w:pPr>
              <w:widowControl w:val="0"/>
              <w:autoSpaceDE w:val="0"/>
              <w:snapToGrid w:val="0"/>
              <w:jc w:val="both"/>
              <w:rPr>
                <w:szCs w:val="22"/>
              </w:rPr>
            </w:pPr>
            <w:r w:rsidRPr="00136B35">
              <w:rPr>
                <w:szCs w:val="22"/>
              </w:rPr>
              <w:t>Disturbo gastrointestinale</w:t>
            </w:r>
          </w:p>
        </w:tc>
        <w:tc>
          <w:tcPr>
            <w:tcW w:w="3161" w:type="dxa"/>
            <w:tcBorders>
              <w:top w:val="single" w:sz="4" w:space="0" w:color="000000"/>
              <w:left w:val="single" w:sz="4" w:space="0" w:color="000000"/>
              <w:bottom w:val="single" w:sz="4" w:space="0" w:color="000000"/>
              <w:right w:val="single" w:sz="4" w:space="0" w:color="000000"/>
            </w:tcBorders>
            <w:vAlign w:val="center"/>
          </w:tcPr>
          <w:p w14:paraId="3FEC5E00"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4BCDD9DC" w14:textId="77777777" w:rsidTr="009F1691">
        <w:trPr>
          <w:cantSplit/>
        </w:trPr>
        <w:tc>
          <w:tcPr>
            <w:tcW w:w="3120" w:type="dxa"/>
            <w:vMerge w:val="restart"/>
            <w:tcBorders>
              <w:top w:val="single" w:sz="4" w:space="0" w:color="000000"/>
              <w:left w:val="single" w:sz="4" w:space="0" w:color="000000"/>
            </w:tcBorders>
          </w:tcPr>
          <w:p w14:paraId="27FBCFF5" w14:textId="77777777" w:rsidR="005477D4" w:rsidRPr="00136B35" w:rsidRDefault="005477D4" w:rsidP="005010FD">
            <w:pPr>
              <w:widowControl w:val="0"/>
              <w:autoSpaceDE w:val="0"/>
              <w:snapToGrid w:val="0"/>
              <w:jc w:val="both"/>
              <w:rPr>
                <w:szCs w:val="22"/>
              </w:rPr>
            </w:pPr>
            <w:r w:rsidRPr="00136B35">
              <w:rPr>
                <w:szCs w:val="22"/>
              </w:rPr>
              <w:t>Patologie epatobiliari</w:t>
            </w:r>
          </w:p>
        </w:tc>
        <w:tc>
          <w:tcPr>
            <w:tcW w:w="3120" w:type="dxa"/>
            <w:tcBorders>
              <w:top w:val="single" w:sz="4" w:space="0" w:color="000000"/>
              <w:left w:val="single" w:sz="4" w:space="0" w:color="000000"/>
              <w:bottom w:val="single" w:sz="4" w:space="0" w:color="000000"/>
            </w:tcBorders>
            <w:vAlign w:val="center"/>
          </w:tcPr>
          <w:p w14:paraId="0265A56D" w14:textId="77777777" w:rsidR="005477D4" w:rsidRPr="00136B35" w:rsidRDefault="005477D4" w:rsidP="005010FD">
            <w:pPr>
              <w:widowControl w:val="0"/>
              <w:autoSpaceDE w:val="0"/>
              <w:snapToGrid w:val="0"/>
              <w:jc w:val="both"/>
              <w:rPr>
                <w:szCs w:val="22"/>
              </w:rPr>
            </w:pPr>
            <w:r w:rsidRPr="00136B35">
              <w:rPr>
                <w:szCs w:val="22"/>
              </w:rPr>
              <w:t xml:space="preserve">Aspartato aminotransferasi aumentata </w:t>
            </w:r>
          </w:p>
        </w:tc>
        <w:tc>
          <w:tcPr>
            <w:tcW w:w="3161" w:type="dxa"/>
            <w:tcBorders>
              <w:top w:val="single" w:sz="4" w:space="0" w:color="000000"/>
              <w:left w:val="single" w:sz="4" w:space="0" w:color="000000"/>
              <w:bottom w:val="single" w:sz="4" w:space="0" w:color="000000"/>
              <w:right w:val="single" w:sz="4" w:space="0" w:color="000000"/>
            </w:tcBorders>
            <w:vAlign w:val="center"/>
          </w:tcPr>
          <w:p w14:paraId="1087FBA6"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37B617E1" w14:textId="77777777" w:rsidTr="009F1691">
        <w:trPr>
          <w:cantSplit/>
        </w:trPr>
        <w:tc>
          <w:tcPr>
            <w:tcW w:w="3120" w:type="dxa"/>
            <w:vMerge/>
            <w:tcBorders>
              <w:left w:val="single" w:sz="4" w:space="0" w:color="000000"/>
            </w:tcBorders>
          </w:tcPr>
          <w:p w14:paraId="332BB380"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2E920287" w14:textId="77777777" w:rsidR="005477D4" w:rsidRPr="00136B35" w:rsidRDefault="005477D4" w:rsidP="005010FD">
            <w:pPr>
              <w:widowControl w:val="0"/>
              <w:autoSpaceDE w:val="0"/>
              <w:snapToGrid w:val="0"/>
              <w:jc w:val="both"/>
              <w:rPr>
                <w:szCs w:val="22"/>
              </w:rPr>
            </w:pPr>
            <w:r w:rsidRPr="00136B35">
              <w:rPr>
                <w:szCs w:val="22"/>
              </w:rPr>
              <w:t xml:space="preserve">Alanina aminotransferasi aumentata </w:t>
            </w:r>
          </w:p>
        </w:tc>
        <w:tc>
          <w:tcPr>
            <w:tcW w:w="3161" w:type="dxa"/>
            <w:tcBorders>
              <w:top w:val="single" w:sz="4" w:space="0" w:color="000000"/>
              <w:left w:val="single" w:sz="4" w:space="0" w:color="000000"/>
              <w:bottom w:val="single" w:sz="4" w:space="0" w:color="000000"/>
              <w:right w:val="single" w:sz="4" w:space="0" w:color="000000"/>
            </w:tcBorders>
            <w:vAlign w:val="center"/>
          </w:tcPr>
          <w:p w14:paraId="3277C465"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79E3DD54" w14:textId="77777777" w:rsidTr="009F1691">
        <w:trPr>
          <w:cantSplit/>
        </w:trPr>
        <w:tc>
          <w:tcPr>
            <w:tcW w:w="3120" w:type="dxa"/>
            <w:vMerge/>
            <w:tcBorders>
              <w:left w:val="single" w:sz="4" w:space="0" w:color="000000"/>
              <w:bottom w:val="single" w:sz="4" w:space="0" w:color="000000"/>
            </w:tcBorders>
          </w:tcPr>
          <w:p w14:paraId="5FBEEDA0"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3AAEF9A1" w14:textId="77777777" w:rsidR="005477D4" w:rsidRPr="00136B35" w:rsidRDefault="005477D4" w:rsidP="005010FD">
            <w:pPr>
              <w:widowControl w:val="0"/>
              <w:autoSpaceDE w:val="0"/>
              <w:snapToGrid w:val="0"/>
              <w:jc w:val="both"/>
              <w:rPr>
                <w:szCs w:val="22"/>
                <w:vertAlign w:val="superscript"/>
              </w:rPr>
            </w:pPr>
            <w:r w:rsidRPr="00136B35">
              <w:rPr>
                <w:szCs w:val="22"/>
              </w:rPr>
              <w:t>Danno epatico da farmaci</w:t>
            </w:r>
          </w:p>
        </w:tc>
        <w:tc>
          <w:tcPr>
            <w:tcW w:w="3161" w:type="dxa"/>
            <w:tcBorders>
              <w:top w:val="single" w:sz="4" w:space="0" w:color="000000"/>
              <w:left w:val="single" w:sz="4" w:space="0" w:color="000000"/>
              <w:bottom w:val="single" w:sz="4" w:space="0" w:color="000000"/>
              <w:right w:val="single" w:sz="4" w:space="0" w:color="000000"/>
            </w:tcBorders>
            <w:vAlign w:val="center"/>
          </w:tcPr>
          <w:p w14:paraId="65AB5B8B" w14:textId="2FCFB599" w:rsidR="005477D4" w:rsidRPr="00136B35" w:rsidRDefault="005477D4" w:rsidP="005010FD">
            <w:pPr>
              <w:widowControl w:val="0"/>
              <w:snapToGrid w:val="0"/>
              <w:jc w:val="both"/>
              <w:rPr>
                <w:szCs w:val="22"/>
              </w:rPr>
            </w:pPr>
            <w:r w:rsidRPr="00136B35">
              <w:rPr>
                <w:szCs w:val="22"/>
              </w:rPr>
              <w:t>Raro</w:t>
            </w:r>
          </w:p>
        </w:tc>
      </w:tr>
      <w:tr w:rsidR="005477D4" w:rsidRPr="00136B35" w14:paraId="26BD205D" w14:textId="77777777" w:rsidTr="009F1691">
        <w:trPr>
          <w:cantSplit/>
        </w:trPr>
        <w:tc>
          <w:tcPr>
            <w:tcW w:w="3120" w:type="dxa"/>
            <w:vMerge w:val="restart"/>
            <w:tcBorders>
              <w:top w:val="single" w:sz="4" w:space="0" w:color="000000"/>
              <w:left w:val="single" w:sz="4" w:space="0" w:color="000000"/>
            </w:tcBorders>
          </w:tcPr>
          <w:p w14:paraId="35AEC6B1" w14:textId="77777777" w:rsidR="005477D4" w:rsidRPr="00136B35" w:rsidRDefault="005477D4" w:rsidP="005010FD">
            <w:pPr>
              <w:widowControl w:val="0"/>
              <w:autoSpaceDE w:val="0"/>
              <w:snapToGrid w:val="0"/>
              <w:jc w:val="both"/>
              <w:rPr>
                <w:szCs w:val="22"/>
              </w:rPr>
            </w:pPr>
            <w:r w:rsidRPr="00136B35">
              <w:rPr>
                <w:szCs w:val="22"/>
              </w:rPr>
              <w:t>Patologie della cute e del tessuto sottocutaneo</w:t>
            </w:r>
          </w:p>
        </w:tc>
        <w:tc>
          <w:tcPr>
            <w:tcW w:w="3120" w:type="dxa"/>
            <w:tcBorders>
              <w:top w:val="single" w:sz="4" w:space="0" w:color="000000"/>
              <w:left w:val="single" w:sz="4" w:space="0" w:color="000000"/>
              <w:bottom w:val="single" w:sz="4" w:space="0" w:color="000000"/>
            </w:tcBorders>
            <w:vAlign w:val="center"/>
          </w:tcPr>
          <w:p w14:paraId="0D0952CA" w14:textId="77777777" w:rsidR="005477D4" w:rsidRPr="00136B35" w:rsidRDefault="005477D4" w:rsidP="005010FD">
            <w:pPr>
              <w:widowControl w:val="0"/>
              <w:autoSpaceDE w:val="0"/>
              <w:snapToGrid w:val="0"/>
              <w:jc w:val="both"/>
              <w:rPr>
                <w:szCs w:val="22"/>
              </w:rPr>
            </w:pPr>
            <w:r w:rsidRPr="00136B35">
              <w:rPr>
                <w:szCs w:val="22"/>
              </w:rPr>
              <w:t>Prurito</w:t>
            </w:r>
          </w:p>
        </w:tc>
        <w:tc>
          <w:tcPr>
            <w:tcW w:w="3161" w:type="dxa"/>
            <w:tcBorders>
              <w:top w:val="single" w:sz="4" w:space="0" w:color="000000"/>
              <w:left w:val="single" w:sz="4" w:space="0" w:color="000000"/>
              <w:bottom w:val="single" w:sz="4" w:space="0" w:color="000000"/>
              <w:right w:val="single" w:sz="4" w:space="0" w:color="000000"/>
            </w:tcBorders>
            <w:vAlign w:val="center"/>
          </w:tcPr>
          <w:p w14:paraId="39B9C4BC"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18F37357" w14:textId="77777777" w:rsidTr="009F1691">
        <w:trPr>
          <w:cantSplit/>
        </w:trPr>
        <w:tc>
          <w:tcPr>
            <w:tcW w:w="3120" w:type="dxa"/>
            <w:vMerge/>
            <w:tcBorders>
              <w:left w:val="single" w:sz="4" w:space="0" w:color="000000"/>
            </w:tcBorders>
          </w:tcPr>
          <w:p w14:paraId="408F4EE0"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54D1BEF7" w14:textId="77777777" w:rsidR="005477D4" w:rsidRPr="00136B35" w:rsidRDefault="005477D4" w:rsidP="005010FD">
            <w:pPr>
              <w:widowControl w:val="0"/>
              <w:autoSpaceDE w:val="0"/>
              <w:snapToGrid w:val="0"/>
              <w:jc w:val="both"/>
              <w:rPr>
                <w:szCs w:val="22"/>
              </w:rPr>
            </w:pPr>
            <w:r w:rsidRPr="00136B35">
              <w:rPr>
                <w:szCs w:val="22"/>
              </w:rPr>
              <w:t>Eruzione cutanea</w:t>
            </w:r>
          </w:p>
        </w:tc>
        <w:tc>
          <w:tcPr>
            <w:tcW w:w="3161" w:type="dxa"/>
            <w:tcBorders>
              <w:top w:val="single" w:sz="4" w:space="0" w:color="000000"/>
              <w:left w:val="single" w:sz="4" w:space="0" w:color="000000"/>
              <w:bottom w:val="single" w:sz="4" w:space="0" w:color="000000"/>
              <w:right w:val="single" w:sz="4" w:space="0" w:color="000000"/>
            </w:tcBorders>
            <w:vAlign w:val="center"/>
          </w:tcPr>
          <w:p w14:paraId="0D97F089"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2A7011FC" w14:textId="77777777" w:rsidTr="009F1691">
        <w:trPr>
          <w:cantSplit/>
        </w:trPr>
        <w:tc>
          <w:tcPr>
            <w:tcW w:w="3120" w:type="dxa"/>
            <w:vMerge/>
            <w:tcBorders>
              <w:left w:val="single" w:sz="4" w:space="0" w:color="000000"/>
            </w:tcBorders>
          </w:tcPr>
          <w:p w14:paraId="4E9C9397"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67D6F087" w14:textId="77777777" w:rsidR="005477D4" w:rsidRPr="00136B35" w:rsidRDefault="005477D4" w:rsidP="005010FD">
            <w:pPr>
              <w:widowControl w:val="0"/>
              <w:autoSpaceDE w:val="0"/>
              <w:snapToGrid w:val="0"/>
              <w:jc w:val="both"/>
              <w:rPr>
                <w:szCs w:val="22"/>
              </w:rPr>
            </w:pPr>
            <w:r w:rsidRPr="00136B35">
              <w:rPr>
                <w:szCs w:val="22"/>
              </w:rPr>
              <w:t>Eritema</w:t>
            </w:r>
          </w:p>
        </w:tc>
        <w:tc>
          <w:tcPr>
            <w:tcW w:w="3161" w:type="dxa"/>
            <w:tcBorders>
              <w:top w:val="single" w:sz="4" w:space="0" w:color="000000"/>
              <w:left w:val="single" w:sz="4" w:space="0" w:color="000000"/>
              <w:bottom w:val="single" w:sz="4" w:space="0" w:color="000000"/>
              <w:right w:val="single" w:sz="4" w:space="0" w:color="000000"/>
            </w:tcBorders>
            <w:vAlign w:val="center"/>
          </w:tcPr>
          <w:p w14:paraId="3BD661BB"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32B65136" w14:textId="77777777" w:rsidTr="009F1691">
        <w:trPr>
          <w:cantSplit/>
        </w:trPr>
        <w:tc>
          <w:tcPr>
            <w:tcW w:w="3120" w:type="dxa"/>
            <w:vMerge/>
            <w:tcBorders>
              <w:left w:val="single" w:sz="4" w:space="0" w:color="000000"/>
              <w:bottom w:val="single" w:sz="4" w:space="0" w:color="000000"/>
            </w:tcBorders>
          </w:tcPr>
          <w:p w14:paraId="286EBC3A"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3B37C214" w14:textId="77777777" w:rsidR="005477D4" w:rsidRPr="00136B35" w:rsidRDefault="005477D4" w:rsidP="005010FD">
            <w:pPr>
              <w:widowControl w:val="0"/>
              <w:autoSpaceDE w:val="0"/>
              <w:snapToGrid w:val="0"/>
              <w:jc w:val="both"/>
              <w:rPr>
                <w:szCs w:val="22"/>
              </w:rPr>
            </w:pPr>
            <w:r w:rsidRPr="00136B35">
              <w:rPr>
                <w:szCs w:val="22"/>
              </w:rPr>
              <w:t>Alopecia</w:t>
            </w:r>
          </w:p>
        </w:tc>
        <w:tc>
          <w:tcPr>
            <w:tcW w:w="3161" w:type="dxa"/>
            <w:tcBorders>
              <w:top w:val="single" w:sz="4" w:space="0" w:color="000000"/>
              <w:left w:val="single" w:sz="4" w:space="0" w:color="000000"/>
              <w:bottom w:val="single" w:sz="4" w:space="0" w:color="000000"/>
              <w:right w:val="single" w:sz="4" w:space="0" w:color="000000"/>
            </w:tcBorders>
            <w:vAlign w:val="center"/>
          </w:tcPr>
          <w:p w14:paraId="651D5E44"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7D68AA0F" w14:textId="77777777" w:rsidTr="009F1691">
        <w:trPr>
          <w:cantSplit/>
        </w:trPr>
        <w:tc>
          <w:tcPr>
            <w:tcW w:w="3120" w:type="dxa"/>
            <w:tcBorders>
              <w:top w:val="single" w:sz="4" w:space="0" w:color="000000"/>
              <w:left w:val="single" w:sz="4" w:space="0" w:color="000000"/>
              <w:bottom w:val="single" w:sz="4" w:space="0" w:color="000000"/>
            </w:tcBorders>
          </w:tcPr>
          <w:p w14:paraId="17565DC9" w14:textId="77777777" w:rsidR="005477D4" w:rsidRPr="00136B35" w:rsidRDefault="005477D4" w:rsidP="005010FD">
            <w:pPr>
              <w:widowControl w:val="0"/>
              <w:autoSpaceDE w:val="0"/>
              <w:snapToGrid w:val="0"/>
              <w:jc w:val="both"/>
              <w:rPr>
                <w:szCs w:val="22"/>
              </w:rPr>
            </w:pPr>
            <w:r w:rsidRPr="00136B35">
              <w:rPr>
                <w:szCs w:val="22"/>
              </w:rPr>
              <w:t>Patologie renali e urinarie</w:t>
            </w:r>
          </w:p>
        </w:tc>
        <w:tc>
          <w:tcPr>
            <w:tcW w:w="3120" w:type="dxa"/>
            <w:tcBorders>
              <w:top w:val="single" w:sz="4" w:space="0" w:color="000000"/>
              <w:left w:val="single" w:sz="4" w:space="0" w:color="000000"/>
              <w:bottom w:val="single" w:sz="4" w:space="0" w:color="000000"/>
            </w:tcBorders>
            <w:vAlign w:val="center"/>
          </w:tcPr>
          <w:p w14:paraId="6758A156" w14:textId="77777777" w:rsidR="005477D4" w:rsidRPr="00136B35" w:rsidRDefault="005477D4" w:rsidP="005010FD">
            <w:pPr>
              <w:widowControl w:val="0"/>
              <w:autoSpaceDE w:val="0"/>
              <w:snapToGrid w:val="0"/>
              <w:jc w:val="both"/>
              <w:rPr>
                <w:szCs w:val="22"/>
              </w:rPr>
            </w:pPr>
            <w:r w:rsidRPr="00136B35">
              <w:rPr>
                <w:szCs w:val="22"/>
              </w:rPr>
              <w:t>Proteinuria</w:t>
            </w:r>
          </w:p>
        </w:tc>
        <w:tc>
          <w:tcPr>
            <w:tcW w:w="3161" w:type="dxa"/>
            <w:tcBorders>
              <w:top w:val="single" w:sz="4" w:space="0" w:color="000000"/>
              <w:left w:val="single" w:sz="4" w:space="0" w:color="000000"/>
              <w:bottom w:val="single" w:sz="4" w:space="0" w:color="000000"/>
              <w:right w:val="single" w:sz="4" w:space="0" w:color="000000"/>
            </w:tcBorders>
            <w:vAlign w:val="center"/>
          </w:tcPr>
          <w:p w14:paraId="4E325EB8"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1BABC77B" w14:textId="77777777" w:rsidTr="009F1691">
        <w:trPr>
          <w:cantSplit/>
        </w:trPr>
        <w:tc>
          <w:tcPr>
            <w:tcW w:w="3120" w:type="dxa"/>
            <w:tcBorders>
              <w:top w:val="single" w:sz="4" w:space="0" w:color="000000"/>
              <w:left w:val="single" w:sz="4" w:space="0" w:color="000000"/>
              <w:bottom w:val="single" w:sz="4" w:space="0" w:color="000000"/>
            </w:tcBorders>
          </w:tcPr>
          <w:p w14:paraId="3350ECE6" w14:textId="77777777" w:rsidR="005477D4" w:rsidRPr="00136B35" w:rsidRDefault="005477D4" w:rsidP="005010FD">
            <w:pPr>
              <w:widowControl w:val="0"/>
              <w:autoSpaceDE w:val="0"/>
              <w:snapToGrid w:val="0"/>
              <w:jc w:val="both"/>
              <w:rPr>
                <w:szCs w:val="22"/>
              </w:rPr>
            </w:pPr>
            <w:r w:rsidRPr="00136B35">
              <w:rPr>
                <w:szCs w:val="22"/>
              </w:rPr>
              <w:t>Patologie generali e condizioni relative alla sede di somministrazione</w:t>
            </w:r>
          </w:p>
        </w:tc>
        <w:tc>
          <w:tcPr>
            <w:tcW w:w="3120" w:type="dxa"/>
            <w:tcBorders>
              <w:top w:val="single" w:sz="4" w:space="0" w:color="000000"/>
              <w:left w:val="single" w:sz="4" w:space="0" w:color="000000"/>
              <w:bottom w:val="single" w:sz="4" w:space="0" w:color="000000"/>
            </w:tcBorders>
            <w:vAlign w:val="center"/>
          </w:tcPr>
          <w:p w14:paraId="429CF950" w14:textId="77777777" w:rsidR="005477D4" w:rsidRPr="00136B35" w:rsidRDefault="005477D4" w:rsidP="005010FD">
            <w:pPr>
              <w:widowControl w:val="0"/>
              <w:autoSpaceDE w:val="0"/>
              <w:snapToGrid w:val="0"/>
              <w:jc w:val="both"/>
              <w:rPr>
                <w:szCs w:val="22"/>
              </w:rPr>
            </w:pPr>
            <w:r w:rsidRPr="00136B35">
              <w:rPr>
                <w:szCs w:val="22"/>
              </w:rPr>
              <w:t>Sensazione di calore</w:t>
            </w:r>
          </w:p>
        </w:tc>
        <w:tc>
          <w:tcPr>
            <w:tcW w:w="3161" w:type="dxa"/>
            <w:tcBorders>
              <w:top w:val="single" w:sz="4" w:space="0" w:color="000000"/>
              <w:left w:val="single" w:sz="4" w:space="0" w:color="000000"/>
              <w:bottom w:val="single" w:sz="4" w:space="0" w:color="000000"/>
              <w:right w:val="single" w:sz="4" w:space="0" w:color="000000"/>
            </w:tcBorders>
            <w:vAlign w:val="center"/>
          </w:tcPr>
          <w:p w14:paraId="1B155006"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5FCB3DB6" w14:textId="77777777" w:rsidTr="009F1691">
        <w:trPr>
          <w:cantSplit/>
        </w:trPr>
        <w:tc>
          <w:tcPr>
            <w:tcW w:w="3120" w:type="dxa"/>
            <w:vMerge w:val="restart"/>
            <w:tcBorders>
              <w:top w:val="single" w:sz="4" w:space="0" w:color="000000"/>
              <w:left w:val="single" w:sz="4" w:space="0" w:color="000000"/>
              <w:bottom w:val="single" w:sz="4" w:space="0" w:color="000000"/>
            </w:tcBorders>
          </w:tcPr>
          <w:p w14:paraId="2810703C" w14:textId="77777777" w:rsidR="005477D4" w:rsidRPr="00136B35" w:rsidRDefault="005477D4" w:rsidP="005010FD">
            <w:pPr>
              <w:widowControl w:val="0"/>
              <w:autoSpaceDE w:val="0"/>
              <w:snapToGrid w:val="0"/>
              <w:jc w:val="both"/>
              <w:rPr>
                <w:szCs w:val="22"/>
              </w:rPr>
            </w:pPr>
            <w:r w:rsidRPr="00136B35">
              <w:rPr>
                <w:szCs w:val="22"/>
              </w:rPr>
              <w:t>Esami diagnostici</w:t>
            </w:r>
          </w:p>
        </w:tc>
        <w:tc>
          <w:tcPr>
            <w:tcW w:w="3120" w:type="dxa"/>
            <w:tcBorders>
              <w:top w:val="single" w:sz="4" w:space="0" w:color="000000"/>
              <w:left w:val="single" w:sz="4" w:space="0" w:color="000000"/>
              <w:bottom w:val="single" w:sz="4" w:space="0" w:color="000000"/>
            </w:tcBorders>
            <w:vAlign w:val="center"/>
          </w:tcPr>
          <w:p w14:paraId="19AE6A44" w14:textId="77777777" w:rsidR="005477D4" w:rsidRPr="00136B35" w:rsidRDefault="005477D4" w:rsidP="005010FD">
            <w:pPr>
              <w:widowControl w:val="0"/>
              <w:autoSpaceDE w:val="0"/>
              <w:snapToGrid w:val="0"/>
              <w:jc w:val="both"/>
              <w:rPr>
                <w:szCs w:val="22"/>
              </w:rPr>
            </w:pPr>
            <w:r w:rsidRPr="00136B35">
              <w:rPr>
                <w:szCs w:val="22"/>
              </w:rPr>
              <w:t>Chetoni nelle urine</w:t>
            </w:r>
          </w:p>
        </w:tc>
        <w:tc>
          <w:tcPr>
            <w:tcW w:w="3161" w:type="dxa"/>
            <w:tcBorders>
              <w:top w:val="single" w:sz="4" w:space="0" w:color="000000"/>
              <w:left w:val="single" w:sz="4" w:space="0" w:color="000000"/>
              <w:bottom w:val="single" w:sz="4" w:space="0" w:color="000000"/>
              <w:right w:val="single" w:sz="4" w:space="0" w:color="000000"/>
            </w:tcBorders>
            <w:vAlign w:val="center"/>
          </w:tcPr>
          <w:p w14:paraId="532F7C95" w14:textId="77777777" w:rsidR="005477D4" w:rsidRPr="00136B35" w:rsidRDefault="005477D4" w:rsidP="005010FD">
            <w:pPr>
              <w:widowControl w:val="0"/>
              <w:snapToGrid w:val="0"/>
              <w:jc w:val="both"/>
              <w:rPr>
                <w:szCs w:val="22"/>
              </w:rPr>
            </w:pPr>
            <w:r w:rsidRPr="00136B35">
              <w:rPr>
                <w:szCs w:val="22"/>
              </w:rPr>
              <w:t>Molto comune</w:t>
            </w:r>
          </w:p>
        </w:tc>
      </w:tr>
      <w:tr w:rsidR="005477D4" w:rsidRPr="00136B35" w14:paraId="5FFB7A9D" w14:textId="77777777" w:rsidTr="009F1691">
        <w:trPr>
          <w:cantSplit/>
        </w:trPr>
        <w:tc>
          <w:tcPr>
            <w:tcW w:w="3120" w:type="dxa"/>
            <w:vMerge/>
            <w:tcBorders>
              <w:top w:val="single" w:sz="4" w:space="0" w:color="000000"/>
              <w:left w:val="single" w:sz="4" w:space="0" w:color="000000"/>
              <w:bottom w:val="single" w:sz="4" w:space="0" w:color="000000"/>
            </w:tcBorders>
          </w:tcPr>
          <w:p w14:paraId="130B6A4D" w14:textId="77777777" w:rsidR="005477D4" w:rsidRPr="00136B35" w:rsidRDefault="005477D4" w:rsidP="005010FD">
            <w:pPr>
              <w:widowControl w:val="0"/>
              <w:autoSpaceDE w:val="0"/>
              <w:snapToGrid w:val="0"/>
              <w:jc w:val="both"/>
              <w:rPr>
                <w:szCs w:val="22"/>
              </w:rPr>
            </w:pPr>
          </w:p>
        </w:tc>
        <w:tc>
          <w:tcPr>
            <w:tcW w:w="3120" w:type="dxa"/>
            <w:tcBorders>
              <w:top w:val="single" w:sz="4" w:space="0" w:color="000000"/>
              <w:left w:val="single" w:sz="4" w:space="0" w:color="000000"/>
              <w:bottom w:val="single" w:sz="4" w:space="0" w:color="000000"/>
            </w:tcBorders>
            <w:vAlign w:val="center"/>
          </w:tcPr>
          <w:p w14:paraId="37F9D720" w14:textId="77777777" w:rsidR="005477D4" w:rsidRPr="00136B35" w:rsidRDefault="005477D4" w:rsidP="005010FD">
            <w:pPr>
              <w:widowControl w:val="0"/>
              <w:autoSpaceDE w:val="0"/>
              <w:snapToGrid w:val="0"/>
              <w:jc w:val="both"/>
              <w:rPr>
                <w:szCs w:val="22"/>
              </w:rPr>
            </w:pPr>
            <w:r w:rsidRPr="00136B35">
              <w:rPr>
                <w:szCs w:val="22"/>
              </w:rPr>
              <w:t>Albumina urinaria presente</w:t>
            </w:r>
          </w:p>
        </w:tc>
        <w:tc>
          <w:tcPr>
            <w:tcW w:w="3161" w:type="dxa"/>
            <w:tcBorders>
              <w:top w:val="single" w:sz="4" w:space="0" w:color="000000"/>
              <w:left w:val="single" w:sz="4" w:space="0" w:color="000000"/>
              <w:bottom w:val="single" w:sz="4" w:space="0" w:color="000000"/>
              <w:right w:val="single" w:sz="4" w:space="0" w:color="000000"/>
            </w:tcBorders>
            <w:vAlign w:val="center"/>
          </w:tcPr>
          <w:p w14:paraId="06BEC796" w14:textId="77777777" w:rsidR="005477D4" w:rsidRPr="00136B35" w:rsidRDefault="005477D4" w:rsidP="005010FD">
            <w:pPr>
              <w:widowControl w:val="0"/>
              <w:snapToGrid w:val="0"/>
              <w:jc w:val="both"/>
              <w:rPr>
                <w:szCs w:val="22"/>
              </w:rPr>
            </w:pPr>
            <w:r w:rsidRPr="00136B35">
              <w:rPr>
                <w:szCs w:val="22"/>
              </w:rPr>
              <w:t>Comune</w:t>
            </w:r>
          </w:p>
        </w:tc>
      </w:tr>
      <w:tr w:rsidR="005477D4" w:rsidRPr="00136B35" w14:paraId="17205B70" w14:textId="77777777" w:rsidTr="009F1691">
        <w:trPr>
          <w:cantSplit/>
        </w:trPr>
        <w:tc>
          <w:tcPr>
            <w:tcW w:w="3120" w:type="dxa"/>
            <w:vMerge/>
            <w:tcBorders>
              <w:top w:val="single" w:sz="4" w:space="0" w:color="000000"/>
              <w:left w:val="single" w:sz="4" w:space="0" w:color="000000"/>
              <w:bottom w:val="single" w:sz="4" w:space="0" w:color="000000"/>
            </w:tcBorders>
            <w:vAlign w:val="center"/>
          </w:tcPr>
          <w:p w14:paraId="4D9BD0EB" w14:textId="77777777" w:rsidR="005477D4" w:rsidRPr="00136B35" w:rsidRDefault="005477D4" w:rsidP="005010FD">
            <w:pPr>
              <w:widowControl w:val="0"/>
              <w:autoSpaceDE w:val="0"/>
              <w:snapToGrid w:val="0"/>
              <w:jc w:val="both"/>
              <w:rPr>
                <w:b/>
                <w:szCs w:val="22"/>
              </w:rPr>
            </w:pPr>
          </w:p>
        </w:tc>
        <w:tc>
          <w:tcPr>
            <w:tcW w:w="3120" w:type="dxa"/>
            <w:tcBorders>
              <w:top w:val="single" w:sz="4" w:space="0" w:color="000000"/>
              <w:left w:val="single" w:sz="4" w:space="0" w:color="000000"/>
              <w:bottom w:val="single" w:sz="4" w:space="0" w:color="000000"/>
            </w:tcBorders>
            <w:vAlign w:val="center"/>
          </w:tcPr>
          <w:p w14:paraId="6DAAB92F" w14:textId="77777777" w:rsidR="005477D4" w:rsidRPr="00136B35" w:rsidRDefault="005477D4" w:rsidP="005010FD">
            <w:pPr>
              <w:widowControl w:val="0"/>
              <w:autoSpaceDE w:val="0"/>
              <w:snapToGrid w:val="0"/>
              <w:jc w:val="both"/>
              <w:rPr>
                <w:szCs w:val="22"/>
              </w:rPr>
            </w:pPr>
            <w:r w:rsidRPr="00136B35">
              <w:rPr>
                <w:szCs w:val="22"/>
              </w:rPr>
              <w:t>Conta dei leucociti diminuita</w:t>
            </w:r>
          </w:p>
        </w:tc>
        <w:tc>
          <w:tcPr>
            <w:tcW w:w="3161" w:type="dxa"/>
            <w:tcBorders>
              <w:top w:val="single" w:sz="4" w:space="0" w:color="000000"/>
              <w:left w:val="single" w:sz="4" w:space="0" w:color="000000"/>
              <w:bottom w:val="single" w:sz="4" w:space="0" w:color="000000"/>
              <w:right w:val="single" w:sz="4" w:space="0" w:color="000000"/>
            </w:tcBorders>
            <w:vAlign w:val="center"/>
          </w:tcPr>
          <w:p w14:paraId="498F3CE8" w14:textId="77777777" w:rsidR="005477D4" w:rsidRPr="00136B35" w:rsidRDefault="005477D4" w:rsidP="005010FD">
            <w:pPr>
              <w:widowControl w:val="0"/>
              <w:snapToGrid w:val="0"/>
              <w:jc w:val="both"/>
              <w:rPr>
                <w:szCs w:val="22"/>
              </w:rPr>
            </w:pPr>
            <w:r w:rsidRPr="00136B35">
              <w:rPr>
                <w:szCs w:val="22"/>
              </w:rPr>
              <w:t>Comune</w:t>
            </w:r>
          </w:p>
        </w:tc>
      </w:tr>
    </w:tbl>
    <w:p w14:paraId="4F609248" w14:textId="77777777" w:rsidR="005477D4" w:rsidRPr="00136B35" w:rsidRDefault="005477D4" w:rsidP="005010FD">
      <w:pPr>
        <w:pStyle w:val="Default"/>
        <w:jc w:val="both"/>
        <w:rPr>
          <w:b/>
          <w:i/>
          <w:color w:val="auto"/>
          <w:sz w:val="22"/>
          <w:szCs w:val="22"/>
          <w:vertAlign w:val="superscript"/>
          <w:lang w:val="it-IT"/>
        </w:rPr>
      </w:pPr>
    </w:p>
    <w:p w14:paraId="46D8AFA5" w14:textId="77777777" w:rsidR="005477D4" w:rsidRPr="00136B35" w:rsidRDefault="005477D4" w:rsidP="005010FD">
      <w:pPr>
        <w:keepLines/>
        <w:jc w:val="both"/>
        <w:rPr>
          <w:szCs w:val="22"/>
          <w:u w:val="single"/>
        </w:rPr>
      </w:pPr>
      <w:r w:rsidRPr="00136B35">
        <w:rPr>
          <w:szCs w:val="22"/>
          <w:u w:val="single"/>
        </w:rPr>
        <w:lastRenderedPageBreak/>
        <w:t>Descrizione di reazioni avverse selezionate</w:t>
      </w:r>
    </w:p>
    <w:p w14:paraId="01D71E78" w14:textId="77777777" w:rsidR="005477D4" w:rsidRPr="00136B35" w:rsidRDefault="005477D4" w:rsidP="005010FD">
      <w:pPr>
        <w:keepLines/>
        <w:jc w:val="both"/>
        <w:rPr>
          <w:szCs w:val="22"/>
        </w:rPr>
      </w:pPr>
    </w:p>
    <w:p w14:paraId="34B886AF" w14:textId="77777777" w:rsidR="005477D4" w:rsidRPr="00136B35" w:rsidRDefault="005477D4" w:rsidP="005010FD">
      <w:pPr>
        <w:keepLines/>
        <w:jc w:val="both"/>
        <w:rPr>
          <w:i/>
          <w:szCs w:val="22"/>
        </w:rPr>
      </w:pPr>
      <w:r w:rsidRPr="00136B35">
        <w:rPr>
          <w:i/>
          <w:szCs w:val="22"/>
        </w:rPr>
        <w:t>Rossore</w:t>
      </w:r>
    </w:p>
    <w:p w14:paraId="2613BE0C" w14:textId="77777777" w:rsidR="005477D4" w:rsidRPr="00136B35" w:rsidRDefault="005477D4" w:rsidP="005010FD">
      <w:pPr>
        <w:keepLines/>
        <w:jc w:val="both"/>
        <w:rPr>
          <w:i/>
          <w:szCs w:val="22"/>
        </w:rPr>
      </w:pPr>
    </w:p>
    <w:p w14:paraId="5E6E8E00" w14:textId="77777777" w:rsidR="005477D4" w:rsidRPr="00136B35" w:rsidRDefault="005477D4" w:rsidP="005010FD">
      <w:pPr>
        <w:jc w:val="both"/>
        <w:rPr>
          <w:szCs w:val="22"/>
        </w:rPr>
      </w:pPr>
      <w:r w:rsidRPr="00136B35">
        <w:rPr>
          <w:szCs w:val="22"/>
        </w:rPr>
        <w:t>Negli studi clinici controllati con placebo, l’incidenza del rossore (34% verso 4%) e delle vampate di calore (7% verso 2%) è risultata aumentata nei pazienti trattati con dimetilfumarato rispetto a quelli trattati con il placebo. Il rossore è in genere descritto come rossore o vampate di calore, ma può includere altri eventi (ad es. calore, arrossamento, prurito e sensazione di bruciore). Gli eventi di rossore tendono a insorgere agli inizi della terapia (soprattutto durante il primo mese) e, nei pazienti che li manifestano, questi eventi possono continuare a verificarsi in modo intermittente durante l’intero trattamento con dimetilfumarato. La maggior parte dei pazienti con rossore ha avuto eventi di grado lieve o moderato. Complessivamente, il 3% dei pazienti trattati con dimetilfumarato ha interrotto il trattamento a causa di rossore. L’incidenza di rossore grave, che può essere caratterizzato da eritema generalizzato, eruzione cutanea e/o prurito, è stata osservata in meno dell’1% dei pazienti trattati con dimetilfumarato (vedere paragrafi 4.2, 4.4 e 4.5).</w:t>
      </w:r>
    </w:p>
    <w:p w14:paraId="524A8651" w14:textId="77777777" w:rsidR="005477D4" w:rsidRPr="00136B35" w:rsidRDefault="005477D4" w:rsidP="005010FD">
      <w:pPr>
        <w:widowControl w:val="0"/>
        <w:jc w:val="both"/>
        <w:rPr>
          <w:szCs w:val="22"/>
        </w:rPr>
      </w:pPr>
    </w:p>
    <w:p w14:paraId="100FB5FC" w14:textId="4E7685F3" w:rsidR="005477D4" w:rsidRPr="00136B35" w:rsidRDefault="005477D4" w:rsidP="005010FD">
      <w:pPr>
        <w:keepNext/>
        <w:widowControl w:val="0"/>
        <w:jc w:val="both"/>
        <w:rPr>
          <w:i/>
          <w:szCs w:val="22"/>
        </w:rPr>
      </w:pPr>
      <w:r w:rsidRPr="00136B35">
        <w:rPr>
          <w:i/>
          <w:szCs w:val="22"/>
        </w:rPr>
        <w:t>Reazioni avverse gastrointestinali</w:t>
      </w:r>
    </w:p>
    <w:p w14:paraId="45C52EE2" w14:textId="77777777" w:rsidR="005477D4" w:rsidRPr="00136B35" w:rsidRDefault="005477D4" w:rsidP="005010FD">
      <w:pPr>
        <w:widowControl w:val="0"/>
        <w:jc w:val="both"/>
        <w:rPr>
          <w:szCs w:val="22"/>
        </w:rPr>
      </w:pPr>
    </w:p>
    <w:p w14:paraId="38A45FA1" w14:textId="33FD8D2D" w:rsidR="005477D4" w:rsidRPr="00136B35" w:rsidRDefault="005477D4" w:rsidP="005010FD">
      <w:pPr>
        <w:widowControl w:val="0"/>
        <w:jc w:val="both"/>
        <w:rPr>
          <w:szCs w:val="22"/>
        </w:rPr>
      </w:pPr>
      <w:r w:rsidRPr="00136B35">
        <w:rPr>
          <w:szCs w:val="22"/>
        </w:rPr>
        <w:t>L’incidenza degli eventi gastrointestinali (ad es. diarrea [14% verso 10%], nausea [12% verso 9%], dolore addominale superiore [10% verso 6%], dolore addominale [9% verso 4%], vomito [8% verso 5%] e dispepsia [5% verso 3%]) è risultata aumentata nei pazienti trattati con dimetilfumarato rispetto a quelli trattati con placebo. Le reazioni avverse gastrointestinali tendono a insorgere agli inizi della terapia (soprattutto durante il primo mese) e, nei pazienti che manifestano reazioni avverse gastrointestinali, questi eventi possono continuare a verificarsi in modo intermittente durante l’intero trattamento con dimetilfumarato. Nella maggior parte dei pazienti che hanno manifestato eventi gastrointestinali, questi sono stati di grado lieve o moderato. Il quattro percento (4%) dei pazienti trattati con dimetilfumarato ha interrotto la terapia a causa di reazioni avverse gastrointestinali. L’incidenza di eventi gastrointestinali gravi, comprese gastroenterite e gastrite, è stata osservata nell’1% dei pazienti trattati con dimetilfumarato (vedere paragrafo 4.2).</w:t>
      </w:r>
    </w:p>
    <w:p w14:paraId="14F580ED" w14:textId="77777777" w:rsidR="005477D4" w:rsidRPr="00136B35" w:rsidRDefault="005477D4" w:rsidP="005010FD">
      <w:pPr>
        <w:widowControl w:val="0"/>
        <w:jc w:val="both"/>
        <w:rPr>
          <w:szCs w:val="22"/>
        </w:rPr>
      </w:pPr>
    </w:p>
    <w:p w14:paraId="295FCAFB" w14:textId="77777777" w:rsidR="005477D4" w:rsidRPr="00136B35" w:rsidRDefault="005477D4" w:rsidP="005010FD">
      <w:pPr>
        <w:keepNext/>
        <w:widowControl w:val="0"/>
        <w:jc w:val="both"/>
        <w:rPr>
          <w:i/>
          <w:szCs w:val="22"/>
        </w:rPr>
      </w:pPr>
      <w:r w:rsidRPr="00136B35">
        <w:rPr>
          <w:i/>
          <w:szCs w:val="22"/>
        </w:rPr>
        <w:t>Funzione epatica</w:t>
      </w:r>
    </w:p>
    <w:p w14:paraId="5AFAD294" w14:textId="77777777" w:rsidR="005477D4" w:rsidRPr="00136B35" w:rsidRDefault="005477D4" w:rsidP="005010FD">
      <w:pPr>
        <w:keepNext/>
        <w:widowControl w:val="0"/>
        <w:jc w:val="both"/>
        <w:rPr>
          <w:szCs w:val="22"/>
        </w:rPr>
      </w:pPr>
    </w:p>
    <w:p w14:paraId="636D57F9" w14:textId="77777777" w:rsidR="005477D4" w:rsidRPr="00136B35" w:rsidRDefault="005477D4" w:rsidP="005010FD">
      <w:pPr>
        <w:keepNext/>
        <w:widowControl w:val="0"/>
        <w:jc w:val="both"/>
        <w:rPr>
          <w:szCs w:val="22"/>
        </w:rPr>
      </w:pPr>
      <w:r w:rsidRPr="00136B35">
        <w:rPr>
          <w:szCs w:val="22"/>
        </w:rPr>
        <w:t>Sulla base dei dati derivati da studi controllati verso placebo, nella maggior parte dei pazienti in cui si sono verificati aumenti delle transaminasi epatiche, queste erano &lt; 3 volte il limite superiore di normalità (ULN). La maggiore incidenza degli incrementi delle transaminasi epatiche nei pazienti trattati con dimetilfumarato rispetto al placebo è stata osservata soprattutto durante i primi 6 mesi di terapia. Incrementi dell’alanina-aminotransferasi e dell’aspartato-aminotransferasi (AST) ≥ 3 volte ULN sono stati osservati rispettivamente nel 5% e nel 2% dei pazienti trattati con placebo e nel 6% e nel 2% dei pazienti trattati con dimetilfumarato. Le interruzioni della terapia dovute a transaminasi epatiche elevate sono state &lt; 1% e simili nei pazienti trattati con dimetilfumarato o placebo. Incrementi delle transaminasi ≥ 3 volte ULN con incrementi concomitanti della bilirubina totale &gt; 2 volte ULN non sono stati osservati negli studi controllati verso placebo.</w:t>
      </w:r>
    </w:p>
    <w:p w14:paraId="74D4CDFC" w14:textId="77777777" w:rsidR="005477D4" w:rsidRPr="00136B35" w:rsidRDefault="005477D4" w:rsidP="005010FD">
      <w:pPr>
        <w:widowControl w:val="0"/>
        <w:jc w:val="both"/>
        <w:rPr>
          <w:szCs w:val="22"/>
        </w:rPr>
      </w:pPr>
    </w:p>
    <w:p w14:paraId="22EF3748" w14:textId="77777777" w:rsidR="005477D4" w:rsidRPr="00136B35" w:rsidRDefault="005477D4" w:rsidP="005010FD">
      <w:pPr>
        <w:jc w:val="both"/>
        <w:rPr>
          <w:szCs w:val="22"/>
        </w:rPr>
      </w:pPr>
      <w:r w:rsidRPr="00136B35">
        <w:rPr>
          <w:szCs w:val="22"/>
        </w:rPr>
        <w:t>Un aumento degli enzimi epatici e casi di danno epatico da farmaci (incrementi delle transaminasi ≥ 3 volte ULN con incrementi concomitanti della bilirubina totale &gt; 2 volte ULN) sono stati riportati nell’esperienza post-marketing dopo la somministrazione di dimetilfumarato; tali reazioni si sono risolte con l’interruzione del trattamento.</w:t>
      </w:r>
    </w:p>
    <w:p w14:paraId="4E288D03" w14:textId="77777777" w:rsidR="005477D4" w:rsidRPr="00136B35" w:rsidRDefault="005477D4" w:rsidP="005010FD">
      <w:pPr>
        <w:jc w:val="both"/>
        <w:rPr>
          <w:szCs w:val="22"/>
        </w:rPr>
      </w:pPr>
    </w:p>
    <w:p w14:paraId="04B68D5A" w14:textId="77777777" w:rsidR="005477D4" w:rsidRPr="00136B35" w:rsidRDefault="005477D4" w:rsidP="005010FD">
      <w:pPr>
        <w:keepNext/>
        <w:widowControl w:val="0"/>
        <w:jc w:val="both"/>
        <w:rPr>
          <w:i/>
          <w:szCs w:val="22"/>
        </w:rPr>
      </w:pPr>
      <w:r w:rsidRPr="00136B35">
        <w:rPr>
          <w:i/>
          <w:szCs w:val="22"/>
        </w:rPr>
        <w:t>Linfopenia</w:t>
      </w:r>
    </w:p>
    <w:p w14:paraId="6A596054" w14:textId="77777777" w:rsidR="005477D4" w:rsidRPr="00136B35" w:rsidRDefault="005477D4" w:rsidP="005010FD">
      <w:pPr>
        <w:keepNext/>
        <w:widowControl w:val="0"/>
        <w:jc w:val="both"/>
        <w:rPr>
          <w:szCs w:val="22"/>
        </w:rPr>
      </w:pPr>
    </w:p>
    <w:p w14:paraId="01D15DEC" w14:textId="211DBF48" w:rsidR="005477D4" w:rsidRPr="00136B35" w:rsidRDefault="005477D4" w:rsidP="005010FD">
      <w:pPr>
        <w:widowControl w:val="0"/>
        <w:jc w:val="both"/>
        <w:rPr>
          <w:szCs w:val="22"/>
        </w:rPr>
      </w:pPr>
      <w:r w:rsidRPr="00136B35">
        <w:rPr>
          <w:szCs w:val="22"/>
        </w:rPr>
        <w:t>Negli studi clinici controllati verso placebo, nella maggior parte dei pazienti (&gt;  98%) le conte linfocitarie erano normali prima di iniziare la terapia. Una volta iniziato il trattamento con dimetilfumarato, le conte linfocitarie medie sono diminuite nel corso del primo anno e successivamente si sono stabilizzate. In media, le conte linfocitarie sono diminuite del 30% circa rispetto al valore basale. Le conte linfocitarie media e mediana sono rimaste entro i limiti normali. Conte linfocitarie &lt;  0,5 x 10</w:t>
      </w:r>
      <w:r w:rsidRPr="00136B35">
        <w:rPr>
          <w:szCs w:val="22"/>
          <w:vertAlign w:val="superscript"/>
        </w:rPr>
        <w:t>9</w:t>
      </w:r>
      <w:r w:rsidRPr="00136B35">
        <w:rPr>
          <w:szCs w:val="22"/>
        </w:rPr>
        <w:t>/L sono state osservate in &lt; 1% dei pazienti trattati con placebo e nel 6% dei pazienti trattati con dimetilfumarato. Una conta linfocitaria &lt;  0,</w:t>
      </w:r>
      <w:r w:rsidRPr="00136B35">
        <w:rPr>
          <w:spacing w:val="-1"/>
          <w:szCs w:val="22"/>
        </w:rPr>
        <w:t>2 x 10</w:t>
      </w:r>
      <w:r w:rsidRPr="00136B35">
        <w:rPr>
          <w:spacing w:val="-1"/>
          <w:szCs w:val="22"/>
          <w:vertAlign w:val="superscript"/>
        </w:rPr>
        <w:t>9</w:t>
      </w:r>
      <w:r w:rsidRPr="00136B35">
        <w:rPr>
          <w:szCs w:val="22"/>
        </w:rPr>
        <w:t xml:space="preserve">/L è stata osservata in 1 paziente trattato con </w:t>
      </w:r>
      <w:r w:rsidRPr="00136B35">
        <w:rPr>
          <w:szCs w:val="22"/>
        </w:rPr>
        <w:lastRenderedPageBreak/>
        <w:t>dimetilfumarato e in nessun paziente trattato con placebo.</w:t>
      </w:r>
    </w:p>
    <w:p w14:paraId="580CCD52" w14:textId="77777777" w:rsidR="005477D4" w:rsidRPr="00136B35" w:rsidRDefault="005477D4" w:rsidP="005010FD">
      <w:pPr>
        <w:keepNext/>
        <w:jc w:val="both"/>
        <w:rPr>
          <w:i/>
          <w:szCs w:val="22"/>
        </w:rPr>
      </w:pPr>
    </w:p>
    <w:p w14:paraId="7E2DB188" w14:textId="77777777" w:rsidR="005477D4" w:rsidRPr="00136B35" w:rsidRDefault="005477D4" w:rsidP="005010FD">
      <w:pPr>
        <w:jc w:val="both"/>
        <w:rPr>
          <w:szCs w:val="22"/>
        </w:rPr>
      </w:pPr>
      <w:r w:rsidRPr="00136B35">
        <w:rPr>
          <w:szCs w:val="22"/>
        </w:rPr>
        <w:t>In studi clinici (sia con controllo sia senza) il 41% dei pazienti trattati con dimetilfumarato presentava linfopenia (definita in questi studi come conte &lt;  0,</w:t>
      </w:r>
      <w:r w:rsidRPr="00136B35">
        <w:rPr>
          <w:spacing w:val="-1"/>
          <w:szCs w:val="22"/>
        </w:rPr>
        <w:t>91 x 10</w:t>
      </w:r>
      <w:r w:rsidRPr="00136B35">
        <w:rPr>
          <w:spacing w:val="-1"/>
          <w:szCs w:val="22"/>
          <w:vertAlign w:val="superscript"/>
        </w:rPr>
        <w:t>9</w:t>
      </w:r>
      <w:r w:rsidRPr="00136B35">
        <w:rPr>
          <w:szCs w:val="22"/>
        </w:rPr>
        <w:t>/L). Nel 28% dei pazienti si è osservata linfopenia lieve (conte ≥  0,</w:t>
      </w:r>
      <w:r w:rsidRPr="00136B35">
        <w:rPr>
          <w:spacing w:val="-1"/>
          <w:szCs w:val="22"/>
        </w:rPr>
        <w:t>8 x 10</w:t>
      </w:r>
      <w:r w:rsidRPr="00136B35">
        <w:rPr>
          <w:spacing w:val="-1"/>
          <w:szCs w:val="22"/>
          <w:vertAlign w:val="superscript"/>
        </w:rPr>
        <w:t>9</w:t>
      </w:r>
      <w:r w:rsidRPr="00136B35">
        <w:rPr>
          <w:szCs w:val="22"/>
        </w:rPr>
        <w:t xml:space="preserve">/L e &lt;  0,91 </w:t>
      </w:r>
      <w:r w:rsidRPr="00136B35">
        <w:rPr>
          <w:spacing w:val="-1"/>
          <w:szCs w:val="22"/>
        </w:rPr>
        <w:t>x 10</w:t>
      </w:r>
      <w:r w:rsidRPr="00136B35">
        <w:rPr>
          <w:spacing w:val="-1"/>
          <w:szCs w:val="22"/>
          <w:vertAlign w:val="superscript"/>
        </w:rPr>
        <w:t>9</w:t>
      </w:r>
      <w:r w:rsidRPr="00136B35">
        <w:rPr>
          <w:szCs w:val="22"/>
        </w:rPr>
        <w:t>/L), nel 11% dei pazienti linfopenia moderata (conte ≥  0,</w:t>
      </w:r>
      <w:r w:rsidRPr="00136B35">
        <w:rPr>
          <w:spacing w:val="-1"/>
          <w:szCs w:val="22"/>
        </w:rPr>
        <w:t>5 x 10</w:t>
      </w:r>
      <w:r w:rsidRPr="00136B35">
        <w:rPr>
          <w:spacing w:val="-1"/>
          <w:szCs w:val="22"/>
          <w:vertAlign w:val="superscript"/>
        </w:rPr>
        <w:t>9</w:t>
      </w:r>
      <w:r w:rsidRPr="00136B35">
        <w:rPr>
          <w:szCs w:val="22"/>
        </w:rPr>
        <w:t>/L e &lt;  0,</w:t>
      </w:r>
      <w:r w:rsidRPr="00136B35">
        <w:rPr>
          <w:spacing w:val="-1"/>
          <w:szCs w:val="22"/>
        </w:rPr>
        <w:t>8 x 10</w:t>
      </w:r>
      <w:r w:rsidRPr="00136B35">
        <w:rPr>
          <w:spacing w:val="-1"/>
          <w:szCs w:val="22"/>
          <w:vertAlign w:val="superscript"/>
        </w:rPr>
        <w:t>9</w:t>
      </w:r>
      <w:r w:rsidRPr="00136B35">
        <w:rPr>
          <w:szCs w:val="22"/>
        </w:rPr>
        <w:t>/L) che persisteva per almeno sei mesi e nel 2 % dei pazienti è stata osservata linfopenia severa (conte &lt;  0,</w:t>
      </w:r>
      <w:r w:rsidRPr="00136B35">
        <w:rPr>
          <w:spacing w:val="-1"/>
          <w:szCs w:val="22"/>
        </w:rPr>
        <w:t>5 x 10</w:t>
      </w:r>
      <w:r w:rsidRPr="00136B35">
        <w:rPr>
          <w:spacing w:val="-1"/>
          <w:szCs w:val="22"/>
          <w:vertAlign w:val="superscript"/>
        </w:rPr>
        <w:t>9</w:t>
      </w:r>
      <w:r w:rsidRPr="00136B35">
        <w:rPr>
          <w:szCs w:val="22"/>
        </w:rPr>
        <w:t>/L) che persisteva per almeno sei mesi. Nel gruppo con linfopenia severa la maggioranza delle conte linfocitarie rimaneva &lt;  0,</w:t>
      </w:r>
      <w:r w:rsidRPr="00136B35">
        <w:rPr>
          <w:spacing w:val="-1"/>
          <w:szCs w:val="22"/>
        </w:rPr>
        <w:t>5 x 10</w:t>
      </w:r>
      <w:r w:rsidRPr="00136B35">
        <w:rPr>
          <w:spacing w:val="-1"/>
          <w:szCs w:val="22"/>
          <w:vertAlign w:val="superscript"/>
        </w:rPr>
        <w:t>9</w:t>
      </w:r>
      <w:r w:rsidRPr="00136B35">
        <w:rPr>
          <w:szCs w:val="22"/>
        </w:rPr>
        <w:t>/L con la terapia continuata.</w:t>
      </w:r>
    </w:p>
    <w:p w14:paraId="3A00B115" w14:textId="77777777" w:rsidR="005477D4" w:rsidRPr="00136B35" w:rsidRDefault="005477D4" w:rsidP="005010FD">
      <w:pPr>
        <w:jc w:val="both"/>
        <w:rPr>
          <w:szCs w:val="22"/>
        </w:rPr>
      </w:pPr>
    </w:p>
    <w:p w14:paraId="47964413" w14:textId="77777777" w:rsidR="005477D4" w:rsidRPr="00136B35" w:rsidRDefault="005477D4" w:rsidP="005010FD">
      <w:pPr>
        <w:jc w:val="both"/>
        <w:rPr>
          <w:szCs w:val="22"/>
        </w:rPr>
      </w:pPr>
      <w:r w:rsidRPr="00136B35">
        <w:rPr>
          <w:szCs w:val="22"/>
        </w:rPr>
        <w:t>In aggiunta, in uno studio post</w:t>
      </w:r>
      <w:r w:rsidRPr="00136B35">
        <w:rPr>
          <w:szCs w:val="22"/>
        </w:rPr>
        <w:noBreakHyphen/>
        <w:t>marketing prospettico non controllato, alla settimana 48 di trattamento con dimetilfumarato</w:t>
      </w:r>
      <w:r w:rsidRPr="00136B35" w:rsidDel="00203C09">
        <w:rPr>
          <w:szCs w:val="22"/>
        </w:rPr>
        <w:t xml:space="preserve"> </w:t>
      </w:r>
      <w:r w:rsidRPr="00136B35">
        <w:rPr>
          <w:szCs w:val="22"/>
        </w:rPr>
        <w:t>(n = 185), le cellule T CD4+ risultavano diminuite in maniera moderata (conte da ≥  0,</w:t>
      </w:r>
      <w:r w:rsidRPr="00136B35">
        <w:rPr>
          <w:spacing w:val="-1"/>
          <w:szCs w:val="22"/>
        </w:rPr>
        <w:t>2 x 10</w:t>
      </w:r>
      <w:r w:rsidRPr="00136B35">
        <w:rPr>
          <w:spacing w:val="-1"/>
          <w:szCs w:val="22"/>
          <w:vertAlign w:val="superscript"/>
        </w:rPr>
        <w:t>9</w:t>
      </w:r>
      <w:r w:rsidRPr="00136B35">
        <w:rPr>
          <w:szCs w:val="22"/>
        </w:rPr>
        <w:t>/L a &lt; 0,</w:t>
      </w:r>
      <w:r w:rsidRPr="00136B35">
        <w:rPr>
          <w:spacing w:val="-1"/>
          <w:szCs w:val="22"/>
        </w:rPr>
        <w:t>4 x 10</w:t>
      </w:r>
      <w:r w:rsidRPr="00136B35">
        <w:rPr>
          <w:spacing w:val="-1"/>
          <w:szCs w:val="22"/>
          <w:vertAlign w:val="superscript"/>
        </w:rPr>
        <w:t>9</w:t>
      </w:r>
      <w:r w:rsidRPr="00136B35">
        <w:rPr>
          <w:szCs w:val="22"/>
        </w:rPr>
        <w:t>/L) o severa (&lt;  0,</w:t>
      </w:r>
      <w:r w:rsidRPr="00136B35">
        <w:rPr>
          <w:spacing w:val="-1"/>
          <w:szCs w:val="22"/>
        </w:rPr>
        <w:t>2 x 10</w:t>
      </w:r>
      <w:r w:rsidRPr="00136B35">
        <w:rPr>
          <w:spacing w:val="-1"/>
          <w:szCs w:val="22"/>
          <w:vertAlign w:val="superscript"/>
        </w:rPr>
        <w:t>9</w:t>
      </w:r>
      <w:r w:rsidRPr="00136B35">
        <w:rPr>
          <w:szCs w:val="22"/>
        </w:rPr>
        <w:t>/L) rispettivamente nel 37 % o 6 % massimo dei pazienti. Le cellule T CD8+, invece, si sono ridotte con maggiore frequenza, con conte &lt; 0,</w:t>
      </w:r>
      <w:r w:rsidRPr="00136B35">
        <w:rPr>
          <w:spacing w:val="-1"/>
          <w:szCs w:val="22"/>
        </w:rPr>
        <w:t>2x10</w:t>
      </w:r>
      <w:r w:rsidRPr="00136B35">
        <w:rPr>
          <w:spacing w:val="-1"/>
          <w:szCs w:val="22"/>
          <w:vertAlign w:val="superscript"/>
        </w:rPr>
        <w:t>9</w:t>
      </w:r>
      <w:r w:rsidRPr="00136B35">
        <w:rPr>
          <w:szCs w:val="22"/>
        </w:rPr>
        <w:t>/L nel 59 % massimo dei pazienti e con conte &lt;  0,</w:t>
      </w:r>
      <w:r w:rsidRPr="00136B35">
        <w:rPr>
          <w:spacing w:val="-1"/>
          <w:szCs w:val="22"/>
        </w:rPr>
        <w:t>1 x 10</w:t>
      </w:r>
      <w:r w:rsidRPr="00136B35">
        <w:rPr>
          <w:spacing w:val="-1"/>
          <w:szCs w:val="22"/>
          <w:vertAlign w:val="superscript"/>
        </w:rPr>
        <w:t>9</w:t>
      </w:r>
      <w:r w:rsidRPr="00136B35">
        <w:rPr>
          <w:szCs w:val="22"/>
        </w:rPr>
        <w:t>/L nel 25 % massimo dei pazienti.</w:t>
      </w:r>
    </w:p>
    <w:p w14:paraId="6ABE77BF" w14:textId="77777777" w:rsidR="005477D4" w:rsidRPr="00136B35" w:rsidRDefault="005477D4" w:rsidP="005010FD">
      <w:pPr>
        <w:jc w:val="both"/>
        <w:rPr>
          <w:szCs w:val="22"/>
        </w:rPr>
      </w:pPr>
      <w:r w:rsidRPr="00136B35">
        <w:rPr>
          <w:szCs w:val="22"/>
        </w:rPr>
        <w:t>Negli studi clinici controllati e non controllati, i pazienti che hanno interrotto la terapia con Tecfidera</w:t>
      </w:r>
    </w:p>
    <w:p w14:paraId="2804DB57" w14:textId="77777777" w:rsidR="005477D4" w:rsidRPr="00136B35" w:rsidRDefault="005477D4" w:rsidP="005010FD">
      <w:pPr>
        <w:jc w:val="both"/>
        <w:rPr>
          <w:szCs w:val="22"/>
        </w:rPr>
      </w:pPr>
      <w:r w:rsidRPr="00136B35">
        <w:rPr>
          <w:szCs w:val="22"/>
        </w:rPr>
        <w:t>con conte linfocitarie al di sotto dell’LLN sono stati monitorati per il recupero della conta linfocitaria</w:t>
      </w:r>
    </w:p>
    <w:p w14:paraId="2F6ECB57" w14:textId="68C15FB1" w:rsidR="005477D4" w:rsidRPr="00136B35" w:rsidRDefault="005477D4" w:rsidP="005010FD">
      <w:pPr>
        <w:jc w:val="both"/>
        <w:rPr>
          <w:szCs w:val="22"/>
        </w:rPr>
      </w:pPr>
      <w:r w:rsidRPr="00136B35">
        <w:rPr>
          <w:szCs w:val="22"/>
        </w:rPr>
        <w:t>all’LLN (vedere paragrafo 5.1).</w:t>
      </w:r>
      <w:r w:rsidRPr="00136B35">
        <w:rPr>
          <w:szCs w:val="22"/>
        </w:rPr>
        <w:cr/>
      </w:r>
    </w:p>
    <w:p w14:paraId="48E5EEAA" w14:textId="36AD55B2" w:rsidR="005477D4" w:rsidRPr="00136B35" w:rsidRDefault="005477D4" w:rsidP="005010FD">
      <w:pPr>
        <w:keepNext/>
        <w:jc w:val="both"/>
        <w:rPr>
          <w:szCs w:val="22"/>
        </w:rPr>
      </w:pPr>
      <w:r w:rsidRPr="00136B35">
        <w:t>Leucoencefalopatia multifocale progressiva (PML)</w:t>
      </w:r>
    </w:p>
    <w:p w14:paraId="3801D3DD" w14:textId="27441105" w:rsidR="005477D4" w:rsidRPr="00136B35" w:rsidRDefault="005477D4" w:rsidP="005010FD">
      <w:pPr>
        <w:jc w:val="both"/>
        <w:rPr>
          <w:szCs w:val="22"/>
        </w:rPr>
      </w:pPr>
      <w:r w:rsidRPr="00136B35">
        <w:rPr>
          <w:szCs w:val="22"/>
        </w:rPr>
        <w:t>Con dimetilfumarato sono stati riportati casi di infezioni da virus di John Cunningham (JCV) che avevano causato PML (vedere paragrafo 4.4). La PML può essere fatale o provocare disabilità severa. In una sperimentazione clinica un paziente che assumeva dimetilfumarato ha sviluppato la PML nel quadro di linfopenia severa prolungata (conte linfocitarie prevalentemente &lt; 0,</w:t>
      </w:r>
      <w:r w:rsidRPr="00136B35">
        <w:rPr>
          <w:spacing w:val="-1"/>
          <w:szCs w:val="22"/>
        </w:rPr>
        <w:t>5x10</w:t>
      </w:r>
      <w:r w:rsidRPr="00136B35">
        <w:rPr>
          <w:spacing w:val="-1"/>
          <w:szCs w:val="22"/>
          <w:vertAlign w:val="superscript"/>
        </w:rPr>
        <w:t>9</w:t>
      </w:r>
      <w:r w:rsidRPr="00136B35">
        <w:rPr>
          <w:szCs w:val="22"/>
        </w:rPr>
        <w:t>/L per 3,5 anni) con un esito fatale. Nel contesto post-marketing la PML si è verificata in presenza di linfopenia lieve e moderata (da &gt; 0,</w:t>
      </w:r>
      <w:r w:rsidRPr="00136B35">
        <w:rPr>
          <w:spacing w:val="-1"/>
          <w:szCs w:val="22"/>
        </w:rPr>
        <w:t>5x10</w:t>
      </w:r>
      <w:r w:rsidRPr="00136B35">
        <w:rPr>
          <w:spacing w:val="-1"/>
          <w:szCs w:val="22"/>
          <w:vertAlign w:val="superscript"/>
        </w:rPr>
        <w:t>9</w:t>
      </w:r>
      <w:r w:rsidRPr="00136B35">
        <w:rPr>
          <w:szCs w:val="22"/>
        </w:rPr>
        <w:t>/L a &lt; LLN, definita dall’intervallo di riferimento del laboratorio locale).</w:t>
      </w:r>
    </w:p>
    <w:p w14:paraId="39299289" w14:textId="77777777" w:rsidR="005477D4" w:rsidRPr="00136B35" w:rsidRDefault="005477D4" w:rsidP="005010FD">
      <w:pPr>
        <w:jc w:val="both"/>
        <w:rPr>
          <w:szCs w:val="22"/>
        </w:rPr>
      </w:pPr>
    </w:p>
    <w:p w14:paraId="0AE77607" w14:textId="77777777" w:rsidR="005477D4" w:rsidRPr="00136B35" w:rsidRDefault="005477D4" w:rsidP="005010FD">
      <w:pPr>
        <w:jc w:val="both"/>
        <w:rPr>
          <w:szCs w:val="22"/>
        </w:rPr>
      </w:pPr>
      <w:r w:rsidRPr="00136B35">
        <w:rPr>
          <w:szCs w:val="22"/>
        </w:rPr>
        <w:t>In diversi casi di PML con determinazione delle conte dei sottotipi di cellule T al momento della diagnosi di PML, è emerso che le conte di cellule T CD8+ erano diminuite fino a  &lt; 0,</w:t>
      </w:r>
      <w:r w:rsidRPr="00136B35">
        <w:rPr>
          <w:spacing w:val="-1"/>
          <w:szCs w:val="22"/>
        </w:rPr>
        <w:t>1 x1 0</w:t>
      </w:r>
      <w:r w:rsidRPr="00136B35">
        <w:rPr>
          <w:spacing w:val="-1"/>
          <w:szCs w:val="22"/>
          <w:vertAlign w:val="superscript"/>
        </w:rPr>
        <w:t>9</w:t>
      </w:r>
      <w:r w:rsidRPr="00136B35">
        <w:rPr>
          <w:szCs w:val="22"/>
        </w:rPr>
        <w:t>/L, mentre le conte di cellule T CD4+ si erano ridotte in misura variabile (da &lt;  0,05 a 0,</w:t>
      </w:r>
      <w:r w:rsidRPr="00136B35">
        <w:rPr>
          <w:spacing w:val="-1"/>
          <w:szCs w:val="22"/>
        </w:rPr>
        <w:t>5 x 10</w:t>
      </w:r>
      <w:r w:rsidRPr="00136B35">
        <w:rPr>
          <w:spacing w:val="-1"/>
          <w:szCs w:val="22"/>
          <w:vertAlign w:val="superscript"/>
        </w:rPr>
        <w:t>9</w:t>
      </w:r>
      <w:r w:rsidRPr="00136B35">
        <w:rPr>
          <w:szCs w:val="22"/>
        </w:rPr>
        <w:t xml:space="preserve">/L) ed erano correlate soprattutto con la severità globale della linfopenia (&lt;  0,5 </w:t>
      </w:r>
      <w:r w:rsidRPr="00136B35">
        <w:rPr>
          <w:spacing w:val="-1"/>
          <w:szCs w:val="22"/>
        </w:rPr>
        <w:t>x 10</w:t>
      </w:r>
      <w:r w:rsidRPr="00136B35">
        <w:rPr>
          <w:spacing w:val="-1"/>
          <w:szCs w:val="22"/>
          <w:vertAlign w:val="superscript"/>
        </w:rPr>
        <w:t>9</w:t>
      </w:r>
      <w:r w:rsidRPr="00136B35">
        <w:rPr>
          <w:szCs w:val="22"/>
        </w:rPr>
        <w:t>/L a &lt;  LLN). Conseguentemente, il rapporto CD4+/CD8+ era aumentato in questi pazienti.</w:t>
      </w:r>
    </w:p>
    <w:p w14:paraId="6CA79F5D" w14:textId="77777777" w:rsidR="005477D4" w:rsidRPr="00136B35" w:rsidRDefault="005477D4" w:rsidP="005010FD">
      <w:pPr>
        <w:jc w:val="both"/>
        <w:rPr>
          <w:szCs w:val="22"/>
        </w:rPr>
      </w:pPr>
    </w:p>
    <w:p w14:paraId="7599B528" w14:textId="77777777" w:rsidR="005477D4" w:rsidRPr="00136B35" w:rsidRDefault="005477D4" w:rsidP="005010FD">
      <w:pPr>
        <w:jc w:val="both"/>
        <w:rPr>
          <w:szCs w:val="22"/>
        </w:rPr>
      </w:pPr>
      <w:r w:rsidRPr="00136B35">
        <w:rPr>
          <w:szCs w:val="22"/>
        </w:rPr>
        <w:t>La linfopenia prolungata da moderata a severa sembra aumentare il rischio di PML con dimetilfumarato; tuttavia, la PML si è verificata anche in pazienti con linfopenia lieve. Inoltre, la maggioranza dei casi di PML nel contesto post-marketing si è verificata in pazienti di età &gt; 50 anni.</w:t>
      </w:r>
    </w:p>
    <w:p w14:paraId="24C7C1D5" w14:textId="77777777" w:rsidR="005477D4" w:rsidRPr="00136B35" w:rsidRDefault="005477D4" w:rsidP="005010FD">
      <w:pPr>
        <w:jc w:val="both"/>
        <w:rPr>
          <w:szCs w:val="22"/>
        </w:rPr>
      </w:pPr>
    </w:p>
    <w:p w14:paraId="1E63DD6D" w14:textId="77777777" w:rsidR="005477D4" w:rsidRPr="00136B35" w:rsidRDefault="005477D4" w:rsidP="005010FD">
      <w:pPr>
        <w:jc w:val="both"/>
        <w:rPr>
          <w:szCs w:val="22"/>
        </w:rPr>
      </w:pPr>
    </w:p>
    <w:p w14:paraId="3E7209D7" w14:textId="794DB5B8" w:rsidR="005477D4" w:rsidRPr="00136B35" w:rsidRDefault="005477D4" w:rsidP="005010FD">
      <w:pPr>
        <w:jc w:val="both"/>
        <w:rPr>
          <w:szCs w:val="22"/>
        </w:rPr>
      </w:pPr>
      <w:r w:rsidRPr="00136B35">
        <w:rPr>
          <w:szCs w:val="22"/>
        </w:rPr>
        <w:t>Infezioni da herpes zoster</w:t>
      </w:r>
    </w:p>
    <w:p w14:paraId="28BB32BB" w14:textId="0C292DAF" w:rsidR="005477D4" w:rsidRPr="00136B35" w:rsidRDefault="005477D4" w:rsidP="005010FD">
      <w:pPr>
        <w:jc w:val="both"/>
        <w:rPr>
          <w:szCs w:val="22"/>
          <w:lang w:eastAsia="zh-CN"/>
        </w:rPr>
      </w:pPr>
      <w:r w:rsidRPr="00136B35">
        <w:rPr>
          <w:szCs w:val="22"/>
        </w:rPr>
        <w:t xml:space="preserve">Con l'uso di dimetilfumarato sono stati segnalati casi di infezione da herpes zoster. In uno studio di estensione a lungo termine in corso in cui 1 736 pazienti con SM sono stati trattati, circa il 5% dei soggetti ha manifestato uno o più eventi di infezione da herpes zoster il 42% dei quali era lieve, il 55% moderato e il 3% severo. Il tempo all’insorgenza dalla prima dose di dimetilfumarato variava da circa 3 mesi a 10 anni. Quattro pazienti hanno manifestato eventi gravi, che si sono tutti risolti. La maggioranza dei soggetti, inclusi coloro che hanno manifestato una grave infezione da herpes zoster, presentava conte linfocitarie superiori al limite inferiore di normalità. </w:t>
      </w:r>
      <w:bookmarkStart w:id="9" w:name="_Hlk49876821"/>
      <w:r w:rsidRPr="00136B35">
        <w:rPr>
          <w:szCs w:val="22"/>
        </w:rPr>
        <w:t xml:space="preserve">Nella maggioranza dei </w:t>
      </w:r>
      <w:bookmarkEnd w:id="9"/>
      <w:r w:rsidRPr="00136B35">
        <w:rPr>
          <w:szCs w:val="22"/>
        </w:rPr>
        <w:t>soggetti con concomitanti conte linfocitarie inferiori all’LLN, la linfopenia è stata classificata come moderata o severa. Nel contesto post-marketing, la maggioranza dei casi di infezione da herpes zoster è stata non grave e si è risolta con il trattamento. Sono disponibili dati limitati sulla conta linfocitaria assoluta (</w:t>
      </w:r>
      <w:r w:rsidRPr="00136B35">
        <w:rPr>
          <w:i/>
          <w:iCs/>
          <w:szCs w:val="22"/>
        </w:rPr>
        <w:t>absolute lymphocyte count</w:t>
      </w:r>
      <w:r w:rsidRPr="00136B35">
        <w:rPr>
          <w:szCs w:val="22"/>
        </w:rPr>
        <w:t xml:space="preserve"> -ALC) in pazienti con infezione da herpes zoster nel contesto post-marketing. Tuttavia, quando i dati sono stati riportati, la maggior parte dei pazienti manifestava linfopenia moderata (da≥</w:t>
      </w:r>
      <w:r w:rsidR="00877306" w:rsidRPr="00136B35">
        <w:rPr>
          <w:spacing w:val="-1"/>
          <w:szCs w:val="22"/>
        </w:rPr>
        <w:t xml:space="preserve"> </w:t>
      </w:r>
      <w:r w:rsidRPr="00136B35">
        <w:rPr>
          <w:szCs w:val="22"/>
        </w:rPr>
        <w:t>0,</w:t>
      </w:r>
      <w:r w:rsidRPr="00136B35">
        <w:rPr>
          <w:spacing w:val="-1"/>
          <w:szCs w:val="22"/>
        </w:rPr>
        <w:t>5 x 10</w:t>
      </w:r>
      <w:r w:rsidRPr="00136B35">
        <w:rPr>
          <w:spacing w:val="-1"/>
          <w:szCs w:val="22"/>
          <w:vertAlign w:val="superscript"/>
        </w:rPr>
        <w:t>9</w:t>
      </w:r>
      <w:r w:rsidRPr="00136B35">
        <w:rPr>
          <w:szCs w:val="22"/>
        </w:rPr>
        <w:t>/L a &lt;  0,</w:t>
      </w:r>
      <w:r w:rsidRPr="00136B35">
        <w:rPr>
          <w:spacing w:val="-1"/>
          <w:szCs w:val="22"/>
        </w:rPr>
        <w:t>8 x10</w:t>
      </w:r>
      <w:r w:rsidRPr="00136B35">
        <w:rPr>
          <w:spacing w:val="-1"/>
          <w:szCs w:val="22"/>
          <w:vertAlign w:val="superscript"/>
        </w:rPr>
        <w:t>9</w:t>
      </w:r>
      <w:r w:rsidRPr="00136B35">
        <w:rPr>
          <w:szCs w:val="22"/>
        </w:rPr>
        <w:t>/L) o severa (da &lt;  0,</w:t>
      </w:r>
      <w:r w:rsidRPr="00136B35">
        <w:rPr>
          <w:spacing w:val="-1"/>
          <w:szCs w:val="22"/>
        </w:rPr>
        <w:t>5 x10</w:t>
      </w:r>
      <w:r w:rsidRPr="00136B35">
        <w:rPr>
          <w:spacing w:val="-1"/>
          <w:szCs w:val="22"/>
          <w:vertAlign w:val="superscript"/>
        </w:rPr>
        <w:t>9</w:t>
      </w:r>
      <w:r w:rsidRPr="00136B35">
        <w:rPr>
          <w:szCs w:val="22"/>
        </w:rPr>
        <w:t>/L a 0,</w:t>
      </w:r>
      <w:r w:rsidRPr="00136B35">
        <w:rPr>
          <w:spacing w:val="-1"/>
          <w:szCs w:val="22"/>
        </w:rPr>
        <w:t>2 x10</w:t>
      </w:r>
      <w:r w:rsidRPr="00136B35">
        <w:rPr>
          <w:spacing w:val="-1"/>
          <w:szCs w:val="22"/>
          <w:vertAlign w:val="superscript"/>
        </w:rPr>
        <w:t>9</w:t>
      </w:r>
      <w:r w:rsidRPr="00136B35">
        <w:rPr>
          <w:szCs w:val="22"/>
        </w:rPr>
        <w:t>/L) (vedere paragrafo 4.4).</w:t>
      </w:r>
    </w:p>
    <w:p w14:paraId="3095E608" w14:textId="77777777" w:rsidR="005477D4" w:rsidRPr="00136B35" w:rsidRDefault="005477D4" w:rsidP="005010FD">
      <w:pPr>
        <w:widowControl w:val="0"/>
        <w:jc w:val="both"/>
        <w:rPr>
          <w:szCs w:val="22"/>
        </w:rPr>
      </w:pPr>
    </w:p>
    <w:p w14:paraId="01A6A04B" w14:textId="77777777" w:rsidR="005477D4" w:rsidRPr="00136B35" w:rsidRDefault="005477D4" w:rsidP="005010FD">
      <w:pPr>
        <w:keepNext/>
        <w:widowControl w:val="0"/>
        <w:jc w:val="both"/>
        <w:rPr>
          <w:i/>
          <w:szCs w:val="22"/>
        </w:rPr>
      </w:pPr>
      <w:r w:rsidRPr="00136B35">
        <w:rPr>
          <w:i/>
          <w:szCs w:val="22"/>
        </w:rPr>
        <w:t>Anormalità di laboratorio</w:t>
      </w:r>
    </w:p>
    <w:p w14:paraId="7060197C" w14:textId="77777777" w:rsidR="005477D4" w:rsidRPr="00136B35" w:rsidRDefault="005477D4" w:rsidP="005010FD">
      <w:pPr>
        <w:keepNext/>
        <w:widowControl w:val="0"/>
        <w:jc w:val="both"/>
        <w:rPr>
          <w:i/>
          <w:szCs w:val="22"/>
        </w:rPr>
      </w:pPr>
    </w:p>
    <w:p w14:paraId="31BEABC0" w14:textId="77777777" w:rsidR="005477D4" w:rsidRPr="00136B35" w:rsidRDefault="005477D4" w:rsidP="005010FD">
      <w:pPr>
        <w:keepNext/>
        <w:widowControl w:val="0"/>
        <w:jc w:val="both"/>
        <w:rPr>
          <w:szCs w:val="22"/>
        </w:rPr>
      </w:pPr>
      <w:r w:rsidRPr="00136B35">
        <w:rPr>
          <w:szCs w:val="22"/>
        </w:rPr>
        <w:t xml:space="preserve">Negli studi clinici controllati con placebo, la misurazione dei chetoni nelle urine (1+ o superiore) è risultata superiore nei pazienti trattati con dimetilfumarato (45 %) rispetto al placebo (10 %). Non sono </w:t>
      </w:r>
      <w:r w:rsidRPr="00136B35">
        <w:rPr>
          <w:szCs w:val="22"/>
        </w:rPr>
        <w:lastRenderedPageBreak/>
        <w:t>state osservate conseguenze impreviste negli studi clinici.</w:t>
      </w:r>
    </w:p>
    <w:p w14:paraId="7ACFB3F2" w14:textId="77777777" w:rsidR="005477D4" w:rsidRPr="00136B35" w:rsidRDefault="005477D4" w:rsidP="005010FD">
      <w:pPr>
        <w:widowControl w:val="0"/>
        <w:jc w:val="both"/>
        <w:rPr>
          <w:szCs w:val="22"/>
        </w:rPr>
      </w:pPr>
    </w:p>
    <w:p w14:paraId="0D374AE5" w14:textId="77777777" w:rsidR="005477D4" w:rsidRPr="00136B35" w:rsidRDefault="005477D4" w:rsidP="005010FD">
      <w:pPr>
        <w:jc w:val="both"/>
        <w:rPr>
          <w:szCs w:val="22"/>
        </w:rPr>
      </w:pPr>
      <w:r w:rsidRPr="00136B35">
        <w:rPr>
          <w:szCs w:val="22"/>
        </w:rPr>
        <w:t>I livelli di 1,25-diidrossivitamina D sono diminuiti nei pazienti trattati con dimetilfumarato rispetto a quelli trattati con placebo (diminuzione della percentuale mediana dal basale a 2 anni rispettivamente del 25% e del 15%) e i livelli di paratormone (PTH) sono saliti nei pazienti trattati con dimetilfumarato rispetto a quelli trattati con il placebo (aumento della percentuale mediana dal basale a 2 anni rispettivamente del 29% e del 15%). I valori medi per entrambi i parametri sono rimasti entro il range normale.</w:t>
      </w:r>
    </w:p>
    <w:p w14:paraId="1D40EFF6" w14:textId="77777777" w:rsidR="005477D4" w:rsidRPr="00136B35" w:rsidRDefault="005477D4" w:rsidP="005010FD">
      <w:pPr>
        <w:widowControl w:val="0"/>
        <w:jc w:val="both"/>
        <w:rPr>
          <w:szCs w:val="22"/>
        </w:rPr>
      </w:pPr>
    </w:p>
    <w:p w14:paraId="5F426FC1" w14:textId="77777777" w:rsidR="005477D4" w:rsidRPr="00136B35" w:rsidRDefault="005477D4" w:rsidP="005010FD">
      <w:pPr>
        <w:widowControl w:val="0"/>
        <w:jc w:val="both"/>
        <w:rPr>
          <w:szCs w:val="22"/>
        </w:rPr>
      </w:pPr>
      <w:r w:rsidRPr="00136B35">
        <w:rPr>
          <w:szCs w:val="22"/>
        </w:rPr>
        <w:t>Durante i primi 2 mesi di terapia è stato osservato un aumento transitorio delle conte medie degli eosinofili.</w:t>
      </w:r>
    </w:p>
    <w:p w14:paraId="12C63295" w14:textId="77777777" w:rsidR="005477D4" w:rsidRPr="00136B35" w:rsidRDefault="005477D4" w:rsidP="005010FD">
      <w:pPr>
        <w:widowControl w:val="0"/>
        <w:jc w:val="both"/>
        <w:rPr>
          <w:szCs w:val="22"/>
        </w:rPr>
      </w:pPr>
    </w:p>
    <w:p w14:paraId="588F2E15" w14:textId="77777777" w:rsidR="005477D4" w:rsidRPr="00136B35" w:rsidRDefault="005477D4" w:rsidP="005010FD">
      <w:pPr>
        <w:keepNext/>
        <w:autoSpaceDE w:val="0"/>
        <w:autoSpaceDN w:val="0"/>
        <w:adjustRightInd w:val="0"/>
        <w:jc w:val="both"/>
        <w:rPr>
          <w:szCs w:val="22"/>
          <w:u w:val="single"/>
        </w:rPr>
      </w:pPr>
      <w:r w:rsidRPr="00136B35">
        <w:rPr>
          <w:szCs w:val="22"/>
          <w:u w:val="single"/>
        </w:rPr>
        <w:t>Popolazione pediatrica</w:t>
      </w:r>
    </w:p>
    <w:p w14:paraId="07E7BF10" w14:textId="77777777" w:rsidR="005477D4" w:rsidRPr="00136B35" w:rsidRDefault="005477D4" w:rsidP="005010FD">
      <w:pPr>
        <w:keepNext/>
        <w:autoSpaceDE w:val="0"/>
        <w:autoSpaceDN w:val="0"/>
        <w:adjustRightInd w:val="0"/>
        <w:jc w:val="both"/>
        <w:rPr>
          <w:szCs w:val="22"/>
        </w:rPr>
      </w:pPr>
    </w:p>
    <w:p w14:paraId="60997DB6" w14:textId="0EE21C7C" w:rsidR="005477D4" w:rsidRPr="00136B35" w:rsidRDefault="005477D4" w:rsidP="005010FD">
      <w:pPr>
        <w:pStyle w:val="Standard1"/>
        <w:autoSpaceDE w:val="0"/>
        <w:autoSpaceDN w:val="0"/>
        <w:adjustRightInd w:val="0"/>
        <w:jc w:val="both"/>
        <w:rPr>
          <w:rFonts w:eastAsia="SimSun"/>
          <w:szCs w:val="22"/>
          <w:lang w:val="it-IT"/>
        </w:rPr>
      </w:pPr>
      <w:r w:rsidRPr="00136B35">
        <w:rPr>
          <w:rFonts w:eastAsia="SimSun"/>
          <w:szCs w:val="22"/>
          <w:lang w:val="it-IT"/>
        </w:rPr>
        <w:t>In uno studio in aperto</w:t>
      </w:r>
      <w:r w:rsidR="00877306" w:rsidRPr="005010FD">
        <w:rPr>
          <w:rFonts w:eastAsia="SimSun"/>
          <w:szCs w:val="22"/>
          <w:lang w:val="it-IT"/>
        </w:rPr>
        <w:t>,</w:t>
      </w:r>
      <w:r w:rsidRPr="00136B35">
        <w:rPr>
          <w:rFonts w:eastAsia="SimSun"/>
          <w:szCs w:val="22"/>
          <w:lang w:val="it-IT"/>
        </w:rPr>
        <w:t xml:space="preserve"> randomizzato</w:t>
      </w:r>
      <w:r w:rsidR="00877306" w:rsidRPr="005010FD">
        <w:rPr>
          <w:rFonts w:eastAsia="SimSun"/>
          <w:szCs w:val="22"/>
          <w:lang w:val="it-IT"/>
        </w:rPr>
        <w:t xml:space="preserve"> </w:t>
      </w:r>
      <w:r w:rsidRPr="00136B35">
        <w:rPr>
          <w:rFonts w:eastAsia="SimSun"/>
          <w:szCs w:val="22"/>
          <w:lang w:val="it-IT"/>
        </w:rPr>
        <w:t>con controllo attivo, della durata di 96 </w:t>
      </w:r>
      <w:r w:rsidR="00877306" w:rsidRPr="005010FD">
        <w:rPr>
          <w:rFonts w:eastAsia="SimSun"/>
          <w:szCs w:val="22"/>
          <w:lang w:val="it-IT"/>
        </w:rPr>
        <w:t xml:space="preserve"> </w:t>
      </w:r>
      <w:r w:rsidRPr="00136B35">
        <w:rPr>
          <w:rFonts w:eastAsia="SimSun"/>
          <w:szCs w:val="22"/>
          <w:lang w:val="it-IT"/>
        </w:rPr>
        <w:t xml:space="preserve">settimane, </w:t>
      </w:r>
      <w:r w:rsidR="00877306" w:rsidRPr="005010FD">
        <w:rPr>
          <w:rFonts w:eastAsia="SimSun"/>
          <w:szCs w:val="22"/>
          <w:lang w:val="it-IT"/>
        </w:rPr>
        <w:t xml:space="preserve">i </w:t>
      </w:r>
      <w:r w:rsidRPr="00136B35">
        <w:rPr>
          <w:rFonts w:eastAsia="SimSun"/>
          <w:szCs w:val="22"/>
          <w:lang w:val="it-IT"/>
        </w:rPr>
        <w:t>pazienti pediatrici affetti da SM</w:t>
      </w:r>
      <w:r w:rsidRPr="00136B35">
        <w:rPr>
          <w:rFonts w:eastAsia="SimSun"/>
          <w:szCs w:val="22"/>
          <w:lang w:val="it-IT"/>
        </w:rPr>
        <w:noBreakHyphen/>
        <w:t>RR (n = 7 di età compresa tra 10 e meno di 13 anni e n = 71 di età compresa tra 13 e meno di 18 anni) sono stati trattati con 120 mg due volte al giorno per 7 giorni, seguiti da 240 mg due volte al giorno per il restante periodo di trattamento</w:t>
      </w:r>
      <w:r w:rsidR="00877306" w:rsidRPr="005010FD">
        <w:rPr>
          <w:rFonts w:eastAsia="SimSun"/>
          <w:szCs w:val="22"/>
          <w:lang w:val="it-IT"/>
        </w:rPr>
        <w:t xml:space="preserve">; il </w:t>
      </w:r>
      <w:r w:rsidRPr="005010FD">
        <w:rPr>
          <w:rFonts w:eastAsia="SimSun"/>
          <w:szCs w:val="22"/>
          <w:lang w:val="it-IT"/>
        </w:rPr>
        <w:t>profilo di sicurezza dei pazienti pediatrici è apparso simile a quello precedentemente osservato nei pazienti adulti.</w:t>
      </w:r>
    </w:p>
    <w:p w14:paraId="7B789218" w14:textId="77777777" w:rsidR="005477D4" w:rsidRPr="00136B35" w:rsidRDefault="005477D4" w:rsidP="005010FD">
      <w:pPr>
        <w:pStyle w:val="Standard1"/>
        <w:autoSpaceDE w:val="0"/>
        <w:autoSpaceDN w:val="0"/>
        <w:adjustRightInd w:val="0"/>
        <w:jc w:val="both"/>
        <w:rPr>
          <w:szCs w:val="22"/>
          <w:lang w:val="it-IT"/>
        </w:rPr>
      </w:pPr>
    </w:p>
    <w:p w14:paraId="6D7CF949" w14:textId="1FDD2243" w:rsidR="00877306" w:rsidRPr="005010FD" w:rsidRDefault="005477D4">
      <w:pPr>
        <w:jc w:val="both"/>
        <w:rPr>
          <w:szCs w:val="22"/>
        </w:rPr>
      </w:pPr>
      <w:r w:rsidRPr="00136B35">
        <w:rPr>
          <w:szCs w:val="22"/>
        </w:rPr>
        <w:t xml:space="preserve">Il disegno dello studio clinico pediatrico era diverso da quello degli studi clinici controllati verso placebo condotti negli adulti. Pertanto, non è possibile escludere che il disegno dello studio clinico abbia contributo alle differenze numeriche osservate negli eventi avversi tra la popolazione pediatrica e quella adulta. Le patologie gastrointestinali, così come le patologie respiratorie, toraciche e mediastiniche e gli eventi avversi di cefalea e dismenorrea, sono stati segnalati con maggiore frequenza (≥ 10%) nella popolazione pediatrica rispetto a quella adulta. </w:t>
      </w:r>
    </w:p>
    <w:p w14:paraId="69DAF556" w14:textId="77777777" w:rsidR="00877306" w:rsidRPr="005010FD" w:rsidRDefault="00877306">
      <w:pPr>
        <w:jc w:val="both"/>
        <w:rPr>
          <w:szCs w:val="22"/>
        </w:rPr>
      </w:pPr>
    </w:p>
    <w:p w14:paraId="5B89A0E6" w14:textId="113CF04A" w:rsidR="005477D4" w:rsidRPr="00136B35" w:rsidRDefault="005477D4" w:rsidP="005010FD">
      <w:pPr>
        <w:jc w:val="both"/>
        <w:rPr>
          <w:szCs w:val="22"/>
        </w:rPr>
      </w:pPr>
      <w:r w:rsidRPr="00136B35">
        <w:rPr>
          <w:szCs w:val="22"/>
        </w:rPr>
        <w:t>Questi eventi avversi sono stati segnalati nei pazienti pediatrici con le percentuali seguenti:</w:t>
      </w:r>
    </w:p>
    <w:p w14:paraId="49EE6CE6" w14:textId="77777777" w:rsidR="005477D4" w:rsidRPr="00136B35" w:rsidRDefault="005477D4" w:rsidP="005010FD">
      <w:pPr>
        <w:jc w:val="both"/>
        <w:rPr>
          <w:szCs w:val="22"/>
        </w:rPr>
      </w:pPr>
    </w:p>
    <w:p w14:paraId="269D54BD" w14:textId="77777777" w:rsidR="005477D4" w:rsidRPr="00136B35" w:rsidRDefault="005477D4" w:rsidP="005010FD">
      <w:pPr>
        <w:pStyle w:val="ListParagraph"/>
        <w:numPr>
          <w:ilvl w:val="0"/>
          <w:numId w:val="29"/>
        </w:numPr>
        <w:tabs>
          <w:tab w:val="clear" w:pos="567"/>
        </w:tabs>
        <w:suppressAutoHyphens w:val="0"/>
        <w:ind w:left="357" w:hanging="357"/>
        <w:jc w:val="both"/>
        <w:rPr>
          <w:szCs w:val="22"/>
        </w:rPr>
      </w:pPr>
      <w:r w:rsidRPr="00136B35">
        <w:rPr>
          <w:szCs w:val="22"/>
        </w:rPr>
        <w:t>la cefalea è stata segnalata nel 28% dei pazienti trattati con dimetilfumarato, rispetto al 36% dei pazienti trattati con interferone beta</w:t>
      </w:r>
      <w:r w:rsidRPr="00136B35">
        <w:rPr>
          <w:szCs w:val="22"/>
        </w:rPr>
        <w:noBreakHyphen/>
        <w:t>1a;</w:t>
      </w:r>
    </w:p>
    <w:p w14:paraId="7CC88E67" w14:textId="77777777" w:rsidR="005477D4" w:rsidRPr="00136B35" w:rsidRDefault="005477D4" w:rsidP="005010FD">
      <w:pPr>
        <w:pStyle w:val="ListParagraph"/>
        <w:numPr>
          <w:ilvl w:val="0"/>
          <w:numId w:val="29"/>
        </w:numPr>
        <w:tabs>
          <w:tab w:val="clear" w:pos="567"/>
        </w:tabs>
        <w:suppressAutoHyphens w:val="0"/>
        <w:ind w:left="357" w:hanging="357"/>
        <w:jc w:val="both"/>
        <w:rPr>
          <w:szCs w:val="22"/>
        </w:rPr>
      </w:pPr>
      <w:r w:rsidRPr="00136B35">
        <w:rPr>
          <w:szCs w:val="22"/>
        </w:rPr>
        <w:t>le patologie gastrointestinali sono state segnalate nel 74% dei pazienti trattati con dimetilfumarato, rispetto al 31% dei pazienti trattati con interferone beta</w:t>
      </w:r>
      <w:r w:rsidRPr="00136B35">
        <w:rPr>
          <w:szCs w:val="22"/>
        </w:rPr>
        <w:noBreakHyphen/>
        <w:t>1a. Tra queste, il dolore addominale e il vomito sono stati gli eventi più frequenti segnalati con dimetilfumarato;</w:t>
      </w:r>
    </w:p>
    <w:p w14:paraId="350C0B04" w14:textId="77777777" w:rsidR="005477D4" w:rsidRPr="00136B35" w:rsidRDefault="005477D4" w:rsidP="005010FD">
      <w:pPr>
        <w:pStyle w:val="ListParagraph"/>
        <w:numPr>
          <w:ilvl w:val="0"/>
          <w:numId w:val="29"/>
        </w:numPr>
        <w:tabs>
          <w:tab w:val="clear" w:pos="567"/>
        </w:tabs>
        <w:suppressAutoHyphens w:val="0"/>
        <w:ind w:left="357" w:hanging="357"/>
        <w:jc w:val="both"/>
        <w:rPr>
          <w:szCs w:val="22"/>
        </w:rPr>
      </w:pPr>
      <w:r w:rsidRPr="00136B35">
        <w:rPr>
          <w:szCs w:val="22"/>
        </w:rPr>
        <w:t>le patologie respiratorie, toraciche e mediastiniche sono state segnalate nel 32 % dei pazienti trattati con dimetilfumarato, rispetto all’11% dei pazienti trattati con interferone beta</w:t>
      </w:r>
      <w:r w:rsidRPr="00136B35">
        <w:rPr>
          <w:szCs w:val="22"/>
        </w:rPr>
        <w:noBreakHyphen/>
        <w:t>1a. Tra queste, il dolore orofaringeo e la tosse sono stati gli eventi più frequenti segnalati con dimetilfumarato;</w:t>
      </w:r>
    </w:p>
    <w:p w14:paraId="2A0F6D33" w14:textId="77777777" w:rsidR="005477D4" w:rsidRPr="00136B35" w:rsidRDefault="005477D4" w:rsidP="005477D4">
      <w:pPr>
        <w:pStyle w:val="ListParagraph"/>
        <w:numPr>
          <w:ilvl w:val="0"/>
          <w:numId w:val="29"/>
        </w:numPr>
        <w:tabs>
          <w:tab w:val="clear" w:pos="567"/>
        </w:tabs>
        <w:suppressAutoHyphens w:val="0"/>
        <w:ind w:left="357" w:hanging="357"/>
        <w:jc w:val="both"/>
        <w:rPr>
          <w:szCs w:val="22"/>
        </w:rPr>
      </w:pPr>
      <w:r w:rsidRPr="00136B35">
        <w:rPr>
          <w:szCs w:val="22"/>
        </w:rPr>
        <w:t>la dismenorrea è stata segnalata nel 17% dei pazienti trattati con dimetilfumarato, rispetto al 7% dei pazienti trattati con interferone beta</w:t>
      </w:r>
      <w:r w:rsidRPr="00136B35">
        <w:rPr>
          <w:szCs w:val="22"/>
        </w:rPr>
        <w:noBreakHyphen/>
        <w:t>1a.</w:t>
      </w:r>
    </w:p>
    <w:p w14:paraId="22479CC9" w14:textId="77777777" w:rsidR="005477D4" w:rsidRPr="00136B35" w:rsidRDefault="005477D4" w:rsidP="005010FD">
      <w:pPr>
        <w:pStyle w:val="ListParagraph"/>
        <w:tabs>
          <w:tab w:val="clear" w:pos="567"/>
        </w:tabs>
        <w:suppressAutoHyphens w:val="0"/>
        <w:ind w:left="357"/>
        <w:jc w:val="both"/>
        <w:rPr>
          <w:szCs w:val="22"/>
        </w:rPr>
      </w:pPr>
    </w:p>
    <w:p w14:paraId="2CDD01B7" w14:textId="2175267D" w:rsidR="005477D4" w:rsidRPr="00136B35" w:rsidRDefault="005477D4" w:rsidP="005010FD">
      <w:pPr>
        <w:pStyle w:val="Standard1"/>
        <w:autoSpaceDE w:val="0"/>
        <w:autoSpaceDN w:val="0"/>
        <w:adjustRightInd w:val="0"/>
        <w:jc w:val="both"/>
        <w:rPr>
          <w:szCs w:val="22"/>
          <w:lang w:val="it-IT"/>
        </w:rPr>
      </w:pPr>
      <w:r w:rsidRPr="00136B35">
        <w:rPr>
          <w:szCs w:val="22"/>
          <w:lang w:val="it-IT"/>
        </w:rPr>
        <w:t>In un piccolo studio in aperto non controllato, della durata di 24 settimane, condotto in pazienti pediatrici affetti da SM</w:t>
      </w:r>
      <w:r w:rsidRPr="00136B35">
        <w:rPr>
          <w:szCs w:val="22"/>
          <w:lang w:val="it-IT"/>
        </w:rPr>
        <w:noBreakHyphen/>
        <w:t>RR di età compresa tra 13 e 17 anni (120 mg due volte al giorno per 7 giorni, seguiti da 240 mg due volte al giorno per il restante periodo di trattamento; n = 22), seguito da uno studio di estensione di 96 settimane (240 mg due volte al giorno; n = 20), il profilo di sicurezza è apparso simile a quello osservato nei pazienti adulti.</w:t>
      </w:r>
    </w:p>
    <w:p w14:paraId="35978832" w14:textId="77777777" w:rsidR="005477D4" w:rsidRPr="00136B35" w:rsidRDefault="005477D4" w:rsidP="005010FD">
      <w:pPr>
        <w:pStyle w:val="Standard1"/>
        <w:autoSpaceDE w:val="0"/>
        <w:autoSpaceDN w:val="0"/>
        <w:adjustRightInd w:val="0"/>
        <w:jc w:val="both"/>
        <w:rPr>
          <w:szCs w:val="22"/>
          <w:lang w:val="it-IT"/>
        </w:rPr>
      </w:pPr>
    </w:p>
    <w:p w14:paraId="246812CD" w14:textId="77777777" w:rsidR="005477D4" w:rsidRPr="00136B35" w:rsidRDefault="005477D4" w:rsidP="005010FD">
      <w:pPr>
        <w:keepNext/>
        <w:jc w:val="both"/>
        <w:rPr>
          <w:szCs w:val="22"/>
          <w:u w:val="single"/>
        </w:rPr>
      </w:pPr>
      <w:r w:rsidRPr="00136B35">
        <w:rPr>
          <w:szCs w:val="22"/>
          <w:u w:val="single"/>
        </w:rPr>
        <w:t>Segnalazione delle reazioni avverse sospette</w:t>
      </w:r>
    </w:p>
    <w:p w14:paraId="47A61711" w14:textId="77777777" w:rsidR="005477D4" w:rsidRPr="00136B35" w:rsidRDefault="005477D4" w:rsidP="005010FD">
      <w:pPr>
        <w:keepNext/>
        <w:widowControl w:val="0"/>
        <w:jc w:val="both"/>
        <w:rPr>
          <w:szCs w:val="22"/>
        </w:rPr>
      </w:pPr>
    </w:p>
    <w:p w14:paraId="49CFC3C9" w14:textId="77777777" w:rsidR="005477D4" w:rsidRPr="00136B35" w:rsidRDefault="005477D4" w:rsidP="005010FD">
      <w:pPr>
        <w:keepNext/>
        <w:widowControl w:val="0"/>
        <w:jc w:val="both"/>
        <w:rPr>
          <w:rStyle w:val="Hyperlink"/>
          <w:szCs w:val="22"/>
        </w:rPr>
      </w:pPr>
      <w:r w:rsidRPr="00136B35">
        <w:rPr>
          <w:szCs w:val="22"/>
        </w:rPr>
        <w:t xml:space="preserve">La segnalazione delle reazioni avverse sospette che si verificano dopo l’autorizzazione del medicinale è importante, in quanto permette un monitoraggio continuo del rapporto beneficio/rischio del medicinale. </w:t>
      </w:r>
      <w:bookmarkStart w:id="10" w:name="_Hlk69744791"/>
      <w:r w:rsidRPr="00136B35">
        <w:rPr>
          <w:szCs w:val="22"/>
        </w:rPr>
        <w:t xml:space="preserve">Agli operatori sanitari è richiesto di segnalare qualsiasi reazione avversa sospetta tramite </w:t>
      </w:r>
      <w:bookmarkEnd w:id="10"/>
      <w:r w:rsidRPr="00136B35">
        <w:rPr>
          <w:szCs w:val="22"/>
        </w:rPr>
        <w:t xml:space="preserve">Agenzia Italiana del Farmaco Sito web: </w:t>
      </w:r>
      <w:hyperlink r:id="rId10" w:history="1">
        <w:r w:rsidRPr="00136B35">
          <w:rPr>
            <w:rStyle w:val="Hyperlink"/>
            <w:szCs w:val="22"/>
          </w:rPr>
          <w:t>https://www.aifa.gov.it/content/segnalazioni-reazioni-avverse</w:t>
        </w:r>
      </w:hyperlink>
      <w:r w:rsidRPr="00136B35">
        <w:rPr>
          <w:rStyle w:val="Hyperlink"/>
          <w:szCs w:val="22"/>
        </w:rPr>
        <w:t>.</w:t>
      </w:r>
    </w:p>
    <w:p w14:paraId="4296E357" w14:textId="77777777" w:rsidR="005477D4" w:rsidRPr="00136B35" w:rsidRDefault="005477D4" w:rsidP="005010FD">
      <w:pPr>
        <w:keepNext/>
        <w:widowControl w:val="0"/>
        <w:jc w:val="both"/>
        <w:rPr>
          <w:szCs w:val="22"/>
        </w:rPr>
      </w:pPr>
    </w:p>
    <w:p w14:paraId="319C5AF8" w14:textId="77777777" w:rsidR="005477D4" w:rsidRPr="00136B35" w:rsidRDefault="005477D4" w:rsidP="005010FD">
      <w:pPr>
        <w:keepNext/>
        <w:widowControl w:val="0"/>
        <w:ind w:left="567" w:hanging="567"/>
        <w:jc w:val="both"/>
        <w:rPr>
          <w:b/>
          <w:szCs w:val="22"/>
        </w:rPr>
      </w:pPr>
      <w:r w:rsidRPr="00136B35">
        <w:rPr>
          <w:b/>
          <w:szCs w:val="22"/>
        </w:rPr>
        <w:t>4.9</w:t>
      </w:r>
      <w:r w:rsidRPr="00136B35">
        <w:rPr>
          <w:b/>
          <w:szCs w:val="22"/>
        </w:rPr>
        <w:tab/>
        <w:t>Sovradosaggio</w:t>
      </w:r>
    </w:p>
    <w:p w14:paraId="565AB82E" w14:textId="77777777" w:rsidR="005477D4" w:rsidRPr="00136B35" w:rsidRDefault="005477D4" w:rsidP="005010FD">
      <w:pPr>
        <w:keepNext/>
        <w:widowControl w:val="0"/>
        <w:jc w:val="both"/>
        <w:rPr>
          <w:szCs w:val="22"/>
        </w:rPr>
      </w:pPr>
    </w:p>
    <w:p w14:paraId="71589F9D" w14:textId="77777777" w:rsidR="005477D4" w:rsidRPr="00136B35" w:rsidRDefault="005477D4" w:rsidP="005010FD">
      <w:pPr>
        <w:widowControl w:val="0"/>
        <w:jc w:val="both"/>
        <w:rPr>
          <w:szCs w:val="22"/>
        </w:rPr>
      </w:pPr>
      <w:r w:rsidRPr="00136B35">
        <w:rPr>
          <w:szCs w:val="22"/>
        </w:rPr>
        <w:t xml:space="preserve">Sono stati segnalati casi di sovradosaggio con dimetilfumarato. I sintomi descritti in questi casi erano coerenti con il profilo noto delle reazioni avverse di dimetilfumarato. Non esistono interventi terapeutici </w:t>
      </w:r>
      <w:r w:rsidRPr="00136B35">
        <w:rPr>
          <w:szCs w:val="22"/>
        </w:rPr>
        <w:lastRenderedPageBreak/>
        <w:t>noti per aumentare l’eliminazione di dimetilfumarato né esistono antidoti noti. In caso di sovradosaggio, si raccomanda di iniziare un trattamento sintomatico di supporto come clinicamente indicato.</w:t>
      </w:r>
    </w:p>
    <w:p w14:paraId="6FF0413E" w14:textId="77777777" w:rsidR="005477D4" w:rsidRPr="00136B35" w:rsidRDefault="005477D4" w:rsidP="005010FD">
      <w:pPr>
        <w:widowControl w:val="0"/>
        <w:jc w:val="both"/>
        <w:rPr>
          <w:szCs w:val="22"/>
        </w:rPr>
      </w:pPr>
    </w:p>
    <w:p w14:paraId="6F03E76C" w14:textId="77777777" w:rsidR="005477D4" w:rsidRPr="00136B35" w:rsidRDefault="005477D4" w:rsidP="005010FD">
      <w:pPr>
        <w:widowControl w:val="0"/>
        <w:jc w:val="both"/>
        <w:rPr>
          <w:szCs w:val="22"/>
        </w:rPr>
      </w:pPr>
    </w:p>
    <w:p w14:paraId="03D21CD7" w14:textId="77777777" w:rsidR="005477D4" w:rsidRPr="00136B35" w:rsidRDefault="005477D4" w:rsidP="005010FD">
      <w:pPr>
        <w:keepNext/>
        <w:widowControl w:val="0"/>
        <w:ind w:left="567" w:hanging="567"/>
        <w:jc w:val="both"/>
        <w:rPr>
          <w:b/>
          <w:szCs w:val="22"/>
        </w:rPr>
      </w:pPr>
      <w:r w:rsidRPr="00136B35">
        <w:rPr>
          <w:b/>
          <w:szCs w:val="22"/>
        </w:rPr>
        <w:t>5.</w:t>
      </w:r>
      <w:r w:rsidRPr="00136B35">
        <w:rPr>
          <w:b/>
          <w:szCs w:val="22"/>
        </w:rPr>
        <w:tab/>
        <w:t>PROPRIETÀ FARMACOLOGICHE</w:t>
      </w:r>
    </w:p>
    <w:p w14:paraId="2EA9084C" w14:textId="77777777" w:rsidR="005477D4" w:rsidRPr="00136B35" w:rsidRDefault="005477D4" w:rsidP="005010FD">
      <w:pPr>
        <w:keepNext/>
        <w:widowControl w:val="0"/>
        <w:jc w:val="both"/>
        <w:rPr>
          <w:szCs w:val="22"/>
        </w:rPr>
      </w:pPr>
    </w:p>
    <w:p w14:paraId="25B01B2F" w14:textId="77777777" w:rsidR="005477D4" w:rsidRPr="00136B35" w:rsidRDefault="005477D4" w:rsidP="005010FD">
      <w:pPr>
        <w:keepNext/>
        <w:widowControl w:val="0"/>
        <w:ind w:left="567" w:hanging="567"/>
        <w:jc w:val="both"/>
        <w:rPr>
          <w:b/>
          <w:szCs w:val="22"/>
        </w:rPr>
      </w:pPr>
      <w:r w:rsidRPr="00136B35">
        <w:rPr>
          <w:b/>
          <w:szCs w:val="22"/>
        </w:rPr>
        <w:t xml:space="preserve">5.1 </w:t>
      </w:r>
      <w:r w:rsidRPr="00136B35">
        <w:rPr>
          <w:b/>
          <w:szCs w:val="22"/>
        </w:rPr>
        <w:tab/>
        <w:t>Proprietà farmacodinamiche</w:t>
      </w:r>
    </w:p>
    <w:p w14:paraId="700FB02A" w14:textId="77777777" w:rsidR="005477D4" w:rsidRPr="00136B35" w:rsidRDefault="005477D4" w:rsidP="005010FD">
      <w:pPr>
        <w:keepNext/>
        <w:widowControl w:val="0"/>
        <w:jc w:val="both"/>
        <w:rPr>
          <w:szCs w:val="22"/>
        </w:rPr>
      </w:pPr>
    </w:p>
    <w:p w14:paraId="24E63026" w14:textId="77777777" w:rsidR="005477D4" w:rsidRPr="00136B35" w:rsidRDefault="005477D4" w:rsidP="005010FD">
      <w:pPr>
        <w:keepNext/>
        <w:widowControl w:val="0"/>
        <w:jc w:val="both"/>
        <w:rPr>
          <w:szCs w:val="22"/>
        </w:rPr>
      </w:pPr>
      <w:r w:rsidRPr="00136B35">
        <w:rPr>
          <w:szCs w:val="22"/>
        </w:rPr>
        <w:t>Categoria farmacoterapeutica: immunosoppressori, altri immunosoppressori, codice ATC: L04AX07</w:t>
      </w:r>
    </w:p>
    <w:p w14:paraId="2DD1E312" w14:textId="77777777" w:rsidR="005477D4" w:rsidRPr="00136B35" w:rsidRDefault="005477D4" w:rsidP="005010FD">
      <w:pPr>
        <w:keepNext/>
        <w:widowControl w:val="0"/>
        <w:jc w:val="both"/>
        <w:rPr>
          <w:szCs w:val="22"/>
        </w:rPr>
      </w:pPr>
    </w:p>
    <w:p w14:paraId="6800E508" w14:textId="77777777" w:rsidR="005477D4" w:rsidRPr="00136B35" w:rsidRDefault="005477D4" w:rsidP="005010FD">
      <w:pPr>
        <w:widowControl w:val="0"/>
        <w:jc w:val="both"/>
        <w:rPr>
          <w:szCs w:val="22"/>
          <w:u w:val="single"/>
        </w:rPr>
      </w:pPr>
      <w:r w:rsidRPr="00136B35">
        <w:rPr>
          <w:szCs w:val="22"/>
          <w:u w:val="single"/>
        </w:rPr>
        <w:t>Meccanismo d’azione</w:t>
      </w:r>
    </w:p>
    <w:p w14:paraId="055F464A" w14:textId="77777777" w:rsidR="005477D4" w:rsidRPr="00136B35" w:rsidRDefault="005477D4" w:rsidP="005010FD">
      <w:pPr>
        <w:widowControl w:val="0"/>
        <w:jc w:val="both"/>
        <w:rPr>
          <w:szCs w:val="22"/>
        </w:rPr>
      </w:pPr>
    </w:p>
    <w:p w14:paraId="33184B51" w14:textId="77777777" w:rsidR="005477D4" w:rsidRPr="00136B35" w:rsidRDefault="005477D4" w:rsidP="005010FD">
      <w:pPr>
        <w:widowControl w:val="0"/>
        <w:jc w:val="both"/>
        <w:rPr>
          <w:szCs w:val="22"/>
        </w:rPr>
      </w:pPr>
      <w:r w:rsidRPr="00136B35">
        <w:rPr>
          <w:szCs w:val="22"/>
        </w:rPr>
        <w:t>Il meccanismo con cui dimetilfumarato esercita gli effetti terapeutici nella sclerosi multipla non è pienamente compreso. Gli studi preclinici indicano che le risposte farmacodinamiche di dimetilfumarato risultano principalmente mediate attraverso l’attivazione della via di trascrizione del fattore nucleare 2 eritroide 2-correlato (Nrf2). È stato dimostrato che nei pazienti dimetilfumarato provoca la sovraregolazione (</w:t>
      </w:r>
      <w:r w:rsidRPr="00136B35">
        <w:rPr>
          <w:i/>
          <w:szCs w:val="22"/>
        </w:rPr>
        <w:t>up-regulation</w:t>
      </w:r>
      <w:r w:rsidRPr="00136B35">
        <w:rPr>
          <w:szCs w:val="22"/>
        </w:rPr>
        <w:t>) dei geni antiossidanti dipendenti da Nrf2 (ad es. NAD(P)H deidrogenasi, chinone 1; [NQO1]).</w:t>
      </w:r>
    </w:p>
    <w:p w14:paraId="460E3260" w14:textId="77777777" w:rsidR="005477D4" w:rsidRPr="00136B35" w:rsidRDefault="005477D4" w:rsidP="005010FD">
      <w:pPr>
        <w:widowControl w:val="0"/>
        <w:jc w:val="both"/>
        <w:rPr>
          <w:szCs w:val="22"/>
        </w:rPr>
      </w:pPr>
    </w:p>
    <w:p w14:paraId="29AF5F73" w14:textId="77777777" w:rsidR="005477D4" w:rsidRPr="00136B35" w:rsidRDefault="005477D4" w:rsidP="005010FD">
      <w:pPr>
        <w:widowControl w:val="0"/>
        <w:jc w:val="both"/>
        <w:rPr>
          <w:szCs w:val="22"/>
          <w:u w:val="single"/>
        </w:rPr>
      </w:pPr>
      <w:r w:rsidRPr="00136B35">
        <w:rPr>
          <w:szCs w:val="22"/>
          <w:u w:val="single"/>
        </w:rPr>
        <w:t>Effetti farmacodinamici</w:t>
      </w:r>
    </w:p>
    <w:p w14:paraId="47ED78B2" w14:textId="77777777" w:rsidR="005477D4" w:rsidRPr="00136B35" w:rsidRDefault="005477D4" w:rsidP="005010FD">
      <w:pPr>
        <w:widowControl w:val="0"/>
        <w:jc w:val="both"/>
        <w:rPr>
          <w:szCs w:val="22"/>
        </w:rPr>
      </w:pPr>
    </w:p>
    <w:p w14:paraId="7C3C2E29" w14:textId="77777777" w:rsidR="005477D4" w:rsidRPr="00136B35" w:rsidRDefault="005477D4" w:rsidP="005010FD">
      <w:pPr>
        <w:widowControl w:val="0"/>
        <w:autoSpaceDE w:val="0"/>
        <w:jc w:val="both"/>
        <w:rPr>
          <w:i/>
          <w:szCs w:val="22"/>
        </w:rPr>
      </w:pPr>
      <w:r w:rsidRPr="00136B35">
        <w:rPr>
          <w:i/>
          <w:szCs w:val="22"/>
        </w:rPr>
        <w:t>Effetti sul sistema immunitario</w:t>
      </w:r>
    </w:p>
    <w:p w14:paraId="2BC3D182" w14:textId="77777777" w:rsidR="005477D4" w:rsidRPr="00136B35" w:rsidRDefault="005477D4" w:rsidP="005010FD">
      <w:pPr>
        <w:widowControl w:val="0"/>
        <w:autoSpaceDE w:val="0"/>
        <w:jc w:val="both"/>
        <w:rPr>
          <w:i/>
          <w:szCs w:val="22"/>
        </w:rPr>
      </w:pPr>
    </w:p>
    <w:p w14:paraId="12493063" w14:textId="7D53999C" w:rsidR="005477D4" w:rsidRPr="00136B35" w:rsidRDefault="005477D4" w:rsidP="005010FD">
      <w:pPr>
        <w:pStyle w:val="Standard2"/>
        <w:keepNext/>
        <w:widowControl w:val="0"/>
        <w:suppressLineNumbers/>
        <w:autoSpaceDE w:val="0"/>
        <w:autoSpaceDN w:val="0"/>
        <w:adjustRightInd w:val="0"/>
        <w:jc w:val="both"/>
        <w:rPr>
          <w:szCs w:val="22"/>
          <w:lang w:val="it-IT"/>
        </w:rPr>
      </w:pPr>
      <w:r w:rsidRPr="00136B35">
        <w:rPr>
          <w:szCs w:val="22"/>
          <w:lang w:val="it-IT"/>
        </w:rPr>
        <w:t>Negli studi preclinici e clinici, dimetilfumarato ha dimostrato proprietà anti-infiammatorie e immunomodulatorie. Dimetilfumarato e monometilfumarato, il principale metabolita di dimetilfumarato, hanno ridotto significativamente l’attivazione delle cellule del sistema immunitario e il successivo rilascio di citochine pro-infiammatorie in risposta agli stimoli infiammatori nei modelli preclinici. Negli studi clinici condotti su pazienti affetti da psoriasi, dimetilfumarato ha influito sui fenotipi linfocitari tramite una sottoregolazione (</w:t>
      </w:r>
      <w:r w:rsidRPr="00136B35">
        <w:rPr>
          <w:i/>
          <w:szCs w:val="22"/>
          <w:lang w:val="it-IT"/>
        </w:rPr>
        <w:t>down-regulation</w:t>
      </w:r>
      <w:r w:rsidRPr="00136B35">
        <w:rPr>
          <w:szCs w:val="22"/>
          <w:lang w:val="it-IT"/>
        </w:rPr>
        <w:t>) dei profili delle citochine pro-infiammatorie (T</w:t>
      </w:r>
      <w:r w:rsidRPr="00136B35">
        <w:rPr>
          <w:szCs w:val="22"/>
          <w:vertAlign w:val="subscript"/>
          <w:lang w:val="it-IT"/>
        </w:rPr>
        <w:t>H</w:t>
      </w:r>
      <w:r w:rsidRPr="00136B35">
        <w:rPr>
          <w:szCs w:val="22"/>
          <w:lang w:val="it-IT"/>
        </w:rPr>
        <w:t>1, T</w:t>
      </w:r>
      <w:r w:rsidRPr="00136B35">
        <w:rPr>
          <w:szCs w:val="22"/>
          <w:vertAlign w:val="subscript"/>
          <w:lang w:val="it-IT"/>
        </w:rPr>
        <w:t>H</w:t>
      </w:r>
      <w:r w:rsidRPr="00136B35">
        <w:rPr>
          <w:szCs w:val="22"/>
          <w:lang w:val="it-IT"/>
        </w:rPr>
        <w:t>17), e ha favorito la produzione delle citochine anti-infiammatorie (T</w:t>
      </w:r>
      <w:r w:rsidRPr="00136B35">
        <w:rPr>
          <w:szCs w:val="22"/>
          <w:vertAlign w:val="subscript"/>
          <w:lang w:val="it-IT"/>
        </w:rPr>
        <w:t>H</w:t>
      </w:r>
      <w:r w:rsidRPr="00136B35">
        <w:rPr>
          <w:szCs w:val="22"/>
          <w:lang w:val="it-IT"/>
        </w:rPr>
        <w:t>2). Dimetilfumarato ha dimostrato un’attività terapeutica in molteplici modelli di lesione infiammatoria e neuroinfiammatoria. Negli studi di Fase 3 nei pazienti con SM (DEFINE, CONFIRM ed ENDORSE), durante il trattamento con dimetilfumarato, la conta linfocitaria media è diminuita in media del 30% circa rispetto al valore basale nel corso del primo anno, con una successiva fase di stabilizzazione. In questi studi, i pazienti che hanno interrotto la terapia con dimetilfumarato con conte linfocitarie al di sotto del limite inferiore di normalità (</w:t>
      </w:r>
      <w:r w:rsidR="00EB5CB9" w:rsidRPr="005010FD">
        <w:rPr>
          <w:szCs w:val="22"/>
          <w:lang w:val="it-IT"/>
        </w:rPr>
        <w:t>LLN, 0,9 × 109 /L</w:t>
      </w:r>
      <w:r w:rsidRPr="00136B35">
        <w:rPr>
          <w:szCs w:val="22"/>
          <w:lang w:val="it-IT"/>
        </w:rPr>
        <w:t>) sono stati monitorati per il recupero delle conte linfocitarie al LLN.</w:t>
      </w:r>
    </w:p>
    <w:p w14:paraId="1CD1F65F" w14:textId="77777777" w:rsidR="005477D4" w:rsidRPr="00136B35" w:rsidRDefault="005477D4" w:rsidP="005010FD">
      <w:pPr>
        <w:pStyle w:val="Standard2"/>
        <w:keepNext/>
        <w:widowControl w:val="0"/>
        <w:suppressLineNumbers/>
        <w:autoSpaceDE w:val="0"/>
        <w:autoSpaceDN w:val="0"/>
        <w:adjustRightInd w:val="0"/>
        <w:jc w:val="both"/>
        <w:rPr>
          <w:szCs w:val="22"/>
          <w:lang w:val="it-IT"/>
        </w:rPr>
      </w:pPr>
    </w:p>
    <w:p w14:paraId="3DE55B07" w14:textId="77777777" w:rsidR="005477D4" w:rsidRPr="00136B35" w:rsidRDefault="005477D4" w:rsidP="005010FD">
      <w:pPr>
        <w:pStyle w:val="Standard2"/>
        <w:keepLines/>
        <w:widowControl w:val="0"/>
        <w:suppressLineNumbers/>
        <w:autoSpaceDE w:val="0"/>
        <w:autoSpaceDN w:val="0"/>
        <w:adjustRightInd w:val="0"/>
        <w:jc w:val="both"/>
        <w:rPr>
          <w:szCs w:val="22"/>
          <w:lang w:val="it-IT"/>
        </w:rPr>
      </w:pPr>
      <w:r w:rsidRPr="00136B35">
        <w:rPr>
          <w:szCs w:val="22"/>
          <w:lang w:val="it-IT"/>
        </w:rPr>
        <w:t>La Figura 1 mostra la proporzione di pazienti senza linfopenia severa prolungata con raggiungimento stimato del LLN sulla base del metodo di Kaplan-Meier. Il basale di recupero (</w:t>
      </w:r>
      <w:r w:rsidRPr="00136B35">
        <w:rPr>
          <w:i/>
          <w:iCs/>
          <w:szCs w:val="22"/>
          <w:lang w:val="it-IT"/>
        </w:rPr>
        <w:t>recovery baseline,</w:t>
      </w:r>
      <w:r w:rsidRPr="00136B35">
        <w:rPr>
          <w:szCs w:val="22"/>
          <w:lang w:val="it-IT"/>
        </w:rPr>
        <w:t xml:space="preserve"> RBL) è stato definito come l’ultima ALC in corso di trattamento prima dell’interruzione di dimetilfumarato. La proporzione stimata di pazienti con recupero all’LLN (ALC ≥ 0,9 x 10</w:t>
      </w:r>
      <w:r w:rsidRPr="00136B35">
        <w:rPr>
          <w:szCs w:val="22"/>
          <w:vertAlign w:val="superscript"/>
          <w:lang w:val="it-IT"/>
        </w:rPr>
        <w:t>9</w:t>
      </w:r>
      <w:r w:rsidRPr="00136B35">
        <w:rPr>
          <w:szCs w:val="22"/>
          <w:lang w:val="it-IT"/>
        </w:rPr>
        <w:t>/L) alla settimana 12 e alla settimana 24, in seguito a linfopenia lieve, moderata o severa all’RBL, è riportata nella Tabella 1, nella Tabella 2 e nella Tabella 3 con intervalli di confidenza (IC) puntuali al 95%. L’errore standard dello stimatore di Kaplan</w:t>
      </w:r>
      <w:r w:rsidRPr="00136B35">
        <w:rPr>
          <w:szCs w:val="22"/>
          <w:lang w:val="it-IT"/>
        </w:rPr>
        <w:noBreakHyphen/>
        <w:t>Meier della funzione di sopravvivenza è calcolato mediante la formula di Greenwood.</w:t>
      </w:r>
    </w:p>
    <w:p w14:paraId="22E1DE15" w14:textId="77777777" w:rsidR="005477D4" w:rsidRPr="00136B35" w:rsidRDefault="005477D4" w:rsidP="005010FD">
      <w:pPr>
        <w:pStyle w:val="Standard2"/>
        <w:widowControl w:val="0"/>
        <w:suppressLineNumbers/>
        <w:autoSpaceDE w:val="0"/>
        <w:autoSpaceDN w:val="0"/>
        <w:adjustRightInd w:val="0"/>
        <w:jc w:val="both"/>
        <w:rPr>
          <w:szCs w:val="22"/>
          <w:lang w:val="it-IT"/>
        </w:rPr>
      </w:pPr>
    </w:p>
    <w:p w14:paraId="625C2774" w14:textId="6456A9E6" w:rsidR="005477D4" w:rsidRPr="00136B35" w:rsidRDefault="00EB5CB9" w:rsidP="005010FD">
      <w:pPr>
        <w:pStyle w:val="Standard2"/>
        <w:keepNext/>
        <w:widowControl w:val="0"/>
        <w:suppressLineNumbers/>
        <w:autoSpaceDE w:val="0"/>
        <w:autoSpaceDN w:val="0"/>
        <w:adjustRightInd w:val="0"/>
        <w:jc w:val="both"/>
        <w:rPr>
          <w:strike/>
          <w:szCs w:val="22"/>
          <w:lang w:val="it-IT"/>
        </w:rPr>
      </w:pPr>
      <w:bookmarkStart w:id="11" w:name="IDX"/>
      <w:bookmarkEnd w:id="11"/>
      <w:proofErr w:type="spellStart"/>
      <w:r w:rsidRPr="005010FD">
        <w:rPr>
          <w:b/>
          <w:bCs/>
          <w:szCs w:val="22"/>
        </w:rPr>
        <w:t>Figura</w:t>
      </w:r>
      <w:proofErr w:type="spellEnd"/>
      <w:r w:rsidRPr="005010FD">
        <w:rPr>
          <w:b/>
          <w:bCs/>
          <w:szCs w:val="22"/>
        </w:rPr>
        <w:t xml:space="preserve"> 1: </w:t>
      </w:r>
      <w:proofErr w:type="spellStart"/>
      <w:r w:rsidRPr="005010FD">
        <w:rPr>
          <w:b/>
          <w:bCs/>
          <w:szCs w:val="22"/>
        </w:rPr>
        <w:t>metodo</w:t>
      </w:r>
      <w:proofErr w:type="spellEnd"/>
      <w:r w:rsidRPr="005010FD">
        <w:rPr>
          <w:b/>
          <w:bCs/>
          <w:szCs w:val="22"/>
        </w:rPr>
        <w:t xml:space="preserve"> di Kaplan-Meier; </w:t>
      </w:r>
      <w:proofErr w:type="spellStart"/>
      <w:r w:rsidRPr="005010FD">
        <w:rPr>
          <w:b/>
          <w:bCs/>
          <w:szCs w:val="22"/>
        </w:rPr>
        <w:t>proporzione</w:t>
      </w:r>
      <w:proofErr w:type="spellEnd"/>
      <w:r w:rsidRPr="005010FD">
        <w:rPr>
          <w:b/>
          <w:bCs/>
          <w:szCs w:val="22"/>
        </w:rPr>
        <w:t xml:space="preserve"> di </w:t>
      </w:r>
      <w:proofErr w:type="spellStart"/>
      <w:r w:rsidRPr="005010FD">
        <w:rPr>
          <w:b/>
          <w:bCs/>
          <w:szCs w:val="22"/>
        </w:rPr>
        <w:t>pazienti</w:t>
      </w:r>
      <w:proofErr w:type="spellEnd"/>
      <w:r w:rsidRPr="005010FD">
        <w:rPr>
          <w:b/>
          <w:bCs/>
          <w:szCs w:val="22"/>
        </w:rPr>
        <w:t xml:space="preserve"> con </w:t>
      </w:r>
      <w:proofErr w:type="spellStart"/>
      <w:r w:rsidRPr="005010FD">
        <w:rPr>
          <w:b/>
          <w:bCs/>
          <w:szCs w:val="22"/>
        </w:rPr>
        <w:t>recupero</w:t>
      </w:r>
      <w:proofErr w:type="spellEnd"/>
      <w:r w:rsidRPr="005010FD">
        <w:rPr>
          <w:b/>
          <w:bCs/>
          <w:szCs w:val="22"/>
        </w:rPr>
        <w:t xml:space="preserve"> </w:t>
      </w:r>
      <w:proofErr w:type="spellStart"/>
      <w:r w:rsidRPr="005010FD">
        <w:rPr>
          <w:b/>
          <w:bCs/>
          <w:szCs w:val="22"/>
        </w:rPr>
        <w:t>all’LLN</w:t>
      </w:r>
      <w:proofErr w:type="spellEnd"/>
      <w:r w:rsidRPr="005010FD">
        <w:rPr>
          <w:b/>
          <w:bCs/>
          <w:szCs w:val="22"/>
        </w:rPr>
        <w:t xml:space="preserve"> di ≥ 910 cellule/mm3 (0,9 × 109 /L) dal </w:t>
      </w:r>
      <w:proofErr w:type="spellStart"/>
      <w:r w:rsidRPr="005010FD">
        <w:rPr>
          <w:b/>
          <w:bCs/>
          <w:szCs w:val="22"/>
        </w:rPr>
        <w:t>basale</w:t>
      </w:r>
      <w:proofErr w:type="spellEnd"/>
      <w:r w:rsidRPr="005010FD">
        <w:rPr>
          <w:b/>
          <w:bCs/>
          <w:szCs w:val="22"/>
        </w:rPr>
        <w:t xml:space="preserve"> di </w:t>
      </w:r>
      <w:proofErr w:type="spellStart"/>
      <w:r w:rsidRPr="005010FD">
        <w:rPr>
          <w:b/>
          <w:bCs/>
          <w:szCs w:val="22"/>
        </w:rPr>
        <w:t>recupero</w:t>
      </w:r>
      <w:proofErr w:type="spellEnd"/>
      <w:r w:rsidRPr="005010FD">
        <w:rPr>
          <w:b/>
          <w:bCs/>
          <w:szCs w:val="22"/>
        </w:rPr>
        <w:t xml:space="preserve"> (RBL)</w:t>
      </w:r>
      <w:r w:rsidR="005477D4" w:rsidRPr="00136B35">
        <w:rPr>
          <w:noProof/>
          <w:szCs w:val="22"/>
          <w:lang w:val="en-US"/>
        </w:rPr>
        <w:lastRenderedPageBreak/>
        <w:drawing>
          <wp:inline distT="0" distB="0" distL="0" distR="0" wp14:anchorId="6A20E52B" wp14:editId="5C4025B7">
            <wp:extent cx="5758815" cy="2842260"/>
            <wp:effectExtent l="0" t="0" r="0" b="0"/>
            <wp:docPr id="1" name="Picture 1" descr="Immagine che contiene testo, diagramma, linea, Pi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magine che contiene testo, diagramma, linea, Piano&#10;&#10;Descrizione generata automaticamente"/>
                    <pic:cNvPicPr/>
                  </pic:nvPicPr>
                  <pic:blipFill>
                    <a:blip r:embed="rId11"/>
                    <a:stretch>
                      <a:fillRect/>
                    </a:stretch>
                  </pic:blipFill>
                  <pic:spPr>
                    <a:xfrm>
                      <a:off x="0" y="0"/>
                      <a:ext cx="5758815" cy="2842260"/>
                    </a:xfrm>
                    <a:prstGeom prst="rect">
                      <a:avLst/>
                    </a:prstGeom>
                  </pic:spPr>
                </pic:pic>
              </a:graphicData>
            </a:graphic>
          </wp:inline>
        </w:drawing>
      </w:r>
      <w:r w:rsidR="005477D4" w:rsidRPr="00136B35" w:rsidDel="00DE2B11">
        <w:rPr>
          <w:strike/>
          <w:szCs w:val="22"/>
          <w:lang w:val="it-IT"/>
        </w:rPr>
        <w:t xml:space="preserve"> </w:t>
      </w:r>
    </w:p>
    <w:p w14:paraId="04626DF4" w14:textId="77777777" w:rsidR="005477D4" w:rsidRPr="00136B35" w:rsidRDefault="005477D4" w:rsidP="005010FD">
      <w:pPr>
        <w:widowControl w:val="0"/>
        <w:jc w:val="both"/>
        <w:rPr>
          <w:szCs w:val="22"/>
        </w:rPr>
      </w:pPr>
      <w:r w:rsidRPr="00136B35">
        <w:rPr>
          <w:szCs w:val="22"/>
        </w:rPr>
        <w:t>Nota: 500 </w:t>
      </w:r>
      <w:r w:rsidRPr="00136B35">
        <w:rPr>
          <w:bCs/>
          <w:szCs w:val="22"/>
        </w:rPr>
        <w:t>cellule/mm</w:t>
      </w:r>
      <w:r w:rsidRPr="00136B35">
        <w:rPr>
          <w:bCs/>
          <w:szCs w:val="22"/>
          <w:vertAlign w:val="superscript"/>
        </w:rPr>
        <w:t>3</w:t>
      </w:r>
      <w:r w:rsidRPr="00136B35">
        <w:rPr>
          <w:bCs/>
          <w:szCs w:val="22"/>
        </w:rPr>
        <w:t xml:space="preserve">, </w:t>
      </w:r>
      <w:r w:rsidRPr="00136B35">
        <w:rPr>
          <w:szCs w:val="22"/>
        </w:rPr>
        <w:t>800 </w:t>
      </w:r>
      <w:r w:rsidRPr="00136B35">
        <w:rPr>
          <w:bCs/>
          <w:szCs w:val="22"/>
        </w:rPr>
        <w:t>cellule/mm</w:t>
      </w:r>
      <w:r w:rsidRPr="00136B35">
        <w:rPr>
          <w:bCs/>
          <w:szCs w:val="22"/>
          <w:vertAlign w:val="superscript"/>
        </w:rPr>
        <w:t>3</w:t>
      </w:r>
      <w:r w:rsidRPr="00136B35">
        <w:rPr>
          <w:bCs/>
          <w:szCs w:val="22"/>
        </w:rPr>
        <w:t xml:space="preserve"> e </w:t>
      </w:r>
      <w:r w:rsidRPr="00136B35">
        <w:rPr>
          <w:szCs w:val="22"/>
        </w:rPr>
        <w:t>910 </w:t>
      </w:r>
      <w:r w:rsidRPr="00136B35">
        <w:rPr>
          <w:bCs/>
          <w:szCs w:val="22"/>
        </w:rPr>
        <w:t>cellule/mm</w:t>
      </w:r>
      <w:r w:rsidRPr="00136B35">
        <w:rPr>
          <w:bCs/>
          <w:szCs w:val="22"/>
          <w:vertAlign w:val="superscript"/>
        </w:rPr>
        <w:t>3</w:t>
      </w:r>
      <w:r w:rsidRPr="00136B35">
        <w:rPr>
          <w:bCs/>
          <w:szCs w:val="22"/>
        </w:rPr>
        <w:t xml:space="preserve"> corrispondono rispettivamente a </w:t>
      </w:r>
      <w:r w:rsidRPr="00136B35">
        <w:rPr>
          <w:szCs w:val="22"/>
        </w:rPr>
        <w:t>0,5 × 10</w:t>
      </w:r>
      <w:r w:rsidRPr="00136B35">
        <w:rPr>
          <w:rStyle w:val="Superscript"/>
          <w:szCs w:val="22"/>
        </w:rPr>
        <w:t>9</w:t>
      </w:r>
      <w:r w:rsidRPr="00136B35">
        <w:rPr>
          <w:szCs w:val="22"/>
        </w:rPr>
        <w:t>/L, 0,8 × 10</w:t>
      </w:r>
      <w:r w:rsidRPr="00136B35">
        <w:rPr>
          <w:rStyle w:val="Superscript"/>
          <w:szCs w:val="22"/>
        </w:rPr>
        <w:t>9</w:t>
      </w:r>
      <w:r w:rsidRPr="00136B35">
        <w:rPr>
          <w:szCs w:val="22"/>
        </w:rPr>
        <w:t>/L e 0,9 × 10</w:t>
      </w:r>
      <w:r w:rsidRPr="00136B35">
        <w:rPr>
          <w:rStyle w:val="Superscript"/>
          <w:szCs w:val="22"/>
        </w:rPr>
        <w:t>9</w:t>
      </w:r>
      <w:r w:rsidRPr="00136B35">
        <w:rPr>
          <w:szCs w:val="22"/>
        </w:rPr>
        <w:t>/L.</w:t>
      </w:r>
    </w:p>
    <w:p w14:paraId="4F20D0D4" w14:textId="77777777" w:rsidR="005477D4" w:rsidRPr="00136B35" w:rsidRDefault="005477D4" w:rsidP="005010FD">
      <w:pPr>
        <w:widowControl w:val="0"/>
        <w:jc w:val="both"/>
        <w:rPr>
          <w:szCs w:val="22"/>
        </w:rPr>
      </w:pPr>
    </w:p>
    <w:p w14:paraId="38F82EC8" w14:textId="77777777" w:rsidR="005477D4" w:rsidRPr="00136B35" w:rsidRDefault="005477D4" w:rsidP="005010FD">
      <w:pPr>
        <w:jc w:val="both"/>
        <w:rPr>
          <w:b/>
          <w:bCs/>
          <w:szCs w:val="22"/>
        </w:rPr>
      </w:pPr>
      <w:r w:rsidRPr="00136B35">
        <w:rPr>
          <w:b/>
          <w:bCs/>
          <w:szCs w:val="22"/>
        </w:rPr>
        <w:t>Tabella 1:</w:t>
      </w:r>
      <w:r w:rsidRPr="00136B35">
        <w:rPr>
          <w:szCs w:val="22"/>
        </w:rPr>
        <w:t xml:space="preserve"> </w:t>
      </w:r>
      <w:r w:rsidRPr="00136B35">
        <w:rPr>
          <w:b/>
          <w:bCs/>
          <w:szCs w:val="22"/>
        </w:rPr>
        <w:t>Metodo di Kaplan-Meier; proporzione di pazienti con raggiungimento stimato dell’LLN, linfopenia lieve al basale di recupero (RBL), esclusi i pazienti con linfopenia severa prolungata</w:t>
      </w:r>
    </w:p>
    <w:p w14:paraId="2427795D" w14:textId="77777777" w:rsidR="005477D4" w:rsidRPr="00136B35" w:rsidRDefault="005477D4" w:rsidP="005010FD">
      <w:pPr>
        <w:jc w:val="both"/>
        <w:rPr>
          <w:szCs w:val="22"/>
        </w:rPr>
      </w:pPr>
    </w:p>
    <w:tbl>
      <w:tblPr>
        <w:tblStyle w:val="TableGrid"/>
        <w:tblW w:w="5000" w:type="pct"/>
        <w:tblLook w:val="04A0" w:firstRow="1" w:lastRow="0" w:firstColumn="1" w:lastColumn="0" w:noHBand="0" w:noVBand="1"/>
      </w:tblPr>
      <w:tblGrid>
        <w:gridCol w:w="3508"/>
        <w:gridCol w:w="1855"/>
        <w:gridCol w:w="1855"/>
        <w:gridCol w:w="1855"/>
      </w:tblGrid>
      <w:tr w:rsidR="005477D4" w:rsidRPr="00136B35" w14:paraId="21EC7123" w14:textId="77777777" w:rsidTr="009F1691">
        <w:tc>
          <w:tcPr>
            <w:tcW w:w="1933" w:type="pct"/>
          </w:tcPr>
          <w:p w14:paraId="19679BEF" w14:textId="77777777" w:rsidR="005477D4" w:rsidRPr="00136B35" w:rsidRDefault="005477D4" w:rsidP="005010FD">
            <w:pPr>
              <w:jc w:val="both"/>
              <w:rPr>
                <w:b/>
                <w:szCs w:val="22"/>
                <w:lang w:val="it-IT"/>
              </w:rPr>
            </w:pPr>
            <w:r w:rsidRPr="00136B35">
              <w:rPr>
                <w:b/>
                <w:bCs/>
                <w:szCs w:val="22"/>
                <w:lang w:val="it-IT"/>
              </w:rPr>
              <w:t>Numero di pazienti con linfopenia lieve</w:t>
            </w:r>
            <w:r w:rsidRPr="00136B35">
              <w:rPr>
                <w:b/>
                <w:bCs/>
                <w:szCs w:val="22"/>
                <w:vertAlign w:val="superscript"/>
                <w:lang w:val="it-IT"/>
              </w:rPr>
              <w:t xml:space="preserve">a </w:t>
            </w:r>
            <w:r w:rsidRPr="00136B35">
              <w:rPr>
                <w:b/>
                <w:bCs/>
                <w:szCs w:val="22"/>
                <w:lang w:val="it-IT"/>
              </w:rPr>
              <w:t>a rischio</w:t>
            </w:r>
          </w:p>
        </w:tc>
        <w:tc>
          <w:tcPr>
            <w:tcW w:w="1022" w:type="pct"/>
          </w:tcPr>
          <w:p w14:paraId="36D5EDAD" w14:textId="77777777" w:rsidR="005477D4" w:rsidRPr="00136B35" w:rsidRDefault="005477D4" w:rsidP="005010FD">
            <w:pPr>
              <w:jc w:val="both"/>
              <w:rPr>
                <w:b/>
                <w:szCs w:val="22"/>
                <w:lang w:val="it-IT"/>
              </w:rPr>
            </w:pPr>
            <w:r w:rsidRPr="00136B35">
              <w:rPr>
                <w:b/>
                <w:bCs/>
                <w:szCs w:val="22"/>
                <w:lang w:val="it-IT"/>
              </w:rPr>
              <w:t>Basale</w:t>
            </w:r>
          </w:p>
          <w:p w14:paraId="480BD51F" w14:textId="77777777" w:rsidR="005477D4" w:rsidRPr="00136B35" w:rsidRDefault="005477D4" w:rsidP="005010FD">
            <w:pPr>
              <w:jc w:val="both"/>
              <w:rPr>
                <w:b/>
                <w:szCs w:val="22"/>
                <w:lang w:val="it-IT"/>
              </w:rPr>
            </w:pPr>
            <w:r w:rsidRPr="00136B35">
              <w:rPr>
                <w:b/>
                <w:bCs/>
                <w:szCs w:val="22"/>
                <w:lang w:val="it-IT"/>
              </w:rPr>
              <w:t>n = 86</w:t>
            </w:r>
          </w:p>
        </w:tc>
        <w:tc>
          <w:tcPr>
            <w:tcW w:w="1022" w:type="pct"/>
          </w:tcPr>
          <w:p w14:paraId="08FBE6D9" w14:textId="77777777" w:rsidR="005477D4" w:rsidRPr="00136B35" w:rsidRDefault="005477D4" w:rsidP="005010FD">
            <w:pPr>
              <w:jc w:val="both"/>
              <w:rPr>
                <w:b/>
                <w:szCs w:val="22"/>
                <w:lang w:val="it-IT"/>
              </w:rPr>
            </w:pPr>
            <w:r w:rsidRPr="00136B35">
              <w:rPr>
                <w:b/>
                <w:bCs/>
                <w:szCs w:val="22"/>
                <w:lang w:val="it-IT"/>
              </w:rPr>
              <w:t>Settimana 12</w:t>
            </w:r>
          </w:p>
          <w:p w14:paraId="42D3CB7A" w14:textId="77777777" w:rsidR="005477D4" w:rsidRPr="00136B35" w:rsidRDefault="005477D4" w:rsidP="005010FD">
            <w:pPr>
              <w:jc w:val="both"/>
              <w:rPr>
                <w:b/>
                <w:szCs w:val="22"/>
                <w:lang w:val="it-IT"/>
              </w:rPr>
            </w:pPr>
            <w:r w:rsidRPr="00136B35">
              <w:rPr>
                <w:b/>
                <w:bCs/>
                <w:szCs w:val="22"/>
                <w:lang w:val="it-IT"/>
              </w:rPr>
              <w:t>n = 12</w:t>
            </w:r>
          </w:p>
        </w:tc>
        <w:tc>
          <w:tcPr>
            <w:tcW w:w="1022" w:type="pct"/>
          </w:tcPr>
          <w:p w14:paraId="5231ED72" w14:textId="77777777" w:rsidR="005477D4" w:rsidRPr="00136B35" w:rsidRDefault="005477D4" w:rsidP="005010FD">
            <w:pPr>
              <w:jc w:val="both"/>
              <w:rPr>
                <w:b/>
                <w:szCs w:val="22"/>
                <w:lang w:val="it-IT"/>
              </w:rPr>
            </w:pPr>
            <w:r w:rsidRPr="00136B35">
              <w:rPr>
                <w:b/>
                <w:bCs/>
                <w:szCs w:val="22"/>
                <w:lang w:val="it-IT"/>
              </w:rPr>
              <w:t>Settimana 24</w:t>
            </w:r>
          </w:p>
          <w:p w14:paraId="606F1E5B" w14:textId="77777777" w:rsidR="005477D4" w:rsidRPr="00136B35" w:rsidRDefault="005477D4" w:rsidP="005010FD">
            <w:pPr>
              <w:jc w:val="both"/>
              <w:rPr>
                <w:b/>
                <w:szCs w:val="22"/>
                <w:lang w:val="it-IT"/>
              </w:rPr>
            </w:pPr>
            <w:r w:rsidRPr="00136B35">
              <w:rPr>
                <w:b/>
                <w:bCs/>
                <w:szCs w:val="22"/>
                <w:lang w:val="it-IT"/>
              </w:rPr>
              <w:t>n = 4</w:t>
            </w:r>
          </w:p>
        </w:tc>
      </w:tr>
      <w:tr w:rsidR="005477D4" w:rsidRPr="00136B35" w14:paraId="0B5BE4DE" w14:textId="77777777" w:rsidTr="009F1691">
        <w:tc>
          <w:tcPr>
            <w:tcW w:w="1933" w:type="pct"/>
          </w:tcPr>
          <w:p w14:paraId="06BD0AA9" w14:textId="77777777" w:rsidR="005477D4" w:rsidRPr="00136B35" w:rsidRDefault="005477D4" w:rsidP="005010FD">
            <w:pPr>
              <w:jc w:val="both"/>
              <w:rPr>
                <w:szCs w:val="22"/>
                <w:lang w:val="it-IT"/>
              </w:rPr>
            </w:pPr>
            <w:r w:rsidRPr="00136B35">
              <w:rPr>
                <w:szCs w:val="22"/>
                <w:lang w:val="it-IT"/>
              </w:rPr>
              <w:t>Proporzione che raggiunge</w:t>
            </w:r>
          </w:p>
          <w:p w14:paraId="1D4E98B0" w14:textId="77777777" w:rsidR="005477D4" w:rsidRPr="00136B35" w:rsidRDefault="005477D4" w:rsidP="005010FD">
            <w:pPr>
              <w:jc w:val="both"/>
              <w:rPr>
                <w:szCs w:val="22"/>
                <w:lang w:val="it-IT"/>
              </w:rPr>
            </w:pPr>
            <w:r w:rsidRPr="00136B35">
              <w:rPr>
                <w:szCs w:val="22"/>
                <w:lang w:val="it-IT"/>
              </w:rPr>
              <w:t>l’LLN (IC 95%)</w:t>
            </w:r>
          </w:p>
        </w:tc>
        <w:tc>
          <w:tcPr>
            <w:tcW w:w="1022" w:type="pct"/>
          </w:tcPr>
          <w:p w14:paraId="6B44609E" w14:textId="77777777" w:rsidR="005477D4" w:rsidRPr="00136B35" w:rsidRDefault="005477D4" w:rsidP="005010FD">
            <w:pPr>
              <w:jc w:val="both"/>
              <w:rPr>
                <w:szCs w:val="22"/>
                <w:lang w:val="it-IT"/>
              </w:rPr>
            </w:pPr>
          </w:p>
        </w:tc>
        <w:tc>
          <w:tcPr>
            <w:tcW w:w="1022" w:type="pct"/>
          </w:tcPr>
          <w:p w14:paraId="393B6E95" w14:textId="77777777" w:rsidR="005477D4" w:rsidRPr="00136B35" w:rsidRDefault="005477D4" w:rsidP="005010FD">
            <w:pPr>
              <w:jc w:val="both"/>
              <w:rPr>
                <w:szCs w:val="22"/>
                <w:lang w:val="it-IT"/>
              </w:rPr>
            </w:pPr>
            <w:r w:rsidRPr="00136B35">
              <w:rPr>
                <w:szCs w:val="22"/>
                <w:lang w:val="it-IT"/>
              </w:rPr>
              <w:t>0,81</w:t>
            </w:r>
          </w:p>
          <w:p w14:paraId="380E143C" w14:textId="77777777" w:rsidR="005477D4" w:rsidRPr="00136B35" w:rsidRDefault="005477D4" w:rsidP="005010FD">
            <w:pPr>
              <w:jc w:val="both"/>
              <w:rPr>
                <w:szCs w:val="22"/>
                <w:lang w:val="it-IT"/>
              </w:rPr>
            </w:pPr>
            <w:r w:rsidRPr="00136B35">
              <w:rPr>
                <w:szCs w:val="22"/>
                <w:lang w:val="it-IT"/>
              </w:rPr>
              <w:t>(0,71; 0,89)</w:t>
            </w:r>
          </w:p>
        </w:tc>
        <w:tc>
          <w:tcPr>
            <w:tcW w:w="1022" w:type="pct"/>
          </w:tcPr>
          <w:p w14:paraId="0F2B0DED" w14:textId="77777777" w:rsidR="005477D4" w:rsidRPr="00136B35" w:rsidRDefault="005477D4" w:rsidP="005010FD">
            <w:pPr>
              <w:jc w:val="both"/>
              <w:rPr>
                <w:szCs w:val="22"/>
                <w:lang w:val="it-IT"/>
              </w:rPr>
            </w:pPr>
            <w:r w:rsidRPr="00136B35">
              <w:rPr>
                <w:szCs w:val="22"/>
                <w:lang w:val="it-IT"/>
              </w:rPr>
              <w:t>0,90</w:t>
            </w:r>
          </w:p>
          <w:p w14:paraId="01C2058F" w14:textId="77777777" w:rsidR="005477D4" w:rsidRPr="00136B35" w:rsidRDefault="005477D4" w:rsidP="005010FD">
            <w:pPr>
              <w:jc w:val="both"/>
              <w:rPr>
                <w:szCs w:val="22"/>
                <w:lang w:val="it-IT"/>
              </w:rPr>
            </w:pPr>
            <w:r w:rsidRPr="00136B35">
              <w:rPr>
                <w:szCs w:val="22"/>
                <w:lang w:val="it-IT"/>
              </w:rPr>
              <w:t>(0,81; 0,96)</w:t>
            </w:r>
          </w:p>
        </w:tc>
      </w:tr>
    </w:tbl>
    <w:p w14:paraId="5F67C8AE" w14:textId="77777777" w:rsidR="005477D4" w:rsidRPr="005010FD" w:rsidRDefault="005477D4" w:rsidP="005010FD">
      <w:pPr>
        <w:jc w:val="both"/>
        <w:rPr>
          <w:szCs w:val="22"/>
        </w:rPr>
      </w:pPr>
      <w:r w:rsidRPr="005010FD">
        <w:rPr>
          <w:szCs w:val="22"/>
          <w:vertAlign w:val="superscript"/>
          <w:lang w:val="it"/>
        </w:rPr>
        <w:t>a</w:t>
      </w:r>
      <w:r w:rsidRPr="005010FD">
        <w:rPr>
          <w:szCs w:val="22"/>
          <w:lang w:val="it"/>
        </w:rPr>
        <w:t xml:space="preserve"> Pazienti con ALC &lt; </w:t>
      </w:r>
      <w:r w:rsidRPr="005010FD">
        <w:rPr>
          <w:szCs w:val="22"/>
        </w:rPr>
        <w:t>0,9 × 10</w:t>
      </w:r>
      <w:r w:rsidRPr="005010FD">
        <w:rPr>
          <w:rStyle w:val="Superscript"/>
          <w:szCs w:val="22"/>
        </w:rPr>
        <w:t>9</w:t>
      </w:r>
      <w:r w:rsidRPr="005010FD">
        <w:rPr>
          <w:szCs w:val="22"/>
        </w:rPr>
        <w:t>/L</w:t>
      </w:r>
      <w:r w:rsidRPr="005010FD">
        <w:rPr>
          <w:szCs w:val="22"/>
          <w:lang w:val="it"/>
        </w:rPr>
        <w:t xml:space="preserve"> e ≥ </w:t>
      </w:r>
      <w:r w:rsidRPr="005010FD">
        <w:rPr>
          <w:szCs w:val="22"/>
        </w:rPr>
        <w:t>0,8 × 10</w:t>
      </w:r>
      <w:r w:rsidRPr="005010FD">
        <w:rPr>
          <w:rStyle w:val="Superscript"/>
          <w:szCs w:val="22"/>
        </w:rPr>
        <w:t>9</w:t>
      </w:r>
      <w:r w:rsidRPr="005010FD">
        <w:rPr>
          <w:szCs w:val="22"/>
        </w:rPr>
        <w:t>/L</w:t>
      </w:r>
      <w:r w:rsidRPr="005010FD" w:rsidDel="00855367">
        <w:rPr>
          <w:szCs w:val="22"/>
          <w:lang w:val="it"/>
        </w:rPr>
        <w:t xml:space="preserve"> </w:t>
      </w:r>
      <w:r w:rsidRPr="005010FD">
        <w:rPr>
          <w:szCs w:val="22"/>
          <w:lang w:val="it"/>
        </w:rPr>
        <w:t>all’RBL, esclusi i pazienti con linfopenia severa prolungata.</w:t>
      </w:r>
    </w:p>
    <w:p w14:paraId="2B8A963E" w14:textId="77777777" w:rsidR="005477D4" w:rsidRPr="00136B35" w:rsidRDefault="005477D4" w:rsidP="005010FD">
      <w:pPr>
        <w:jc w:val="both"/>
        <w:rPr>
          <w:szCs w:val="22"/>
        </w:rPr>
      </w:pPr>
    </w:p>
    <w:p w14:paraId="7EB2874F" w14:textId="77777777" w:rsidR="005477D4" w:rsidRPr="00136B35" w:rsidRDefault="005477D4" w:rsidP="005010FD">
      <w:pPr>
        <w:jc w:val="both"/>
        <w:rPr>
          <w:b/>
          <w:bCs/>
          <w:szCs w:val="22"/>
        </w:rPr>
      </w:pPr>
      <w:r w:rsidRPr="00136B35">
        <w:rPr>
          <w:b/>
          <w:bCs/>
          <w:szCs w:val="22"/>
        </w:rPr>
        <w:t>Tabella 2:</w:t>
      </w:r>
      <w:r w:rsidRPr="00136B35">
        <w:rPr>
          <w:szCs w:val="22"/>
        </w:rPr>
        <w:t xml:space="preserve"> </w:t>
      </w:r>
      <w:r w:rsidRPr="00136B35">
        <w:rPr>
          <w:b/>
          <w:bCs/>
          <w:szCs w:val="22"/>
        </w:rPr>
        <w:t>Metodo di Kaplan-Meier; proporzione di pazienti con raggiungimento stimato dell’LLN, linfopenia moderata al basale di recupero (RBL), esclusi i pazienti con linfopenia severa prolungata</w:t>
      </w:r>
    </w:p>
    <w:p w14:paraId="21FDEA25" w14:textId="77777777" w:rsidR="005477D4" w:rsidRPr="00136B35" w:rsidRDefault="005477D4" w:rsidP="005010FD">
      <w:pPr>
        <w:jc w:val="both"/>
        <w:rPr>
          <w:szCs w:val="22"/>
        </w:rPr>
      </w:pPr>
    </w:p>
    <w:tbl>
      <w:tblPr>
        <w:tblStyle w:val="TableGrid"/>
        <w:tblW w:w="5000" w:type="pct"/>
        <w:tblLook w:val="04A0" w:firstRow="1" w:lastRow="0" w:firstColumn="1" w:lastColumn="0" w:noHBand="0" w:noVBand="1"/>
      </w:tblPr>
      <w:tblGrid>
        <w:gridCol w:w="3508"/>
        <w:gridCol w:w="1855"/>
        <w:gridCol w:w="1855"/>
        <w:gridCol w:w="1855"/>
      </w:tblGrid>
      <w:tr w:rsidR="005477D4" w:rsidRPr="00136B35" w14:paraId="4A9A2963" w14:textId="77777777" w:rsidTr="009F1691">
        <w:tc>
          <w:tcPr>
            <w:tcW w:w="1933" w:type="pct"/>
          </w:tcPr>
          <w:p w14:paraId="250C5E71" w14:textId="77777777" w:rsidR="005477D4" w:rsidRPr="00136B35" w:rsidRDefault="005477D4" w:rsidP="005010FD">
            <w:pPr>
              <w:jc w:val="both"/>
              <w:rPr>
                <w:b/>
                <w:szCs w:val="22"/>
                <w:lang w:val="it-IT"/>
              </w:rPr>
            </w:pPr>
            <w:r w:rsidRPr="00136B35">
              <w:rPr>
                <w:b/>
                <w:bCs/>
                <w:szCs w:val="22"/>
                <w:lang w:val="it-IT"/>
              </w:rPr>
              <w:t>Numero di pazienti con linfopenia moderata</w:t>
            </w:r>
            <w:r w:rsidRPr="00136B35">
              <w:rPr>
                <w:b/>
                <w:bCs/>
                <w:szCs w:val="22"/>
                <w:vertAlign w:val="superscript"/>
                <w:lang w:val="it-IT"/>
              </w:rPr>
              <w:t xml:space="preserve">a </w:t>
            </w:r>
            <w:r w:rsidRPr="00136B35">
              <w:rPr>
                <w:b/>
                <w:bCs/>
                <w:szCs w:val="22"/>
                <w:lang w:val="it-IT"/>
              </w:rPr>
              <w:t>a rischio</w:t>
            </w:r>
          </w:p>
        </w:tc>
        <w:tc>
          <w:tcPr>
            <w:tcW w:w="1022" w:type="pct"/>
          </w:tcPr>
          <w:p w14:paraId="668FD616" w14:textId="77777777" w:rsidR="005477D4" w:rsidRPr="00136B35" w:rsidRDefault="005477D4" w:rsidP="005010FD">
            <w:pPr>
              <w:jc w:val="both"/>
              <w:rPr>
                <w:b/>
                <w:szCs w:val="22"/>
                <w:lang w:val="it-IT"/>
              </w:rPr>
            </w:pPr>
            <w:r w:rsidRPr="00136B35">
              <w:rPr>
                <w:b/>
                <w:bCs/>
                <w:szCs w:val="22"/>
                <w:lang w:val="it-IT"/>
              </w:rPr>
              <w:t>Basale</w:t>
            </w:r>
          </w:p>
          <w:p w14:paraId="3714FD4F" w14:textId="77777777" w:rsidR="005477D4" w:rsidRPr="00136B35" w:rsidRDefault="005477D4" w:rsidP="005010FD">
            <w:pPr>
              <w:jc w:val="both"/>
              <w:rPr>
                <w:b/>
                <w:szCs w:val="22"/>
                <w:lang w:val="it-IT"/>
              </w:rPr>
            </w:pPr>
            <w:r w:rsidRPr="00136B35">
              <w:rPr>
                <w:b/>
                <w:bCs/>
                <w:szCs w:val="22"/>
                <w:lang w:val="it-IT"/>
              </w:rPr>
              <w:t>n = 124</w:t>
            </w:r>
          </w:p>
        </w:tc>
        <w:tc>
          <w:tcPr>
            <w:tcW w:w="1022" w:type="pct"/>
          </w:tcPr>
          <w:p w14:paraId="3B468815" w14:textId="77777777" w:rsidR="005477D4" w:rsidRPr="00136B35" w:rsidRDefault="005477D4" w:rsidP="005010FD">
            <w:pPr>
              <w:jc w:val="both"/>
              <w:rPr>
                <w:b/>
                <w:szCs w:val="22"/>
                <w:lang w:val="it-IT"/>
              </w:rPr>
            </w:pPr>
            <w:r w:rsidRPr="00136B35">
              <w:rPr>
                <w:b/>
                <w:bCs/>
                <w:szCs w:val="22"/>
                <w:lang w:val="it-IT"/>
              </w:rPr>
              <w:t>Settimana 12</w:t>
            </w:r>
          </w:p>
          <w:p w14:paraId="1BDF52F1" w14:textId="77777777" w:rsidR="005477D4" w:rsidRPr="00136B35" w:rsidRDefault="005477D4" w:rsidP="005010FD">
            <w:pPr>
              <w:jc w:val="both"/>
              <w:rPr>
                <w:b/>
                <w:szCs w:val="22"/>
                <w:lang w:val="it-IT"/>
              </w:rPr>
            </w:pPr>
            <w:r w:rsidRPr="00136B35">
              <w:rPr>
                <w:b/>
                <w:bCs/>
                <w:szCs w:val="22"/>
                <w:lang w:val="it-IT"/>
              </w:rPr>
              <w:t>n = 33</w:t>
            </w:r>
          </w:p>
        </w:tc>
        <w:tc>
          <w:tcPr>
            <w:tcW w:w="1022" w:type="pct"/>
          </w:tcPr>
          <w:p w14:paraId="617D9BB3" w14:textId="77777777" w:rsidR="005477D4" w:rsidRPr="00136B35" w:rsidRDefault="005477D4" w:rsidP="005010FD">
            <w:pPr>
              <w:jc w:val="both"/>
              <w:rPr>
                <w:b/>
                <w:szCs w:val="22"/>
                <w:lang w:val="it-IT"/>
              </w:rPr>
            </w:pPr>
            <w:r w:rsidRPr="00136B35">
              <w:rPr>
                <w:b/>
                <w:bCs/>
                <w:szCs w:val="22"/>
                <w:lang w:val="it-IT"/>
              </w:rPr>
              <w:t>Settimana 24</w:t>
            </w:r>
          </w:p>
          <w:p w14:paraId="2ACB0C0D" w14:textId="77777777" w:rsidR="005477D4" w:rsidRPr="00136B35" w:rsidRDefault="005477D4" w:rsidP="005010FD">
            <w:pPr>
              <w:jc w:val="both"/>
              <w:rPr>
                <w:b/>
                <w:szCs w:val="22"/>
                <w:lang w:val="it-IT"/>
              </w:rPr>
            </w:pPr>
            <w:r w:rsidRPr="00136B35">
              <w:rPr>
                <w:b/>
                <w:bCs/>
                <w:szCs w:val="22"/>
                <w:lang w:val="it-IT"/>
              </w:rPr>
              <w:t>n = 17</w:t>
            </w:r>
          </w:p>
        </w:tc>
      </w:tr>
      <w:tr w:rsidR="005477D4" w:rsidRPr="00136B35" w14:paraId="0145A6C4" w14:textId="77777777" w:rsidTr="009F1691">
        <w:tc>
          <w:tcPr>
            <w:tcW w:w="1933" w:type="pct"/>
          </w:tcPr>
          <w:p w14:paraId="17328C91" w14:textId="77777777" w:rsidR="005477D4" w:rsidRPr="00136B35" w:rsidRDefault="005477D4" w:rsidP="005010FD">
            <w:pPr>
              <w:jc w:val="both"/>
              <w:rPr>
                <w:szCs w:val="22"/>
                <w:lang w:val="it-IT"/>
              </w:rPr>
            </w:pPr>
            <w:r w:rsidRPr="00136B35">
              <w:rPr>
                <w:szCs w:val="22"/>
                <w:lang w:val="it-IT"/>
              </w:rPr>
              <w:t>Proporzione che raggiunge</w:t>
            </w:r>
          </w:p>
          <w:p w14:paraId="094742BD" w14:textId="77777777" w:rsidR="005477D4" w:rsidRPr="00136B35" w:rsidRDefault="005477D4" w:rsidP="005010FD">
            <w:pPr>
              <w:jc w:val="both"/>
              <w:rPr>
                <w:szCs w:val="22"/>
                <w:lang w:val="it-IT"/>
              </w:rPr>
            </w:pPr>
            <w:r w:rsidRPr="00136B35">
              <w:rPr>
                <w:szCs w:val="22"/>
                <w:lang w:val="it-IT"/>
              </w:rPr>
              <w:t>l’LLN (IC 95%)</w:t>
            </w:r>
          </w:p>
        </w:tc>
        <w:tc>
          <w:tcPr>
            <w:tcW w:w="1022" w:type="pct"/>
          </w:tcPr>
          <w:p w14:paraId="0DD7F8A5" w14:textId="77777777" w:rsidR="005477D4" w:rsidRPr="00136B35" w:rsidRDefault="005477D4" w:rsidP="005010FD">
            <w:pPr>
              <w:jc w:val="both"/>
              <w:rPr>
                <w:szCs w:val="22"/>
                <w:lang w:val="it-IT"/>
              </w:rPr>
            </w:pPr>
          </w:p>
        </w:tc>
        <w:tc>
          <w:tcPr>
            <w:tcW w:w="1022" w:type="pct"/>
          </w:tcPr>
          <w:p w14:paraId="316A9D52" w14:textId="77777777" w:rsidR="005477D4" w:rsidRPr="00136B35" w:rsidRDefault="005477D4" w:rsidP="005010FD">
            <w:pPr>
              <w:jc w:val="both"/>
              <w:rPr>
                <w:szCs w:val="22"/>
                <w:lang w:val="it-IT"/>
              </w:rPr>
            </w:pPr>
            <w:r w:rsidRPr="00136B35">
              <w:rPr>
                <w:szCs w:val="22"/>
                <w:lang w:val="it-IT"/>
              </w:rPr>
              <w:t>0,57</w:t>
            </w:r>
          </w:p>
          <w:p w14:paraId="62222249" w14:textId="77777777" w:rsidR="005477D4" w:rsidRPr="00136B35" w:rsidRDefault="005477D4" w:rsidP="005010FD">
            <w:pPr>
              <w:jc w:val="both"/>
              <w:rPr>
                <w:szCs w:val="22"/>
                <w:lang w:val="it-IT"/>
              </w:rPr>
            </w:pPr>
            <w:r w:rsidRPr="00136B35">
              <w:rPr>
                <w:szCs w:val="22"/>
                <w:lang w:val="it-IT"/>
              </w:rPr>
              <w:t>(0,46; 0,67)</w:t>
            </w:r>
          </w:p>
        </w:tc>
        <w:tc>
          <w:tcPr>
            <w:tcW w:w="1022" w:type="pct"/>
          </w:tcPr>
          <w:p w14:paraId="528A4002" w14:textId="77777777" w:rsidR="005477D4" w:rsidRPr="00136B35" w:rsidRDefault="005477D4" w:rsidP="005010FD">
            <w:pPr>
              <w:jc w:val="both"/>
              <w:rPr>
                <w:szCs w:val="22"/>
                <w:lang w:val="it-IT"/>
              </w:rPr>
            </w:pPr>
            <w:r w:rsidRPr="00136B35">
              <w:rPr>
                <w:szCs w:val="22"/>
                <w:lang w:val="it-IT"/>
              </w:rPr>
              <w:t>0,70</w:t>
            </w:r>
          </w:p>
          <w:p w14:paraId="1CC65F60" w14:textId="77777777" w:rsidR="005477D4" w:rsidRPr="00136B35" w:rsidRDefault="005477D4" w:rsidP="005010FD">
            <w:pPr>
              <w:jc w:val="both"/>
              <w:rPr>
                <w:szCs w:val="22"/>
                <w:lang w:val="it-IT"/>
              </w:rPr>
            </w:pPr>
            <w:r w:rsidRPr="00136B35">
              <w:rPr>
                <w:szCs w:val="22"/>
                <w:lang w:val="it-IT"/>
              </w:rPr>
              <w:t>(0,60; 0,80)</w:t>
            </w:r>
          </w:p>
        </w:tc>
      </w:tr>
    </w:tbl>
    <w:p w14:paraId="681B6C37" w14:textId="77777777" w:rsidR="005477D4" w:rsidRPr="00136B35" w:rsidRDefault="005477D4" w:rsidP="005010FD">
      <w:pPr>
        <w:jc w:val="both"/>
        <w:rPr>
          <w:szCs w:val="22"/>
        </w:rPr>
      </w:pPr>
      <w:r w:rsidRPr="005010FD">
        <w:rPr>
          <w:szCs w:val="22"/>
          <w:vertAlign w:val="superscript"/>
          <w:lang w:val="it"/>
        </w:rPr>
        <w:t>a</w:t>
      </w:r>
      <w:r w:rsidRPr="005010FD">
        <w:rPr>
          <w:szCs w:val="22"/>
          <w:lang w:val="it"/>
        </w:rPr>
        <w:t xml:space="preserve"> Pazienti con ALC &lt; </w:t>
      </w:r>
      <w:r w:rsidRPr="005010FD">
        <w:rPr>
          <w:szCs w:val="22"/>
        </w:rPr>
        <w:t>0,8 × 10</w:t>
      </w:r>
      <w:r w:rsidRPr="005010FD">
        <w:rPr>
          <w:rStyle w:val="Superscript"/>
          <w:szCs w:val="22"/>
        </w:rPr>
        <w:t>9</w:t>
      </w:r>
      <w:r w:rsidRPr="005010FD">
        <w:rPr>
          <w:szCs w:val="22"/>
        </w:rPr>
        <w:t>/L</w:t>
      </w:r>
      <w:r w:rsidRPr="005010FD">
        <w:rPr>
          <w:szCs w:val="22"/>
          <w:lang w:val="it"/>
        </w:rPr>
        <w:t xml:space="preserve"> e ≥ </w:t>
      </w:r>
      <w:r w:rsidRPr="005010FD">
        <w:rPr>
          <w:szCs w:val="22"/>
        </w:rPr>
        <w:t>0,5 × 10</w:t>
      </w:r>
      <w:r w:rsidRPr="005010FD">
        <w:rPr>
          <w:rStyle w:val="Superscript"/>
          <w:szCs w:val="22"/>
        </w:rPr>
        <w:t>9</w:t>
      </w:r>
      <w:r w:rsidRPr="005010FD">
        <w:rPr>
          <w:szCs w:val="22"/>
        </w:rPr>
        <w:t>/L</w:t>
      </w:r>
      <w:r w:rsidRPr="005010FD" w:rsidDel="00855367">
        <w:rPr>
          <w:szCs w:val="22"/>
          <w:lang w:val="it"/>
        </w:rPr>
        <w:t xml:space="preserve"> </w:t>
      </w:r>
      <w:r w:rsidRPr="005010FD">
        <w:rPr>
          <w:szCs w:val="22"/>
          <w:lang w:val="it"/>
        </w:rPr>
        <w:t>all’RBL, esclusi i pazienti con linfopenia severa prolungata.</w:t>
      </w:r>
    </w:p>
    <w:p w14:paraId="7F1370F7" w14:textId="77777777" w:rsidR="005477D4" w:rsidRPr="00136B35" w:rsidRDefault="005477D4" w:rsidP="005010FD">
      <w:pPr>
        <w:jc w:val="both"/>
        <w:rPr>
          <w:szCs w:val="22"/>
        </w:rPr>
      </w:pPr>
    </w:p>
    <w:p w14:paraId="27E1AA1E" w14:textId="77777777" w:rsidR="005477D4" w:rsidRPr="00136B35" w:rsidRDefault="005477D4" w:rsidP="005010FD">
      <w:pPr>
        <w:keepNext/>
        <w:jc w:val="both"/>
        <w:rPr>
          <w:b/>
          <w:bCs/>
          <w:szCs w:val="22"/>
        </w:rPr>
      </w:pPr>
      <w:r w:rsidRPr="00136B35">
        <w:rPr>
          <w:b/>
          <w:bCs/>
          <w:szCs w:val="22"/>
        </w:rPr>
        <w:t>Tabella 3:</w:t>
      </w:r>
      <w:r w:rsidRPr="00136B35">
        <w:rPr>
          <w:szCs w:val="22"/>
        </w:rPr>
        <w:t xml:space="preserve"> </w:t>
      </w:r>
      <w:r w:rsidRPr="00136B35">
        <w:rPr>
          <w:b/>
          <w:bCs/>
          <w:szCs w:val="22"/>
        </w:rPr>
        <w:t>Metodo di Kaplan-Meier; proporzione di pazienti con raggiungimento stimato dell’LLN, linfopenia severa al basale di recupero (RBL), esclusi i pazienti con linfopenia severa prolungata</w:t>
      </w:r>
    </w:p>
    <w:p w14:paraId="17481A71" w14:textId="77777777" w:rsidR="005477D4" w:rsidRPr="00136B35" w:rsidRDefault="005477D4" w:rsidP="005010FD">
      <w:pPr>
        <w:jc w:val="both"/>
        <w:rPr>
          <w:szCs w:val="22"/>
        </w:rPr>
      </w:pPr>
    </w:p>
    <w:tbl>
      <w:tblPr>
        <w:tblStyle w:val="TableGrid"/>
        <w:tblW w:w="5000" w:type="pct"/>
        <w:tblLook w:val="04A0" w:firstRow="1" w:lastRow="0" w:firstColumn="1" w:lastColumn="0" w:noHBand="0" w:noVBand="1"/>
      </w:tblPr>
      <w:tblGrid>
        <w:gridCol w:w="3508"/>
        <w:gridCol w:w="1855"/>
        <w:gridCol w:w="1855"/>
        <w:gridCol w:w="1855"/>
      </w:tblGrid>
      <w:tr w:rsidR="005477D4" w:rsidRPr="00136B35" w14:paraId="27C73031" w14:textId="77777777" w:rsidTr="009F1691">
        <w:tc>
          <w:tcPr>
            <w:tcW w:w="1933" w:type="pct"/>
          </w:tcPr>
          <w:p w14:paraId="442B16D9" w14:textId="77777777" w:rsidR="005477D4" w:rsidRPr="00136B35" w:rsidRDefault="005477D4" w:rsidP="005010FD">
            <w:pPr>
              <w:jc w:val="both"/>
              <w:rPr>
                <w:b/>
                <w:szCs w:val="22"/>
                <w:lang w:val="it-IT"/>
              </w:rPr>
            </w:pPr>
            <w:r w:rsidRPr="00136B35">
              <w:rPr>
                <w:b/>
                <w:bCs/>
                <w:szCs w:val="22"/>
                <w:lang w:val="it-IT"/>
              </w:rPr>
              <w:t>Numero di pazienti con linfopenia severa</w:t>
            </w:r>
            <w:r w:rsidRPr="00136B35">
              <w:rPr>
                <w:b/>
                <w:bCs/>
                <w:szCs w:val="22"/>
                <w:vertAlign w:val="superscript"/>
                <w:lang w:val="it-IT"/>
              </w:rPr>
              <w:t xml:space="preserve">a </w:t>
            </w:r>
            <w:r w:rsidRPr="00136B35">
              <w:rPr>
                <w:b/>
                <w:bCs/>
                <w:szCs w:val="22"/>
                <w:lang w:val="it-IT"/>
              </w:rPr>
              <w:t>a rischio</w:t>
            </w:r>
          </w:p>
        </w:tc>
        <w:tc>
          <w:tcPr>
            <w:tcW w:w="1022" w:type="pct"/>
          </w:tcPr>
          <w:p w14:paraId="44186CB5" w14:textId="77777777" w:rsidR="005477D4" w:rsidRPr="00136B35" w:rsidRDefault="005477D4" w:rsidP="005010FD">
            <w:pPr>
              <w:jc w:val="both"/>
              <w:rPr>
                <w:b/>
                <w:szCs w:val="22"/>
                <w:lang w:val="it-IT"/>
              </w:rPr>
            </w:pPr>
            <w:r w:rsidRPr="00136B35">
              <w:rPr>
                <w:b/>
                <w:bCs/>
                <w:szCs w:val="22"/>
                <w:lang w:val="it-IT"/>
              </w:rPr>
              <w:t>Basale</w:t>
            </w:r>
          </w:p>
          <w:p w14:paraId="780F287A" w14:textId="77777777" w:rsidR="005477D4" w:rsidRPr="00136B35" w:rsidRDefault="005477D4" w:rsidP="005010FD">
            <w:pPr>
              <w:jc w:val="both"/>
              <w:rPr>
                <w:b/>
                <w:szCs w:val="22"/>
                <w:lang w:val="it-IT"/>
              </w:rPr>
            </w:pPr>
            <w:r w:rsidRPr="00136B35">
              <w:rPr>
                <w:b/>
                <w:bCs/>
                <w:szCs w:val="22"/>
                <w:lang w:val="it-IT"/>
              </w:rPr>
              <w:t>n = 18</w:t>
            </w:r>
          </w:p>
        </w:tc>
        <w:tc>
          <w:tcPr>
            <w:tcW w:w="1022" w:type="pct"/>
          </w:tcPr>
          <w:p w14:paraId="7890D085" w14:textId="77777777" w:rsidR="005477D4" w:rsidRPr="00136B35" w:rsidRDefault="005477D4" w:rsidP="005010FD">
            <w:pPr>
              <w:jc w:val="both"/>
              <w:rPr>
                <w:b/>
                <w:szCs w:val="22"/>
                <w:lang w:val="it-IT"/>
              </w:rPr>
            </w:pPr>
            <w:r w:rsidRPr="00136B35">
              <w:rPr>
                <w:b/>
                <w:bCs/>
                <w:szCs w:val="22"/>
                <w:lang w:val="it-IT"/>
              </w:rPr>
              <w:t>Settimana 12</w:t>
            </w:r>
          </w:p>
          <w:p w14:paraId="669C766D" w14:textId="77777777" w:rsidR="005477D4" w:rsidRPr="00136B35" w:rsidRDefault="005477D4" w:rsidP="005010FD">
            <w:pPr>
              <w:jc w:val="both"/>
              <w:rPr>
                <w:b/>
                <w:szCs w:val="22"/>
                <w:lang w:val="it-IT"/>
              </w:rPr>
            </w:pPr>
            <w:r w:rsidRPr="00136B35">
              <w:rPr>
                <w:b/>
                <w:bCs/>
                <w:szCs w:val="22"/>
                <w:lang w:val="it-IT"/>
              </w:rPr>
              <w:t>n = 6</w:t>
            </w:r>
          </w:p>
        </w:tc>
        <w:tc>
          <w:tcPr>
            <w:tcW w:w="1022" w:type="pct"/>
          </w:tcPr>
          <w:p w14:paraId="1B781408" w14:textId="77777777" w:rsidR="005477D4" w:rsidRPr="00136B35" w:rsidRDefault="005477D4" w:rsidP="005010FD">
            <w:pPr>
              <w:jc w:val="both"/>
              <w:rPr>
                <w:b/>
                <w:szCs w:val="22"/>
                <w:lang w:val="it-IT"/>
              </w:rPr>
            </w:pPr>
            <w:r w:rsidRPr="00136B35">
              <w:rPr>
                <w:b/>
                <w:bCs/>
                <w:szCs w:val="22"/>
                <w:lang w:val="it-IT"/>
              </w:rPr>
              <w:t>Settimana 24</w:t>
            </w:r>
          </w:p>
          <w:p w14:paraId="68A547FA" w14:textId="77777777" w:rsidR="005477D4" w:rsidRPr="00136B35" w:rsidRDefault="005477D4" w:rsidP="005010FD">
            <w:pPr>
              <w:jc w:val="both"/>
              <w:rPr>
                <w:b/>
                <w:szCs w:val="22"/>
                <w:lang w:val="it-IT"/>
              </w:rPr>
            </w:pPr>
            <w:r w:rsidRPr="00136B35">
              <w:rPr>
                <w:b/>
                <w:bCs/>
                <w:szCs w:val="22"/>
                <w:lang w:val="it-IT"/>
              </w:rPr>
              <w:t>n = 4</w:t>
            </w:r>
          </w:p>
        </w:tc>
      </w:tr>
      <w:tr w:rsidR="005477D4" w:rsidRPr="00136B35" w14:paraId="19C8B651" w14:textId="77777777" w:rsidTr="009F1691">
        <w:tc>
          <w:tcPr>
            <w:tcW w:w="1933" w:type="pct"/>
          </w:tcPr>
          <w:p w14:paraId="1F9090A2" w14:textId="77777777" w:rsidR="005477D4" w:rsidRPr="00136B35" w:rsidRDefault="005477D4" w:rsidP="005010FD">
            <w:pPr>
              <w:jc w:val="both"/>
              <w:rPr>
                <w:szCs w:val="22"/>
                <w:lang w:val="it-IT"/>
              </w:rPr>
            </w:pPr>
            <w:r w:rsidRPr="00136B35">
              <w:rPr>
                <w:szCs w:val="22"/>
                <w:lang w:val="it-IT"/>
              </w:rPr>
              <w:t>Proporzione che raggiunge</w:t>
            </w:r>
          </w:p>
          <w:p w14:paraId="08095F9C" w14:textId="77777777" w:rsidR="005477D4" w:rsidRPr="00136B35" w:rsidRDefault="005477D4" w:rsidP="005010FD">
            <w:pPr>
              <w:jc w:val="both"/>
              <w:rPr>
                <w:szCs w:val="22"/>
                <w:lang w:val="it-IT"/>
              </w:rPr>
            </w:pPr>
            <w:r w:rsidRPr="00136B35">
              <w:rPr>
                <w:szCs w:val="22"/>
                <w:lang w:val="it-IT"/>
              </w:rPr>
              <w:t>l’LLN (IC 95%)</w:t>
            </w:r>
          </w:p>
        </w:tc>
        <w:tc>
          <w:tcPr>
            <w:tcW w:w="1022" w:type="pct"/>
          </w:tcPr>
          <w:p w14:paraId="6AA5A575" w14:textId="77777777" w:rsidR="005477D4" w:rsidRPr="00136B35" w:rsidRDefault="005477D4" w:rsidP="005010FD">
            <w:pPr>
              <w:jc w:val="both"/>
              <w:rPr>
                <w:szCs w:val="22"/>
                <w:lang w:val="it-IT"/>
              </w:rPr>
            </w:pPr>
          </w:p>
        </w:tc>
        <w:tc>
          <w:tcPr>
            <w:tcW w:w="1022" w:type="pct"/>
          </w:tcPr>
          <w:p w14:paraId="6FC965C6" w14:textId="77777777" w:rsidR="005477D4" w:rsidRPr="00136B35" w:rsidRDefault="005477D4" w:rsidP="005010FD">
            <w:pPr>
              <w:jc w:val="both"/>
              <w:rPr>
                <w:szCs w:val="22"/>
                <w:lang w:val="it-IT"/>
              </w:rPr>
            </w:pPr>
            <w:r w:rsidRPr="00136B35">
              <w:rPr>
                <w:szCs w:val="22"/>
                <w:lang w:val="it-IT"/>
              </w:rPr>
              <w:t>0,43</w:t>
            </w:r>
          </w:p>
          <w:p w14:paraId="1C5248D4" w14:textId="77777777" w:rsidR="005477D4" w:rsidRPr="00136B35" w:rsidRDefault="005477D4" w:rsidP="005010FD">
            <w:pPr>
              <w:jc w:val="both"/>
              <w:rPr>
                <w:szCs w:val="22"/>
                <w:lang w:val="it-IT"/>
              </w:rPr>
            </w:pPr>
            <w:r w:rsidRPr="00136B35">
              <w:rPr>
                <w:szCs w:val="22"/>
                <w:lang w:val="it-IT"/>
              </w:rPr>
              <w:t>(0,20; 0,75)</w:t>
            </w:r>
          </w:p>
        </w:tc>
        <w:tc>
          <w:tcPr>
            <w:tcW w:w="1022" w:type="pct"/>
          </w:tcPr>
          <w:p w14:paraId="1BC0B613" w14:textId="77777777" w:rsidR="005477D4" w:rsidRPr="00136B35" w:rsidRDefault="005477D4" w:rsidP="005010FD">
            <w:pPr>
              <w:jc w:val="both"/>
              <w:rPr>
                <w:szCs w:val="22"/>
                <w:lang w:val="it-IT"/>
              </w:rPr>
            </w:pPr>
            <w:r w:rsidRPr="00136B35">
              <w:rPr>
                <w:szCs w:val="22"/>
                <w:lang w:val="it-IT"/>
              </w:rPr>
              <w:t>0,62</w:t>
            </w:r>
          </w:p>
          <w:p w14:paraId="4B15AE33" w14:textId="77777777" w:rsidR="005477D4" w:rsidRPr="00136B35" w:rsidRDefault="005477D4" w:rsidP="005010FD">
            <w:pPr>
              <w:jc w:val="both"/>
              <w:rPr>
                <w:szCs w:val="22"/>
                <w:lang w:val="it-IT"/>
              </w:rPr>
            </w:pPr>
            <w:r w:rsidRPr="00136B35">
              <w:rPr>
                <w:szCs w:val="22"/>
                <w:lang w:val="it-IT"/>
              </w:rPr>
              <w:t>(0,35; 0,88)</w:t>
            </w:r>
          </w:p>
        </w:tc>
      </w:tr>
    </w:tbl>
    <w:p w14:paraId="44070875" w14:textId="77777777" w:rsidR="005477D4" w:rsidRPr="005010FD" w:rsidRDefault="005477D4" w:rsidP="005010FD">
      <w:pPr>
        <w:jc w:val="both"/>
        <w:rPr>
          <w:szCs w:val="22"/>
        </w:rPr>
      </w:pPr>
      <w:r w:rsidRPr="005010FD">
        <w:rPr>
          <w:szCs w:val="22"/>
          <w:vertAlign w:val="superscript"/>
          <w:lang w:val="it"/>
        </w:rPr>
        <w:t>a</w:t>
      </w:r>
      <w:r w:rsidRPr="005010FD">
        <w:rPr>
          <w:szCs w:val="22"/>
          <w:lang w:val="it"/>
        </w:rPr>
        <w:t xml:space="preserve"> Pazienti con ALC &lt; </w:t>
      </w:r>
      <w:r w:rsidRPr="005010FD">
        <w:rPr>
          <w:szCs w:val="22"/>
        </w:rPr>
        <w:t>0,5 × 10</w:t>
      </w:r>
      <w:r w:rsidRPr="005010FD">
        <w:rPr>
          <w:rStyle w:val="Superscript"/>
          <w:szCs w:val="22"/>
        </w:rPr>
        <w:t>9</w:t>
      </w:r>
      <w:r w:rsidRPr="005010FD">
        <w:rPr>
          <w:szCs w:val="22"/>
        </w:rPr>
        <w:t>/L</w:t>
      </w:r>
      <w:r w:rsidRPr="005010FD" w:rsidDel="00855367">
        <w:rPr>
          <w:szCs w:val="22"/>
          <w:lang w:val="it"/>
        </w:rPr>
        <w:t xml:space="preserve"> </w:t>
      </w:r>
      <w:r w:rsidRPr="005010FD">
        <w:rPr>
          <w:szCs w:val="22"/>
          <w:lang w:val="it"/>
        </w:rPr>
        <w:t>all’RBL, esclusi i pazienti con linfopenia severa prolungata.</w:t>
      </w:r>
    </w:p>
    <w:p w14:paraId="5CDC51D6" w14:textId="77777777" w:rsidR="005477D4" w:rsidRPr="00136B35" w:rsidRDefault="005477D4" w:rsidP="005010FD">
      <w:pPr>
        <w:widowControl w:val="0"/>
        <w:jc w:val="both"/>
        <w:rPr>
          <w:szCs w:val="22"/>
        </w:rPr>
      </w:pPr>
    </w:p>
    <w:p w14:paraId="0B3C56B6" w14:textId="77777777" w:rsidR="005477D4" w:rsidRPr="00136B35" w:rsidRDefault="005477D4" w:rsidP="005010FD">
      <w:pPr>
        <w:keepNext/>
        <w:widowControl w:val="0"/>
        <w:autoSpaceDE w:val="0"/>
        <w:jc w:val="both"/>
        <w:rPr>
          <w:szCs w:val="22"/>
          <w:u w:val="single"/>
        </w:rPr>
      </w:pPr>
      <w:r w:rsidRPr="00136B35">
        <w:rPr>
          <w:szCs w:val="22"/>
          <w:u w:val="single"/>
        </w:rPr>
        <w:lastRenderedPageBreak/>
        <w:t>Efficacia e sicurezza clinica</w:t>
      </w:r>
    </w:p>
    <w:p w14:paraId="24D74109" w14:textId="77777777" w:rsidR="005477D4" w:rsidRPr="00136B35" w:rsidRDefault="005477D4" w:rsidP="005010FD">
      <w:pPr>
        <w:keepNext/>
        <w:widowControl w:val="0"/>
        <w:jc w:val="both"/>
        <w:rPr>
          <w:szCs w:val="22"/>
        </w:rPr>
      </w:pPr>
    </w:p>
    <w:p w14:paraId="70E6C398" w14:textId="5CDF9E51" w:rsidR="005477D4" w:rsidRPr="00136B35" w:rsidRDefault="005477D4" w:rsidP="005010FD">
      <w:pPr>
        <w:keepNext/>
        <w:jc w:val="both"/>
        <w:rPr>
          <w:szCs w:val="22"/>
        </w:rPr>
      </w:pPr>
      <w:r w:rsidRPr="00136B35">
        <w:rPr>
          <w:szCs w:val="22"/>
        </w:rPr>
        <w:t>Sono stati condotti due studi randomizzati, in doppio cieco, controllati verso placebo, della durata di 2 anni, DEFINE con 1 234 pazienti e CONFIRM con 1 417 pazienti con SM-RR. In questi studi non sono stati inclusi pazienti con forme progressive di sclerosi multipla.</w:t>
      </w:r>
    </w:p>
    <w:p w14:paraId="5FEA8971" w14:textId="77777777" w:rsidR="005477D4" w:rsidRPr="00136B35" w:rsidRDefault="005477D4" w:rsidP="005010FD">
      <w:pPr>
        <w:keepNext/>
        <w:jc w:val="both"/>
        <w:rPr>
          <w:szCs w:val="22"/>
        </w:rPr>
      </w:pPr>
    </w:p>
    <w:p w14:paraId="43A78B31" w14:textId="0AD4AA3E" w:rsidR="005477D4" w:rsidRPr="00136B35" w:rsidRDefault="005477D4" w:rsidP="005010FD">
      <w:pPr>
        <w:keepNext/>
        <w:jc w:val="both"/>
        <w:rPr>
          <w:szCs w:val="22"/>
        </w:rPr>
      </w:pPr>
      <w:r w:rsidRPr="00136B35">
        <w:rPr>
          <w:szCs w:val="22"/>
        </w:rPr>
        <w:t>L’efficacia (vedere la tabella 4) e la sicurezza sono state dimostrate in pazienti con punteggi della scala EDSS (</w:t>
      </w:r>
      <w:r w:rsidRPr="00136B35">
        <w:rPr>
          <w:i/>
          <w:szCs w:val="22"/>
        </w:rPr>
        <w:t>Expanded Disability Status Scale</w:t>
      </w:r>
      <w:r w:rsidRPr="00136B35">
        <w:rPr>
          <w:szCs w:val="22"/>
        </w:rPr>
        <w:t>, Scala espansa dello stato di disabilità) compresi tra 0 e 5 incluso, che avevano avuto almeno 1 recidiva durante l’anno precedente la randomizzazione o nelle 6 settimane precedenti la randomizzazione avevano MRI dell’encefalo che dimostrasse almeno una lesione captante gadolinio (Gd+). Nello Studio CONFIRM è stato incluso un braccio di confronto a singolo cieco (</w:t>
      </w:r>
      <w:r w:rsidRPr="00136B35">
        <w:rPr>
          <w:i/>
          <w:szCs w:val="22"/>
        </w:rPr>
        <w:t xml:space="preserve">rater-blinded, </w:t>
      </w:r>
      <w:r w:rsidRPr="00136B35">
        <w:rPr>
          <w:szCs w:val="22"/>
        </w:rPr>
        <w:t>cioè il medico/lo sperimentatore che valuta la risposta al trattamento nello studio era in condizioni di cecità) di trattamento con glatiramer acetato.</w:t>
      </w:r>
    </w:p>
    <w:p w14:paraId="0D93BA29" w14:textId="77777777" w:rsidR="005477D4" w:rsidRPr="00136B35" w:rsidRDefault="005477D4" w:rsidP="005010FD">
      <w:pPr>
        <w:widowControl w:val="0"/>
        <w:jc w:val="both"/>
        <w:rPr>
          <w:szCs w:val="22"/>
        </w:rPr>
      </w:pPr>
    </w:p>
    <w:p w14:paraId="775964D3" w14:textId="77777777" w:rsidR="005477D4" w:rsidRPr="00136B35" w:rsidRDefault="005477D4" w:rsidP="005010FD">
      <w:pPr>
        <w:jc w:val="both"/>
        <w:rPr>
          <w:szCs w:val="22"/>
        </w:rPr>
      </w:pPr>
      <w:r w:rsidRPr="00136B35">
        <w:rPr>
          <w:szCs w:val="22"/>
        </w:rPr>
        <w:t>Nello Studio DEFINE, i pazienti avevano le seguenti caratteristiche basali mediane: età 39 anni, durata della patologia 7,0 anni, punteggio della scala EDSS 2,0. Inoltre, il 16% dei pazienti aveva un punteggio della scala EDSS &gt; 3,5, il 28% aveva avuto ≥ 2 ricadute nell’anno precedente e il 42% aveva precedentemente ricevuto altri trattamenti approvati per la sclerosi multipla. Nella coorte MRI, il 36% dei pazienti inclusi nello studio aveva lesioni captanti gadolinio (Gd+) al basale (numero medio di lesioni Gd+ 1,4).</w:t>
      </w:r>
    </w:p>
    <w:p w14:paraId="3B7DD9C1" w14:textId="77777777" w:rsidR="005477D4" w:rsidRPr="00136B35" w:rsidRDefault="005477D4" w:rsidP="005010FD">
      <w:pPr>
        <w:widowControl w:val="0"/>
        <w:jc w:val="both"/>
        <w:rPr>
          <w:szCs w:val="22"/>
        </w:rPr>
      </w:pPr>
    </w:p>
    <w:p w14:paraId="6617988D" w14:textId="77777777" w:rsidR="005477D4" w:rsidRPr="00136B35" w:rsidRDefault="005477D4" w:rsidP="005010FD">
      <w:pPr>
        <w:jc w:val="both"/>
        <w:rPr>
          <w:szCs w:val="22"/>
        </w:rPr>
      </w:pPr>
      <w:r w:rsidRPr="00136B35">
        <w:rPr>
          <w:szCs w:val="22"/>
        </w:rPr>
        <w:t>Nello Studio CONFIRM, i pazienti avevano le seguenti caratteristiche mediane basali: età 37 anni, durata della patologia 6,0 anni, punteggio della scala EDSS 2,5. Inoltre il 17% dei pazienti aveva un punteggio della scala EDSS &gt; 3,5, il 32% aveva avuto ≥ 2 ricadute nell’anno precedente e il 30% aveva precedentemente ricevuto altri trattamenti approvati per la sclerosi multipla. Nella coorte RM, il 45% dei pazienti inclusi nello studio aveva lesioni captanti gadolinio (Gd+) al basale (numero medio di lesioni Gd+ 2,4).</w:t>
      </w:r>
    </w:p>
    <w:p w14:paraId="32445874" w14:textId="77777777" w:rsidR="005477D4" w:rsidRPr="00136B35" w:rsidRDefault="005477D4" w:rsidP="005010FD">
      <w:pPr>
        <w:jc w:val="both"/>
        <w:rPr>
          <w:szCs w:val="22"/>
        </w:rPr>
      </w:pPr>
    </w:p>
    <w:p w14:paraId="03021DF4" w14:textId="77777777" w:rsidR="005477D4" w:rsidRPr="00136B35" w:rsidRDefault="005477D4" w:rsidP="005010FD">
      <w:pPr>
        <w:widowControl w:val="0"/>
        <w:jc w:val="both"/>
        <w:rPr>
          <w:szCs w:val="22"/>
        </w:rPr>
      </w:pPr>
      <w:r w:rsidRPr="00136B35">
        <w:rPr>
          <w:szCs w:val="22"/>
        </w:rPr>
        <w:t>Rispetto al placebo, i pazienti trattati con dimetilfumarato hanno avuto una riduzione clinicamente rilevante e statisticamente significativa sull’endpoint primario dello studio DEFINE, sulla proporzione di pazienti con ricaduta a 2 anni e sull’endpoint primario dello studio CONFIRM, tasso annualizzato di ricaduta (</w:t>
      </w:r>
      <w:r w:rsidRPr="00136B35">
        <w:rPr>
          <w:i/>
          <w:szCs w:val="22"/>
        </w:rPr>
        <w:t>annualised relapse rate</w:t>
      </w:r>
      <w:r w:rsidRPr="00136B35">
        <w:rPr>
          <w:szCs w:val="22"/>
        </w:rPr>
        <w:t>, ARR) a 2 anni.</w:t>
      </w:r>
    </w:p>
    <w:p w14:paraId="701152E3" w14:textId="77777777" w:rsidR="005477D4" w:rsidRPr="00136B35" w:rsidRDefault="005477D4" w:rsidP="005010FD">
      <w:pPr>
        <w:jc w:val="both"/>
        <w:rPr>
          <w:szCs w:val="22"/>
        </w:rPr>
      </w:pPr>
    </w:p>
    <w:p w14:paraId="63A5AF6C" w14:textId="00052F22" w:rsidR="005477D4" w:rsidRPr="00136B35" w:rsidRDefault="00EB5CB9" w:rsidP="005477D4">
      <w:pPr>
        <w:jc w:val="both"/>
        <w:rPr>
          <w:rFonts w:eastAsia="SimSun"/>
          <w:szCs w:val="22"/>
          <w:lang w:eastAsia="en-GB" w:bidi="en-GB"/>
        </w:rPr>
      </w:pPr>
      <w:r w:rsidRPr="00136B35">
        <w:rPr>
          <w:rFonts w:eastAsia="SimSun"/>
          <w:szCs w:val="22"/>
          <w:lang w:eastAsia="en-GB" w:bidi="en-GB"/>
        </w:rPr>
        <w:t>Tabella 4: endpoint clinici e di MRI per gli studi DEFINE e CONFIRM</w:t>
      </w:r>
    </w:p>
    <w:p w14:paraId="4E2CC7F7" w14:textId="77777777" w:rsidR="00EB5CB9" w:rsidRPr="00136B35" w:rsidRDefault="00EB5CB9" w:rsidP="005010FD">
      <w:pPr>
        <w:jc w:val="both"/>
        <w:rPr>
          <w:szCs w:val="22"/>
        </w:rPr>
      </w:pPr>
    </w:p>
    <w:tbl>
      <w:tblPr>
        <w:tblW w:w="0" w:type="auto"/>
        <w:tblInd w:w="-5" w:type="dxa"/>
        <w:tblLayout w:type="fixed"/>
        <w:tblLook w:val="0000" w:firstRow="0" w:lastRow="0" w:firstColumn="0" w:lastColumn="0" w:noHBand="0" w:noVBand="0"/>
      </w:tblPr>
      <w:tblGrid>
        <w:gridCol w:w="2550"/>
        <w:gridCol w:w="994"/>
        <w:gridCol w:w="1555"/>
        <w:gridCol w:w="997"/>
        <w:gridCol w:w="1559"/>
        <w:gridCol w:w="1340"/>
      </w:tblGrid>
      <w:tr w:rsidR="005477D4" w:rsidRPr="00136B35" w14:paraId="1E52A4D7" w14:textId="77777777" w:rsidTr="009F1691">
        <w:trPr>
          <w:cantSplit/>
          <w:tblHeader/>
        </w:trPr>
        <w:tc>
          <w:tcPr>
            <w:tcW w:w="2550" w:type="dxa"/>
            <w:tcBorders>
              <w:top w:val="single" w:sz="4" w:space="0" w:color="000000"/>
              <w:left w:val="single" w:sz="4" w:space="0" w:color="000000"/>
              <w:bottom w:val="single" w:sz="4" w:space="0" w:color="000000"/>
            </w:tcBorders>
          </w:tcPr>
          <w:p w14:paraId="66479DDF" w14:textId="77777777" w:rsidR="005477D4" w:rsidRPr="00136B35" w:rsidRDefault="005477D4" w:rsidP="005010FD">
            <w:pPr>
              <w:keepNext/>
              <w:widowControl w:val="0"/>
              <w:snapToGrid w:val="0"/>
              <w:jc w:val="both"/>
              <w:rPr>
                <w:b/>
                <w:szCs w:val="22"/>
              </w:rPr>
            </w:pPr>
          </w:p>
        </w:tc>
        <w:tc>
          <w:tcPr>
            <w:tcW w:w="2549" w:type="dxa"/>
            <w:gridSpan w:val="2"/>
            <w:tcBorders>
              <w:top w:val="single" w:sz="4" w:space="0" w:color="000000"/>
              <w:left w:val="single" w:sz="4" w:space="0" w:color="000000"/>
              <w:bottom w:val="single" w:sz="4" w:space="0" w:color="000000"/>
            </w:tcBorders>
          </w:tcPr>
          <w:p w14:paraId="64805378" w14:textId="77777777" w:rsidR="005477D4" w:rsidRPr="00136B35" w:rsidRDefault="005477D4" w:rsidP="005010FD">
            <w:pPr>
              <w:keepNext/>
              <w:widowControl w:val="0"/>
              <w:snapToGrid w:val="0"/>
              <w:jc w:val="both"/>
              <w:rPr>
                <w:b/>
                <w:szCs w:val="22"/>
              </w:rPr>
            </w:pPr>
            <w:r w:rsidRPr="00136B35">
              <w:rPr>
                <w:b/>
                <w:szCs w:val="22"/>
              </w:rPr>
              <w:t>DEFINE</w:t>
            </w:r>
          </w:p>
        </w:tc>
        <w:tc>
          <w:tcPr>
            <w:tcW w:w="3896" w:type="dxa"/>
            <w:gridSpan w:val="3"/>
            <w:tcBorders>
              <w:top w:val="single" w:sz="4" w:space="0" w:color="000000"/>
              <w:left w:val="single" w:sz="4" w:space="0" w:color="000000"/>
              <w:bottom w:val="single" w:sz="4" w:space="0" w:color="000000"/>
              <w:right w:val="single" w:sz="4" w:space="0" w:color="000000"/>
            </w:tcBorders>
          </w:tcPr>
          <w:p w14:paraId="2A0F0C2B" w14:textId="77777777" w:rsidR="005477D4" w:rsidRPr="00136B35" w:rsidRDefault="005477D4" w:rsidP="005010FD">
            <w:pPr>
              <w:keepNext/>
              <w:widowControl w:val="0"/>
              <w:snapToGrid w:val="0"/>
              <w:jc w:val="both"/>
              <w:rPr>
                <w:b/>
                <w:szCs w:val="22"/>
              </w:rPr>
            </w:pPr>
            <w:r w:rsidRPr="00136B35">
              <w:rPr>
                <w:b/>
                <w:szCs w:val="22"/>
              </w:rPr>
              <w:t>CONFIRM</w:t>
            </w:r>
          </w:p>
        </w:tc>
      </w:tr>
      <w:tr w:rsidR="005477D4" w:rsidRPr="00136B35" w14:paraId="3CBF4499" w14:textId="77777777" w:rsidTr="009F1691">
        <w:trPr>
          <w:cantSplit/>
          <w:tblHeader/>
        </w:trPr>
        <w:tc>
          <w:tcPr>
            <w:tcW w:w="2550" w:type="dxa"/>
            <w:tcBorders>
              <w:top w:val="single" w:sz="4" w:space="0" w:color="000000"/>
              <w:left w:val="single" w:sz="4" w:space="0" w:color="000000"/>
              <w:bottom w:val="single" w:sz="4" w:space="0" w:color="000000"/>
            </w:tcBorders>
          </w:tcPr>
          <w:p w14:paraId="638A9010" w14:textId="77777777" w:rsidR="005477D4" w:rsidRPr="00136B35" w:rsidRDefault="005477D4" w:rsidP="005010FD">
            <w:pPr>
              <w:keepNext/>
              <w:widowControl w:val="0"/>
              <w:snapToGrid w:val="0"/>
              <w:jc w:val="both"/>
              <w:rPr>
                <w:b/>
                <w:szCs w:val="22"/>
              </w:rPr>
            </w:pPr>
          </w:p>
        </w:tc>
        <w:tc>
          <w:tcPr>
            <w:tcW w:w="994" w:type="dxa"/>
            <w:tcBorders>
              <w:top w:val="single" w:sz="4" w:space="0" w:color="000000"/>
              <w:left w:val="single" w:sz="4" w:space="0" w:color="000000"/>
              <w:bottom w:val="single" w:sz="4" w:space="0" w:color="000000"/>
            </w:tcBorders>
          </w:tcPr>
          <w:p w14:paraId="55C5AC59" w14:textId="77777777" w:rsidR="005477D4" w:rsidRPr="00136B35" w:rsidRDefault="005477D4" w:rsidP="005010FD">
            <w:pPr>
              <w:keepNext/>
              <w:widowControl w:val="0"/>
              <w:snapToGrid w:val="0"/>
              <w:jc w:val="both"/>
              <w:rPr>
                <w:b/>
                <w:szCs w:val="22"/>
              </w:rPr>
            </w:pPr>
            <w:r w:rsidRPr="00136B35">
              <w:rPr>
                <w:b/>
                <w:szCs w:val="22"/>
              </w:rPr>
              <w:t>Placebo</w:t>
            </w:r>
          </w:p>
        </w:tc>
        <w:tc>
          <w:tcPr>
            <w:tcW w:w="1555" w:type="dxa"/>
            <w:tcBorders>
              <w:top w:val="single" w:sz="4" w:space="0" w:color="000000"/>
              <w:left w:val="single" w:sz="4" w:space="0" w:color="000000"/>
              <w:bottom w:val="single" w:sz="4" w:space="0" w:color="000000"/>
            </w:tcBorders>
          </w:tcPr>
          <w:p w14:paraId="1B71B9D0" w14:textId="77777777" w:rsidR="005477D4" w:rsidRPr="00136B35" w:rsidRDefault="005477D4" w:rsidP="005010FD">
            <w:pPr>
              <w:keepNext/>
              <w:widowControl w:val="0"/>
              <w:jc w:val="both"/>
              <w:rPr>
                <w:b/>
                <w:szCs w:val="22"/>
              </w:rPr>
            </w:pPr>
            <w:r w:rsidRPr="00136B35">
              <w:rPr>
                <w:b/>
                <w:szCs w:val="22"/>
              </w:rPr>
              <w:t>Dimetilfumarato 240 mg</w:t>
            </w:r>
          </w:p>
          <w:p w14:paraId="74F20E1E" w14:textId="77777777" w:rsidR="005477D4" w:rsidRPr="00136B35" w:rsidRDefault="005477D4" w:rsidP="005010FD">
            <w:pPr>
              <w:keepNext/>
              <w:widowControl w:val="0"/>
              <w:jc w:val="both"/>
              <w:rPr>
                <w:b/>
                <w:szCs w:val="22"/>
              </w:rPr>
            </w:pPr>
            <w:r w:rsidRPr="00136B35">
              <w:rPr>
                <w:b/>
                <w:szCs w:val="22"/>
              </w:rPr>
              <w:t>due volte al giorno</w:t>
            </w:r>
          </w:p>
        </w:tc>
        <w:tc>
          <w:tcPr>
            <w:tcW w:w="997" w:type="dxa"/>
            <w:tcBorders>
              <w:top w:val="single" w:sz="4" w:space="0" w:color="000000"/>
              <w:left w:val="single" w:sz="4" w:space="0" w:color="000000"/>
              <w:bottom w:val="single" w:sz="4" w:space="0" w:color="000000"/>
            </w:tcBorders>
          </w:tcPr>
          <w:p w14:paraId="05147F86" w14:textId="77777777" w:rsidR="005477D4" w:rsidRPr="00136B35" w:rsidRDefault="005477D4" w:rsidP="005010FD">
            <w:pPr>
              <w:keepNext/>
              <w:widowControl w:val="0"/>
              <w:snapToGrid w:val="0"/>
              <w:jc w:val="both"/>
              <w:rPr>
                <w:b/>
                <w:szCs w:val="22"/>
              </w:rPr>
            </w:pPr>
            <w:r w:rsidRPr="00136B35">
              <w:rPr>
                <w:b/>
                <w:szCs w:val="22"/>
              </w:rPr>
              <w:t>Placebo</w:t>
            </w:r>
          </w:p>
        </w:tc>
        <w:tc>
          <w:tcPr>
            <w:tcW w:w="1559" w:type="dxa"/>
            <w:tcBorders>
              <w:top w:val="single" w:sz="4" w:space="0" w:color="000000"/>
              <w:left w:val="single" w:sz="4" w:space="0" w:color="000000"/>
              <w:bottom w:val="single" w:sz="4" w:space="0" w:color="000000"/>
            </w:tcBorders>
          </w:tcPr>
          <w:p w14:paraId="7E6CFD6F" w14:textId="77777777" w:rsidR="005477D4" w:rsidRPr="00136B35" w:rsidRDefault="005477D4" w:rsidP="005010FD">
            <w:pPr>
              <w:keepNext/>
              <w:widowControl w:val="0"/>
              <w:jc w:val="both"/>
              <w:rPr>
                <w:b/>
                <w:szCs w:val="22"/>
              </w:rPr>
            </w:pPr>
            <w:r w:rsidRPr="00136B35">
              <w:rPr>
                <w:b/>
                <w:szCs w:val="22"/>
              </w:rPr>
              <w:t>Dimetilfumarato 240 mg</w:t>
            </w:r>
          </w:p>
          <w:p w14:paraId="36438FA6" w14:textId="77777777" w:rsidR="005477D4" w:rsidRPr="00136B35" w:rsidRDefault="005477D4" w:rsidP="005010FD">
            <w:pPr>
              <w:keepNext/>
              <w:widowControl w:val="0"/>
              <w:jc w:val="both"/>
              <w:rPr>
                <w:b/>
                <w:szCs w:val="22"/>
              </w:rPr>
            </w:pPr>
            <w:r w:rsidRPr="00136B35">
              <w:rPr>
                <w:b/>
                <w:szCs w:val="22"/>
              </w:rPr>
              <w:t>due volte al giorno</w:t>
            </w:r>
          </w:p>
        </w:tc>
        <w:tc>
          <w:tcPr>
            <w:tcW w:w="1340" w:type="dxa"/>
            <w:tcBorders>
              <w:top w:val="single" w:sz="4" w:space="0" w:color="000000"/>
              <w:left w:val="single" w:sz="4" w:space="0" w:color="000000"/>
              <w:bottom w:val="single" w:sz="4" w:space="0" w:color="000000"/>
              <w:right w:val="single" w:sz="4" w:space="0" w:color="000000"/>
            </w:tcBorders>
          </w:tcPr>
          <w:p w14:paraId="58EAA4C0" w14:textId="77777777" w:rsidR="005477D4" w:rsidRPr="00136B35" w:rsidRDefault="005477D4" w:rsidP="005010FD">
            <w:pPr>
              <w:keepNext/>
              <w:widowControl w:val="0"/>
              <w:snapToGrid w:val="0"/>
              <w:jc w:val="both"/>
              <w:rPr>
                <w:b/>
                <w:szCs w:val="22"/>
              </w:rPr>
            </w:pPr>
            <w:r w:rsidRPr="00136B35">
              <w:rPr>
                <w:b/>
                <w:szCs w:val="22"/>
              </w:rPr>
              <w:t>Glatiramer acetato</w:t>
            </w:r>
          </w:p>
        </w:tc>
      </w:tr>
      <w:tr w:rsidR="005477D4" w:rsidRPr="00136B35" w14:paraId="3C810AFD" w14:textId="77777777" w:rsidTr="009F1691">
        <w:trPr>
          <w:cantSplit/>
        </w:trPr>
        <w:tc>
          <w:tcPr>
            <w:tcW w:w="2550" w:type="dxa"/>
            <w:tcBorders>
              <w:top w:val="single" w:sz="4" w:space="0" w:color="000000"/>
              <w:left w:val="single" w:sz="4" w:space="0" w:color="000000"/>
              <w:bottom w:val="single" w:sz="4" w:space="0" w:color="000000"/>
            </w:tcBorders>
          </w:tcPr>
          <w:p w14:paraId="10B77C2C" w14:textId="77777777" w:rsidR="005477D4" w:rsidRPr="00136B35" w:rsidRDefault="005477D4" w:rsidP="005010FD">
            <w:pPr>
              <w:keepNext/>
              <w:widowControl w:val="0"/>
              <w:snapToGrid w:val="0"/>
              <w:jc w:val="both"/>
              <w:rPr>
                <w:b/>
                <w:szCs w:val="22"/>
                <w:vertAlign w:val="superscript"/>
              </w:rPr>
            </w:pPr>
            <w:r w:rsidRPr="00136B35">
              <w:rPr>
                <w:b/>
                <w:szCs w:val="22"/>
              </w:rPr>
              <w:t>Endpoint clinici</w:t>
            </w:r>
            <w:r w:rsidRPr="00136B35">
              <w:rPr>
                <w:b/>
                <w:szCs w:val="22"/>
                <w:vertAlign w:val="superscript"/>
              </w:rPr>
              <w:t>a</w:t>
            </w:r>
          </w:p>
        </w:tc>
        <w:tc>
          <w:tcPr>
            <w:tcW w:w="994" w:type="dxa"/>
            <w:tcBorders>
              <w:top w:val="single" w:sz="4" w:space="0" w:color="000000"/>
              <w:bottom w:val="single" w:sz="4" w:space="0" w:color="000000"/>
            </w:tcBorders>
          </w:tcPr>
          <w:p w14:paraId="6A236E9C" w14:textId="77777777" w:rsidR="005477D4" w:rsidRPr="00136B35" w:rsidRDefault="005477D4" w:rsidP="005010FD">
            <w:pPr>
              <w:keepNext/>
              <w:widowControl w:val="0"/>
              <w:snapToGrid w:val="0"/>
              <w:jc w:val="both"/>
              <w:rPr>
                <w:szCs w:val="22"/>
              </w:rPr>
            </w:pPr>
          </w:p>
        </w:tc>
        <w:tc>
          <w:tcPr>
            <w:tcW w:w="1555" w:type="dxa"/>
            <w:tcBorders>
              <w:top w:val="single" w:sz="4" w:space="0" w:color="000000"/>
              <w:bottom w:val="single" w:sz="4" w:space="0" w:color="000000"/>
            </w:tcBorders>
          </w:tcPr>
          <w:p w14:paraId="6C575393" w14:textId="77777777" w:rsidR="005477D4" w:rsidRPr="00136B35" w:rsidRDefault="005477D4" w:rsidP="005010FD">
            <w:pPr>
              <w:keepNext/>
              <w:widowControl w:val="0"/>
              <w:snapToGrid w:val="0"/>
              <w:jc w:val="both"/>
              <w:rPr>
                <w:szCs w:val="22"/>
              </w:rPr>
            </w:pPr>
          </w:p>
        </w:tc>
        <w:tc>
          <w:tcPr>
            <w:tcW w:w="997" w:type="dxa"/>
            <w:tcBorders>
              <w:top w:val="single" w:sz="4" w:space="0" w:color="000000"/>
              <w:bottom w:val="single" w:sz="4" w:space="0" w:color="000000"/>
            </w:tcBorders>
          </w:tcPr>
          <w:p w14:paraId="6D2E26BC" w14:textId="77777777" w:rsidR="005477D4" w:rsidRPr="00136B35" w:rsidRDefault="005477D4" w:rsidP="005010FD">
            <w:pPr>
              <w:keepNext/>
              <w:widowControl w:val="0"/>
              <w:snapToGrid w:val="0"/>
              <w:jc w:val="both"/>
              <w:rPr>
                <w:szCs w:val="22"/>
              </w:rPr>
            </w:pPr>
          </w:p>
        </w:tc>
        <w:tc>
          <w:tcPr>
            <w:tcW w:w="1559" w:type="dxa"/>
            <w:tcBorders>
              <w:top w:val="single" w:sz="4" w:space="0" w:color="000000"/>
              <w:bottom w:val="single" w:sz="4" w:space="0" w:color="000000"/>
            </w:tcBorders>
          </w:tcPr>
          <w:p w14:paraId="1E90EFB6" w14:textId="77777777" w:rsidR="005477D4" w:rsidRPr="00136B35" w:rsidRDefault="005477D4" w:rsidP="005010FD">
            <w:pPr>
              <w:keepNext/>
              <w:widowControl w:val="0"/>
              <w:snapToGrid w:val="0"/>
              <w:jc w:val="both"/>
              <w:rPr>
                <w:szCs w:val="22"/>
              </w:rPr>
            </w:pPr>
          </w:p>
        </w:tc>
        <w:tc>
          <w:tcPr>
            <w:tcW w:w="1340" w:type="dxa"/>
            <w:tcBorders>
              <w:top w:val="single" w:sz="4" w:space="0" w:color="000000"/>
              <w:bottom w:val="single" w:sz="4" w:space="0" w:color="000000"/>
              <w:right w:val="single" w:sz="4" w:space="0" w:color="000000"/>
            </w:tcBorders>
          </w:tcPr>
          <w:p w14:paraId="3948E4DF" w14:textId="77777777" w:rsidR="005477D4" w:rsidRPr="00136B35" w:rsidRDefault="005477D4" w:rsidP="005010FD">
            <w:pPr>
              <w:keepNext/>
              <w:widowControl w:val="0"/>
              <w:snapToGrid w:val="0"/>
              <w:jc w:val="both"/>
              <w:rPr>
                <w:szCs w:val="22"/>
              </w:rPr>
            </w:pPr>
          </w:p>
        </w:tc>
      </w:tr>
      <w:tr w:rsidR="005477D4" w:rsidRPr="00136B35" w14:paraId="3FDE8684" w14:textId="77777777" w:rsidTr="009F1691">
        <w:trPr>
          <w:cantSplit/>
        </w:trPr>
        <w:tc>
          <w:tcPr>
            <w:tcW w:w="2550" w:type="dxa"/>
            <w:tcBorders>
              <w:top w:val="single" w:sz="4" w:space="0" w:color="000000"/>
              <w:left w:val="single" w:sz="4" w:space="0" w:color="000000"/>
              <w:bottom w:val="single" w:sz="4" w:space="0" w:color="000000"/>
            </w:tcBorders>
          </w:tcPr>
          <w:p w14:paraId="3D8F6CCB" w14:textId="77777777" w:rsidR="005477D4" w:rsidRPr="00136B35" w:rsidRDefault="005477D4" w:rsidP="005010FD">
            <w:pPr>
              <w:keepNext/>
              <w:widowControl w:val="0"/>
              <w:snapToGrid w:val="0"/>
              <w:jc w:val="both"/>
              <w:rPr>
                <w:szCs w:val="22"/>
              </w:rPr>
            </w:pPr>
            <w:r w:rsidRPr="00136B35">
              <w:rPr>
                <w:szCs w:val="22"/>
              </w:rPr>
              <w:t>N. pazienti</w:t>
            </w:r>
          </w:p>
        </w:tc>
        <w:tc>
          <w:tcPr>
            <w:tcW w:w="994" w:type="dxa"/>
            <w:tcBorders>
              <w:top w:val="single" w:sz="4" w:space="0" w:color="000000"/>
              <w:left w:val="single" w:sz="4" w:space="0" w:color="000000"/>
              <w:bottom w:val="single" w:sz="4" w:space="0" w:color="000000"/>
            </w:tcBorders>
          </w:tcPr>
          <w:p w14:paraId="424D7C44" w14:textId="77777777" w:rsidR="005477D4" w:rsidRPr="00136B35" w:rsidRDefault="005477D4" w:rsidP="005010FD">
            <w:pPr>
              <w:keepNext/>
              <w:widowControl w:val="0"/>
              <w:snapToGrid w:val="0"/>
              <w:jc w:val="both"/>
              <w:rPr>
                <w:szCs w:val="22"/>
              </w:rPr>
            </w:pPr>
            <w:r w:rsidRPr="00136B35">
              <w:rPr>
                <w:szCs w:val="22"/>
              </w:rPr>
              <w:t>408</w:t>
            </w:r>
          </w:p>
        </w:tc>
        <w:tc>
          <w:tcPr>
            <w:tcW w:w="1555" w:type="dxa"/>
            <w:tcBorders>
              <w:top w:val="single" w:sz="4" w:space="0" w:color="000000"/>
              <w:left w:val="single" w:sz="4" w:space="0" w:color="000000"/>
              <w:bottom w:val="single" w:sz="4" w:space="0" w:color="000000"/>
            </w:tcBorders>
          </w:tcPr>
          <w:p w14:paraId="31A51259" w14:textId="77777777" w:rsidR="005477D4" w:rsidRPr="00136B35" w:rsidRDefault="005477D4" w:rsidP="005010FD">
            <w:pPr>
              <w:keepNext/>
              <w:widowControl w:val="0"/>
              <w:snapToGrid w:val="0"/>
              <w:jc w:val="both"/>
              <w:rPr>
                <w:szCs w:val="22"/>
              </w:rPr>
            </w:pPr>
            <w:r w:rsidRPr="00136B35">
              <w:rPr>
                <w:szCs w:val="22"/>
              </w:rPr>
              <w:t>410</w:t>
            </w:r>
          </w:p>
        </w:tc>
        <w:tc>
          <w:tcPr>
            <w:tcW w:w="997" w:type="dxa"/>
            <w:tcBorders>
              <w:top w:val="single" w:sz="4" w:space="0" w:color="000000"/>
              <w:left w:val="single" w:sz="4" w:space="0" w:color="000000"/>
              <w:bottom w:val="single" w:sz="4" w:space="0" w:color="000000"/>
            </w:tcBorders>
          </w:tcPr>
          <w:p w14:paraId="24BDAB6A" w14:textId="77777777" w:rsidR="005477D4" w:rsidRPr="00136B35" w:rsidRDefault="005477D4" w:rsidP="005010FD">
            <w:pPr>
              <w:keepNext/>
              <w:widowControl w:val="0"/>
              <w:snapToGrid w:val="0"/>
              <w:jc w:val="both"/>
              <w:rPr>
                <w:szCs w:val="22"/>
              </w:rPr>
            </w:pPr>
            <w:r w:rsidRPr="00136B35">
              <w:rPr>
                <w:szCs w:val="22"/>
              </w:rPr>
              <w:t>363</w:t>
            </w:r>
          </w:p>
        </w:tc>
        <w:tc>
          <w:tcPr>
            <w:tcW w:w="1559" w:type="dxa"/>
            <w:tcBorders>
              <w:top w:val="single" w:sz="4" w:space="0" w:color="000000"/>
              <w:left w:val="single" w:sz="4" w:space="0" w:color="000000"/>
              <w:bottom w:val="single" w:sz="4" w:space="0" w:color="000000"/>
            </w:tcBorders>
          </w:tcPr>
          <w:p w14:paraId="1B65B523" w14:textId="77777777" w:rsidR="005477D4" w:rsidRPr="00136B35" w:rsidRDefault="005477D4" w:rsidP="005010FD">
            <w:pPr>
              <w:keepNext/>
              <w:widowControl w:val="0"/>
              <w:snapToGrid w:val="0"/>
              <w:jc w:val="both"/>
              <w:rPr>
                <w:szCs w:val="22"/>
              </w:rPr>
            </w:pPr>
            <w:r w:rsidRPr="00136B35">
              <w:rPr>
                <w:szCs w:val="22"/>
              </w:rPr>
              <w:t>359</w:t>
            </w:r>
          </w:p>
        </w:tc>
        <w:tc>
          <w:tcPr>
            <w:tcW w:w="1340" w:type="dxa"/>
            <w:tcBorders>
              <w:top w:val="single" w:sz="4" w:space="0" w:color="000000"/>
              <w:left w:val="single" w:sz="4" w:space="0" w:color="000000"/>
              <w:bottom w:val="single" w:sz="4" w:space="0" w:color="000000"/>
              <w:right w:val="single" w:sz="4" w:space="0" w:color="000000"/>
            </w:tcBorders>
          </w:tcPr>
          <w:p w14:paraId="27E2B8F6" w14:textId="77777777" w:rsidR="005477D4" w:rsidRPr="00136B35" w:rsidRDefault="005477D4" w:rsidP="005010FD">
            <w:pPr>
              <w:keepNext/>
              <w:widowControl w:val="0"/>
              <w:snapToGrid w:val="0"/>
              <w:jc w:val="both"/>
              <w:rPr>
                <w:szCs w:val="22"/>
              </w:rPr>
            </w:pPr>
            <w:r w:rsidRPr="00136B35">
              <w:rPr>
                <w:szCs w:val="22"/>
              </w:rPr>
              <w:t>350</w:t>
            </w:r>
          </w:p>
        </w:tc>
      </w:tr>
      <w:tr w:rsidR="005477D4" w:rsidRPr="00136B35" w14:paraId="480F56B7" w14:textId="77777777" w:rsidTr="009F1691">
        <w:trPr>
          <w:cantSplit/>
        </w:trPr>
        <w:tc>
          <w:tcPr>
            <w:tcW w:w="2550" w:type="dxa"/>
            <w:tcBorders>
              <w:top w:val="single" w:sz="4" w:space="0" w:color="000000"/>
              <w:left w:val="single" w:sz="4" w:space="0" w:color="000000"/>
              <w:bottom w:val="single" w:sz="4" w:space="0" w:color="000000"/>
            </w:tcBorders>
          </w:tcPr>
          <w:p w14:paraId="56DB44ED" w14:textId="77777777" w:rsidR="005477D4" w:rsidRPr="00136B35" w:rsidRDefault="005477D4" w:rsidP="005010FD">
            <w:pPr>
              <w:widowControl w:val="0"/>
              <w:snapToGrid w:val="0"/>
              <w:jc w:val="both"/>
              <w:rPr>
                <w:szCs w:val="22"/>
              </w:rPr>
            </w:pPr>
            <w:r w:rsidRPr="00136B35">
              <w:rPr>
                <w:szCs w:val="22"/>
              </w:rPr>
              <w:t xml:space="preserve">Tasso annualizzato di ricaduta </w:t>
            </w:r>
          </w:p>
        </w:tc>
        <w:tc>
          <w:tcPr>
            <w:tcW w:w="994" w:type="dxa"/>
            <w:tcBorders>
              <w:top w:val="single" w:sz="4" w:space="0" w:color="000000"/>
              <w:left w:val="single" w:sz="4" w:space="0" w:color="000000"/>
              <w:bottom w:val="single" w:sz="4" w:space="0" w:color="000000"/>
            </w:tcBorders>
          </w:tcPr>
          <w:p w14:paraId="34F0232C" w14:textId="77777777" w:rsidR="005477D4" w:rsidRPr="00136B35" w:rsidRDefault="005477D4" w:rsidP="005010FD">
            <w:pPr>
              <w:widowControl w:val="0"/>
              <w:snapToGrid w:val="0"/>
              <w:jc w:val="both"/>
              <w:rPr>
                <w:szCs w:val="22"/>
              </w:rPr>
            </w:pPr>
            <w:r w:rsidRPr="00136B35">
              <w:rPr>
                <w:szCs w:val="22"/>
              </w:rPr>
              <w:t>0,364</w:t>
            </w:r>
          </w:p>
        </w:tc>
        <w:tc>
          <w:tcPr>
            <w:tcW w:w="1555" w:type="dxa"/>
            <w:tcBorders>
              <w:top w:val="single" w:sz="4" w:space="0" w:color="000000"/>
              <w:left w:val="single" w:sz="4" w:space="0" w:color="000000"/>
              <w:bottom w:val="single" w:sz="4" w:space="0" w:color="000000"/>
            </w:tcBorders>
          </w:tcPr>
          <w:p w14:paraId="7B82181C" w14:textId="77777777" w:rsidR="005477D4" w:rsidRPr="00136B35" w:rsidRDefault="005477D4" w:rsidP="005010FD">
            <w:pPr>
              <w:widowControl w:val="0"/>
              <w:snapToGrid w:val="0"/>
              <w:jc w:val="both"/>
              <w:rPr>
                <w:szCs w:val="22"/>
              </w:rPr>
            </w:pPr>
            <w:r w:rsidRPr="00136B35">
              <w:rPr>
                <w:szCs w:val="22"/>
              </w:rPr>
              <w:t>0,172***</w:t>
            </w:r>
          </w:p>
        </w:tc>
        <w:tc>
          <w:tcPr>
            <w:tcW w:w="997" w:type="dxa"/>
            <w:tcBorders>
              <w:top w:val="single" w:sz="4" w:space="0" w:color="000000"/>
              <w:left w:val="single" w:sz="4" w:space="0" w:color="000000"/>
              <w:bottom w:val="single" w:sz="4" w:space="0" w:color="000000"/>
            </w:tcBorders>
          </w:tcPr>
          <w:p w14:paraId="48E3F52A" w14:textId="77777777" w:rsidR="005477D4" w:rsidRPr="00136B35" w:rsidRDefault="005477D4" w:rsidP="005010FD">
            <w:pPr>
              <w:widowControl w:val="0"/>
              <w:snapToGrid w:val="0"/>
              <w:jc w:val="both"/>
              <w:rPr>
                <w:szCs w:val="22"/>
              </w:rPr>
            </w:pPr>
            <w:r w:rsidRPr="00136B35">
              <w:rPr>
                <w:szCs w:val="22"/>
              </w:rPr>
              <w:t>0,401</w:t>
            </w:r>
          </w:p>
        </w:tc>
        <w:tc>
          <w:tcPr>
            <w:tcW w:w="1559" w:type="dxa"/>
            <w:tcBorders>
              <w:top w:val="single" w:sz="4" w:space="0" w:color="000000"/>
              <w:left w:val="single" w:sz="4" w:space="0" w:color="000000"/>
              <w:bottom w:val="single" w:sz="4" w:space="0" w:color="000000"/>
            </w:tcBorders>
          </w:tcPr>
          <w:p w14:paraId="6C4123FF" w14:textId="77777777" w:rsidR="005477D4" w:rsidRPr="00136B35" w:rsidRDefault="005477D4" w:rsidP="005010FD">
            <w:pPr>
              <w:widowControl w:val="0"/>
              <w:snapToGrid w:val="0"/>
              <w:jc w:val="both"/>
              <w:rPr>
                <w:szCs w:val="22"/>
              </w:rPr>
            </w:pPr>
            <w:r w:rsidRPr="00136B35">
              <w:rPr>
                <w:szCs w:val="22"/>
              </w:rPr>
              <w:t>0,224***</w:t>
            </w:r>
          </w:p>
        </w:tc>
        <w:tc>
          <w:tcPr>
            <w:tcW w:w="1340" w:type="dxa"/>
            <w:tcBorders>
              <w:top w:val="single" w:sz="4" w:space="0" w:color="000000"/>
              <w:left w:val="single" w:sz="4" w:space="0" w:color="000000"/>
              <w:bottom w:val="single" w:sz="4" w:space="0" w:color="000000"/>
              <w:right w:val="single" w:sz="4" w:space="0" w:color="000000"/>
            </w:tcBorders>
          </w:tcPr>
          <w:p w14:paraId="1A0EE261" w14:textId="77777777" w:rsidR="005477D4" w:rsidRPr="00136B35" w:rsidRDefault="005477D4" w:rsidP="005010FD">
            <w:pPr>
              <w:widowControl w:val="0"/>
              <w:snapToGrid w:val="0"/>
              <w:jc w:val="both"/>
              <w:rPr>
                <w:szCs w:val="22"/>
              </w:rPr>
            </w:pPr>
            <w:r w:rsidRPr="00136B35">
              <w:rPr>
                <w:szCs w:val="22"/>
              </w:rPr>
              <w:t>0,286*</w:t>
            </w:r>
          </w:p>
        </w:tc>
      </w:tr>
      <w:tr w:rsidR="005477D4" w:rsidRPr="00136B35" w14:paraId="2F3D3333" w14:textId="77777777" w:rsidTr="009F1691">
        <w:trPr>
          <w:cantSplit/>
        </w:trPr>
        <w:tc>
          <w:tcPr>
            <w:tcW w:w="2550" w:type="dxa"/>
            <w:tcBorders>
              <w:top w:val="single" w:sz="4" w:space="0" w:color="000000"/>
              <w:left w:val="single" w:sz="4" w:space="0" w:color="000000"/>
              <w:bottom w:val="single" w:sz="4" w:space="0" w:color="000000"/>
            </w:tcBorders>
          </w:tcPr>
          <w:p w14:paraId="0F7E7C28" w14:textId="77777777" w:rsidR="005477D4" w:rsidRPr="00136B35" w:rsidRDefault="005477D4" w:rsidP="005010FD">
            <w:pPr>
              <w:widowControl w:val="0"/>
              <w:snapToGrid w:val="0"/>
              <w:ind w:left="567"/>
              <w:jc w:val="both"/>
              <w:rPr>
                <w:szCs w:val="22"/>
              </w:rPr>
            </w:pPr>
            <w:r w:rsidRPr="00136B35">
              <w:rPr>
                <w:i/>
                <w:szCs w:val="22"/>
              </w:rPr>
              <w:t>Rate Ratio</w:t>
            </w:r>
            <w:r w:rsidRPr="00136B35">
              <w:rPr>
                <w:szCs w:val="22"/>
              </w:rPr>
              <w:t xml:space="preserve"> (RR, rapporto tra i tassi)</w:t>
            </w:r>
          </w:p>
          <w:p w14:paraId="026DBD90" w14:textId="77777777" w:rsidR="005477D4" w:rsidRPr="00136B35" w:rsidRDefault="005477D4" w:rsidP="005010FD">
            <w:pPr>
              <w:widowControl w:val="0"/>
              <w:ind w:left="567"/>
              <w:jc w:val="both"/>
              <w:rPr>
                <w:szCs w:val="22"/>
              </w:rPr>
            </w:pPr>
            <w:r w:rsidRPr="00136B35">
              <w:rPr>
                <w:szCs w:val="22"/>
              </w:rPr>
              <w:t>(IC 95%)</w:t>
            </w:r>
          </w:p>
        </w:tc>
        <w:tc>
          <w:tcPr>
            <w:tcW w:w="994" w:type="dxa"/>
            <w:tcBorders>
              <w:top w:val="single" w:sz="4" w:space="0" w:color="000000"/>
              <w:left w:val="single" w:sz="4" w:space="0" w:color="000000"/>
              <w:bottom w:val="single" w:sz="4" w:space="0" w:color="000000"/>
            </w:tcBorders>
          </w:tcPr>
          <w:p w14:paraId="470DE52D" w14:textId="77777777" w:rsidR="005477D4" w:rsidRPr="00136B35" w:rsidRDefault="005477D4" w:rsidP="005010FD">
            <w:pPr>
              <w:widowControl w:val="0"/>
              <w:snapToGrid w:val="0"/>
              <w:jc w:val="both"/>
              <w:rPr>
                <w:szCs w:val="22"/>
              </w:rPr>
            </w:pPr>
          </w:p>
        </w:tc>
        <w:tc>
          <w:tcPr>
            <w:tcW w:w="1555" w:type="dxa"/>
            <w:tcBorders>
              <w:top w:val="single" w:sz="4" w:space="0" w:color="000000"/>
              <w:left w:val="single" w:sz="4" w:space="0" w:color="000000"/>
              <w:bottom w:val="single" w:sz="4" w:space="0" w:color="000000"/>
            </w:tcBorders>
          </w:tcPr>
          <w:p w14:paraId="7B1DBB19" w14:textId="77777777" w:rsidR="005477D4" w:rsidRPr="00136B35" w:rsidRDefault="005477D4" w:rsidP="005010FD">
            <w:pPr>
              <w:widowControl w:val="0"/>
              <w:snapToGrid w:val="0"/>
              <w:jc w:val="both"/>
              <w:rPr>
                <w:szCs w:val="22"/>
              </w:rPr>
            </w:pPr>
            <w:r w:rsidRPr="00136B35">
              <w:rPr>
                <w:szCs w:val="22"/>
              </w:rPr>
              <w:t>0,47</w:t>
            </w:r>
          </w:p>
          <w:p w14:paraId="3E9FB76D" w14:textId="77777777" w:rsidR="005477D4" w:rsidRPr="00136B35" w:rsidRDefault="005477D4" w:rsidP="005010FD">
            <w:pPr>
              <w:widowControl w:val="0"/>
              <w:jc w:val="both"/>
              <w:rPr>
                <w:szCs w:val="22"/>
              </w:rPr>
            </w:pPr>
            <w:r w:rsidRPr="00136B35">
              <w:rPr>
                <w:szCs w:val="22"/>
              </w:rPr>
              <w:t>(0,37; 0,61)</w:t>
            </w:r>
          </w:p>
        </w:tc>
        <w:tc>
          <w:tcPr>
            <w:tcW w:w="997" w:type="dxa"/>
            <w:tcBorders>
              <w:top w:val="single" w:sz="4" w:space="0" w:color="000000"/>
              <w:left w:val="single" w:sz="4" w:space="0" w:color="000000"/>
              <w:bottom w:val="single" w:sz="4" w:space="0" w:color="000000"/>
            </w:tcBorders>
          </w:tcPr>
          <w:p w14:paraId="104CA87E" w14:textId="77777777" w:rsidR="005477D4" w:rsidRPr="00136B35" w:rsidRDefault="005477D4" w:rsidP="005010FD">
            <w:pPr>
              <w:widowControl w:val="0"/>
              <w:snapToGrid w:val="0"/>
              <w:jc w:val="both"/>
              <w:rPr>
                <w:szCs w:val="22"/>
              </w:rPr>
            </w:pPr>
          </w:p>
        </w:tc>
        <w:tc>
          <w:tcPr>
            <w:tcW w:w="1559" w:type="dxa"/>
            <w:tcBorders>
              <w:top w:val="single" w:sz="4" w:space="0" w:color="000000"/>
              <w:left w:val="single" w:sz="4" w:space="0" w:color="000000"/>
              <w:bottom w:val="single" w:sz="4" w:space="0" w:color="000000"/>
            </w:tcBorders>
          </w:tcPr>
          <w:p w14:paraId="67E89FB8" w14:textId="77777777" w:rsidR="005477D4" w:rsidRPr="00136B35" w:rsidRDefault="005477D4" w:rsidP="005010FD">
            <w:pPr>
              <w:widowControl w:val="0"/>
              <w:snapToGrid w:val="0"/>
              <w:jc w:val="both"/>
              <w:rPr>
                <w:szCs w:val="22"/>
              </w:rPr>
            </w:pPr>
            <w:r w:rsidRPr="00136B35">
              <w:rPr>
                <w:szCs w:val="22"/>
              </w:rPr>
              <w:t>0,56</w:t>
            </w:r>
          </w:p>
          <w:p w14:paraId="62444DA7" w14:textId="77777777" w:rsidR="005477D4" w:rsidRPr="00136B35" w:rsidRDefault="005477D4" w:rsidP="005010FD">
            <w:pPr>
              <w:widowControl w:val="0"/>
              <w:jc w:val="both"/>
              <w:rPr>
                <w:szCs w:val="22"/>
              </w:rPr>
            </w:pPr>
            <w:r w:rsidRPr="00136B35">
              <w:rPr>
                <w:szCs w:val="22"/>
              </w:rPr>
              <w:t>(0,42; 0,74)</w:t>
            </w:r>
          </w:p>
        </w:tc>
        <w:tc>
          <w:tcPr>
            <w:tcW w:w="1340" w:type="dxa"/>
            <w:tcBorders>
              <w:top w:val="single" w:sz="4" w:space="0" w:color="000000"/>
              <w:left w:val="single" w:sz="4" w:space="0" w:color="000000"/>
              <w:bottom w:val="single" w:sz="4" w:space="0" w:color="000000"/>
              <w:right w:val="single" w:sz="4" w:space="0" w:color="000000"/>
            </w:tcBorders>
          </w:tcPr>
          <w:p w14:paraId="7163EA83" w14:textId="77777777" w:rsidR="005477D4" w:rsidRPr="00136B35" w:rsidRDefault="005477D4" w:rsidP="005010FD">
            <w:pPr>
              <w:widowControl w:val="0"/>
              <w:snapToGrid w:val="0"/>
              <w:jc w:val="both"/>
              <w:rPr>
                <w:szCs w:val="22"/>
              </w:rPr>
            </w:pPr>
            <w:r w:rsidRPr="00136B35">
              <w:rPr>
                <w:szCs w:val="22"/>
              </w:rPr>
              <w:t>0,71</w:t>
            </w:r>
          </w:p>
          <w:p w14:paraId="2128A48B" w14:textId="77777777" w:rsidR="005477D4" w:rsidRPr="00136B35" w:rsidRDefault="005477D4" w:rsidP="005010FD">
            <w:pPr>
              <w:widowControl w:val="0"/>
              <w:jc w:val="both"/>
              <w:rPr>
                <w:szCs w:val="22"/>
              </w:rPr>
            </w:pPr>
            <w:r w:rsidRPr="00136B35">
              <w:rPr>
                <w:szCs w:val="22"/>
              </w:rPr>
              <w:t>(0,55; 0,93)</w:t>
            </w:r>
          </w:p>
        </w:tc>
      </w:tr>
      <w:tr w:rsidR="005477D4" w:rsidRPr="00136B35" w14:paraId="5810B5FE" w14:textId="77777777" w:rsidTr="009F1691">
        <w:trPr>
          <w:cantSplit/>
        </w:trPr>
        <w:tc>
          <w:tcPr>
            <w:tcW w:w="2550" w:type="dxa"/>
            <w:tcBorders>
              <w:top w:val="single" w:sz="4" w:space="0" w:color="000000"/>
              <w:left w:val="single" w:sz="4" w:space="0" w:color="000000"/>
              <w:bottom w:val="single" w:sz="4" w:space="0" w:color="000000"/>
            </w:tcBorders>
          </w:tcPr>
          <w:p w14:paraId="59E20909" w14:textId="77777777" w:rsidR="005477D4" w:rsidRPr="00136B35" w:rsidRDefault="005477D4" w:rsidP="005010FD">
            <w:pPr>
              <w:widowControl w:val="0"/>
              <w:snapToGrid w:val="0"/>
              <w:jc w:val="both"/>
              <w:rPr>
                <w:szCs w:val="22"/>
              </w:rPr>
            </w:pPr>
            <w:r w:rsidRPr="00136B35">
              <w:rPr>
                <w:szCs w:val="22"/>
              </w:rPr>
              <w:t xml:space="preserve">Proporzione di pazienti con ricaduta </w:t>
            </w:r>
          </w:p>
        </w:tc>
        <w:tc>
          <w:tcPr>
            <w:tcW w:w="994" w:type="dxa"/>
            <w:tcBorders>
              <w:top w:val="single" w:sz="4" w:space="0" w:color="000000"/>
              <w:left w:val="single" w:sz="4" w:space="0" w:color="000000"/>
              <w:bottom w:val="single" w:sz="4" w:space="0" w:color="000000"/>
            </w:tcBorders>
          </w:tcPr>
          <w:p w14:paraId="4F81927C" w14:textId="77777777" w:rsidR="005477D4" w:rsidRPr="00136B35" w:rsidRDefault="005477D4" w:rsidP="005010FD">
            <w:pPr>
              <w:widowControl w:val="0"/>
              <w:snapToGrid w:val="0"/>
              <w:jc w:val="both"/>
              <w:rPr>
                <w:szCs w:val="22"/>
              </w:rPr>
            </w:pPr>
            <w:r w:rsidRPr="00136B35">
              <w:rPr>
                <w:szCs w:val="22"/>
              </w:rPr>
              <w:t>0,461</w:t>
            </w:r>
          </w:p>
        </w:tc>
        <w:tc>
          <w:tcPr>
            <w:tcW w:w="1555" w:type="dxa"/>
            <w:tcBorders>
              <w:top w:val="single" w:sz="4" w:space="0" w:color="000000"/>
              <w:left w:val="single" w:sz="4" w:space="0" w:color="000000"/>
              <w:bottom w:val="single" w:sz="4" w:space="0" w:color="000000"/>
            </w:tcBorders>
          </w:tcPr>
          <w:p w14:paraId="38DD6E52" w14:textId="77777777" w:rsidR="005477D4" w:rsidRPr="00136B35" w:rsidRDefault="005477D4" w:rsidP="005010FD">
            <w:pPr>
              <w:widowControl w:val="0"/>
              <w:snapToGrid w:val="0"/>
              <w:jc w:val="both"/>
              <w:rPr>
                <w:szCs w:val="22"/>
              </w:rPr>
            </w:pPr>
            <w:r w:rsidRPr="00136B35">
              <w:rPr>
                <w:szCs w:val="22"/>
              </w:rPr>
              <w:t>0,270***</w:t>
            </w:r>
          </w:p>
        </w:tc>
        <w:tc>
          <w:tcPr>
            <w:tcW w:w="997" w:type="dxa"/>
            <w:tcBorders>
              <w:top w:val="single" w:sz="4" w:space="0" w:color="000000"/>
              <w:left w:val="single" w:sz="4" w:space="0" w:color="000000"/>
              <w:bottom w:val="single" w:sz="4" w:space="0" w:color="000000"/>
            </w:tcBorders>
          </w:tcPr>
          <w:p w14:paraId="21DE2060" w14:textId="77777777" w:rsidR="005477D4" w:rsidRPr="00136B35" w:rsidRDefault="005477D4" w:rsidP="005010FD">
            <w:pPr>
              <w:widowControl w:val="0"/>
              <w:snapToGrid w:val="0"/>
              <w:jc w:val="both"/>
              <w:rPr>
                <w:szCs w:val="22"/>
              </w:rPr>
            </w:pPr>
            <w:r w:rsidRPr="00136B35">
              <w:rPr>
                <w:szCs w:val="22"/>
              </w:rPr>
              <w:t>0,410</w:t>
            </w:r>
          </w:p>
        </w:tc>
        <w:tc>
          <w:tcPr>
            <w:tcW w:w="1559" w:type="dxa"/>
            <w:tcBorders>
              <w:top w:val="single" w:sz="4" w:space="0" w:color="000000"/>
              <w:left w:val="single" w:sz="4" w:space="0" w:color="000000"/>
              <w:bottom w:val="single" w:sz="4" w:space="0" w:color="000000"/>
            </w:tcBorders>
          </w:tcPr>
          <w:p w14:paraId="618CBB85" w14:textId="77777777" w:rsidR="005477D4" w:rsidRPr="00136B35" w:rsidRDefault="005477D4" w:rsidP="005010FD">
            <w:pPr>
              <w:widowControl w:val="0"/>
              <w:snapToGrid w:val="0"/>
              <w:jc w:val="both"/>
              <w:rPr>
                <w:szCs w:val="22"/>
              </w:rPr>
            </w:pPr>
            <w:r w:rsidRPr="00136B35">
              <w:rPr>
                <w:szCs w:val="22"/>
              </w:rPr>
              <w:t>0,291**</w:t>
            </w:r>
          </w:p>
        </w:tc>
        <w:tc>
          <w:tcPr>
            <w:tcW w:w="1340" w:type="dxa"/>
            <w:tcBorders>
              <w:top w:val="single" w:sz="4" w:space="0" w:color="000000"/>
              <w:left w:val="single" w:sz="4" w:space="0" w:color="000000"/>
              <w:bottom w:val="single" w:sz="4" w:space="0" w:color="000000"/>
              <w:right w:val="single" w:sz="4" w:space="0" w:color="000000"/>
            </w:tcBorders>
          </w:tcPr>
          <w:p w14:paraId="6F02C371" w14:textId="77777777" w:rsidR="005477D4" w:rsidRPr="00136B35" w:rsidRDefault="005477D4" w:rsidP="005010FD">
            <w:pPr>
              <w:widowControl w:val="0"/>
              <w:snapToGrid w:val="0"/>
              <w:jc w:val="both"/>
              <w:rPr>
                <w:szCs w:val="22"/>
              </w:rPr>
            </w:pPr>
            <w:r w:rsidRPr="00136B35">
              <w:rPr>
                <w:szCs w:val="22"/>
              </w:rPr>
              <w:t>0,321**</w:t>
            </w:r>
          </w:p>
        </w:tc>
      </w:tr>
      <w:tr w:rsidR="005477D4" w:rsidRPr="00136B35" w14:paraId="454F121D" w14:textId="77777777" w:rsidTr="009F1691">
        <w:trPr>
          <w:cantSplit/>
        </w:trPr>
        <w:tc>
          <w:tcPr>
            <w:tcW w:w="2550" w:type="dxa"/>
            <w:tcBorders>
              <w:top w:val="single" w:sz="4" w:space="0" w:color="000000"/>
              <w:left w:val="single" w:sz="4" w:space="0" w:color="000000"/>
              <w:bottom w:val="single" w:sz="4" w:space="0" w:color="000000"/>
            </w:tcBorders>
          </w:tcPr>
          <w:p w14:paraId="1422B980" w14:textId="77777777" w:rsidR="005477D4" w:rsidRPr="00136B35" w:rsidRDefault="005477D4" w:rsidP="005010FD">
            <w:pPr>
              <w:widowControl w:val="0"/>
              <w:snapToGrid w:val="0"/>
              <w:ind w:left="567"/>
              <w:jc w:val="both"/>
              <w:rPr>
                <w:szCs w:val="22"/>
              </w:rPr>
            </w:pPr>
            <w:r w:rsidRPr="00136B35">
              <w:rPr>
                <w:i/>
                <w:szCs w:val="22"/>
              </w:rPr>
              <w:t>Hazard Ratio</w:t>
            </w:r>
            <w:r w:rsidRPr="00136B35">
              <w:rPr>
                <w:szCs w:val="22"/>
              </w:rPr>
              <w:t xml:space="preserve"> (HR, rapporto tra i rischi)</w:t>
            </w:r>
          </w:p>
          <w:p w14:paraId="13333061" w14:textId="77777777" w:rsidR="005477D4" w:rsidRPr="00136B35" w:rsidRDefault="005477D4" w:rsidP="005010FD">
            <w:pPr>
              <w:widowControl w:val="0"/>
              <w:ind w:left="567"/>
              <w:jc w:val="both"/>
              <w:rPr>
                <w:szCs w:val="22"/>
              </w:rPr>
            </w:pPr>
            <w:r w:rsidRPr="00136B35">
              <w:rPr>
                <w:szCs w:val="22"/>
              </w:rPr>
              <w:t>(IC 95%)</w:t>
            </w:r>
          </w:p>
        </w:tc>
        <w:tc>
          <w:tcPr>
            <w:tcW w:w="994" w:type="dxa"/>
            <w:tcBorders>
              <w:top w:val="single" w:sz="4" w:space="0" w:color="000000"/>
              <w:left w:val="single" w:sz="4" w:space="0" w:color="000000"/>
              <w:bottom w:val="single" w:sz="4" w:space="0" w:color="000000"/>
            </w:tcBorders>
          </w:tcPr>
          <w:p w14:paraId="2DD3BAA7" w14:textId="77777777" w:rsidR="005477D4" w:rsidRPr="00136B35" w:rsidRDefault="005477D4" w:rsidP="005010FD">
            <w:pPr>
              <w:widowControl w:val="0"/>
              <w:snapToGrid w:val="0"/>
              <w:jc w:val="both"/>
              <w:rPr>
                <w:szCs w:val="22"/>
              </w:rPr>
            </w:pPr>
          </w:p>
        </w:tc>
        <w:tc>
          <w:tcPr>
            <w:tcW w:w="1555" w:type="dxa"/>
            <w:tcBorders>
              <w:top w:val="single" w:sz="4" w:space="0" w:color="000000"/>
              <w:left w:val="single" w:sz="4" w:space="0" w:color="000000"/>
              <w:bottom w:val="single" w:sz="4" w:space="0" w:color="000000"/>
            </w:tcBorders>
          </w:tcPr>
          <w:p w14:paraId="2EAC6219" w14:textId="77777777" w:rsidR="005477D4" w:rsidRPr="00136B35" w:rsidRDefault="005477D4" w:rsidP="005010FD">
            <w:pPr>
              <w:widowControl w:val="0"/>
              <w:snapToGrid w:val="0"/>
              <w:jc w:val="both"/>
              <w:rPr>
                <w:szCs w:val="22"/>
              </w:rPr>
            </w:pPr>
            <w:r w:rsidRPr="00136B35">
              <w:rPr>
                <w:szCs w:val="22"/>
              </w:rPr>
              <w:t>0,51</w:t>
            </w:r>
          </w:p>
          <w:p w14:paraId="263C3339" w14:textId="77777777" w:rsidR="005477D4" w:rsidRPr="00136B35" w:rsidRDefault="005477D4" w:rsidP="005010FD">
            <w:pPr>
              <w:widowControl w:val="0"/>
              <w:jc w:val="both"/>
              <w:rPr>
                <w:szCs w:val="22"/>
              </w:rPr>
            </w:pPr>
            <w:r w:rsidRPr="00136B35">
              <w:rPr>
                <w:szCs w:val="22"/>
              </w:rPr>
              <w:t>(0,40; 0,66)</w:t>
            </w:r>
          </w:p>
        </w:tc>
        <w:tc>
          <w:tcPr>
            <w:tcW w:w="997" w:type="dxa"/>
            <w:tcBorders>
              <w:top w:val="single" w:sz="4" w:space="0" w:color="000000"/>
              <w:left w:val="single" w:sz="4" w:space="0" w:color="000000"/>
              <w:bottom w:val="single" w:sz="4" w:space="0" w:color="000000"/>
            </w:tcBorders>
          </w:tcPr>
          <w:p w14:paraId="6E85D8E3" w14:textId="77777777" w:rsidR="005477D4" w:rsidRPr="00136B35" w:rsidRDefault="005477D4" w:rsidP="005010FD">
            <w:pPr>
              <w:widowControl w:val="0"/>
              <w:snapToGrid w:val="0"/>
              <w:jc w:val="both"/>
              <w:rPr>
                <w:szCs w:val="22"/>
              </w:rPr>
            </w:pPr>
          </w:p>
        </w:tc>
        <w:tc>
          <w:tcPr>
            <w:tcW w:w="1559" w:type="dxa"/>
            <w:tcBorders>
              <w:top w:val="single" w:sz="4" w:space="0" w:color="000000"/>
              <w:left w:val="single" w:sz="4" w:space="0" w:color="000000"/>
              <w:bottom w:val="single" w:sz="4" w:space="0" w:color="000000"/>
            </w:tcBorders>
          </w:tcPr>
          <w:p w14:paraId="1FDE6BBC" w14:textId="77777777" w:rsidR="005477D4" w:rsidRPr="00136B35" w:rsidRDefault="005477D4" w:rsidP="005010FD">
            <w:pPr>
              <w:widowControl w:val="0"/>
              <w:snapToGrid w:val="0"/>
              <w:jc w:val="both"/>
              <w:rPr>
                <w:szCs w:val="22"/>
              </w:rPr>
            </w:pPr>
            <w:r w:rsidRPr="00136B35">
              <w:rPr>
                <w:szCs w:val="22"/>
              </w:rPr>
              <w:t>0,66</w:t>
            </w:r>
          </w:p>
          <w:p w14:paraId="32D7DB19" w14:textId="77777777" w:rsidR="005477D4" w:rsidRPr="00136B35" w:rsidRDefault="005477D4" w:rsidP="005010FD">
            <w:pPr>
              <w:widowControl w:val="0"/>
              <w:jc w:val="both"/>
              <w:rPr>
                <w:szCs w:val="22"/>
              </w:rPr>
            </w:pPr>
            <w:r w:rsidRPr="00136B35">
              <w:rPr>
                <w:szCs w:val="22"/>
              </w:rPr>
              <w:t>(0,51; 0,86)</w:t>
            </w:r>
          </w:p>
        </w:tc>
        <w:tc>
          <w:tcPr>
            <w:tcW w:w="1340" w:type="dxa"/>
            <w:tcBorders>
              <w:top w:val="single" w:sz="4" w:space="0" w:color="000000"/>
              <w:left w:val="single" w:sz="4" w:space="0" w:color="000000"/>
              <w:bottom w:val="single" w:sz="4" w:space="0" w:color="000000"/>
              <w:right w:val="single" w:sz="4" w:space="0" w:color="000000"/>
            </w:tcBorders>
          </w:tcPr>
          <w:p w14:paraId="1DFD12B8" w14:textId="77777777" w:rsidR="005477D4" w:rsidRPr="00136B35" w:rsidRDefault="005477D4" w:rsidP="005010FD">
            <w:pPr>
              <w:widowControl w:val="0"/>
              <w:snapToGrid w:val="0"/>
              <w:spacing w:line="276" w:lineRule="auto"/>
              <w:jc w:val="both"/>
              <w:rPr>
                <w:szCs w:val="22"/>
              </w:rPr>
            </w:pPr>
            <w:r w:rsidRPr="00136B35">
              <w:rPr>
                <w:szCs w:val="22"/>
              </w:rPr>
              <w:t>0,71</w:t>
            </w:r>
          </w:p>
          <w:p w14:paraId="10C3DF02" w14:textId="77777777" w:rsidR="005477D4" w:rsidRPr="00136B35" w:rsidRDefault="005477D4" w:rsidP="005010FD">
            <w:pPr>
              <w:widowControl w:val="0"/>
              <w:jc w:val="both"/>
              <w:rPr>
                <w:szCs w:val="22"/>
              </w:rPr>
            </w:pPr>
            <w:r w:rsidRPr="00136B35">
              <w:rPr>
                <w:szCs w:val="22"/>
              </w:rPr>
              <w:t>(0,55; 0,92)</w:t>
            </w:r>
          </w:p>
        </w:tc>
      </w:tr>
      <w:tr w:rsidR="005477D4" w:rsidRPr="00136B35" w14:paraId="3297E85F" w14:textId="77777777" w:rsidTr="009F1691">
        <w:trPr>
          <w:cantSplit/>
        </w:trPr>
        <w:tc>
          <w:tcPr>
            <w:tcW w:w="2550" w:type="dxa"/>
            <w:tcBorders>
              <w:top w:val="single" w:sz="4" w:space="0" w:color="000000"/>
              <w:left w:val="single" w:sz="4" w:space="0" w:color="000000"/>
              <w:bottom w:val="single" w:sz="4" w:space="0" w:color="000000"/>
            </w:tcBorders>
          </w:tcPr>
          <w:p w14:paraId="0576B9D5" w14:textId="77777777" w:rsidR="005477D4" w:rsidRPr="00136B35" w:rsidRDefault="005477D4" w:rsidP="005010FD">
            <w:pPr>
              <w:keepNext/>
              <w:widowControl w:val="0"/>
              <w:snapToGrid w:val="0"/>
              <w:jc w:val="both"/>
              <w:rPr>
                <w:szCs w:val="22"/>
              </w:rPr>
            </w:pPr>
            <w:r w:rsidRPr="00136B35">
              <w:rPr>
                <w:szCs w:val="22"/>
              </w:rPr>
              <w:lastRenderedPageBreak/>
              <w:t>Proporzione con progressione della disabilità confermata dopo 12 settimane</w:t>
            </w:r>
          </w:p>
        </w:tc>
        <w:tc>
          <w:tcPr>
            <w:tcW w:w="994" w:type="dxa"/>
            <w:tcBorders>
              <w:top w:val="single" w:sz="4" w:space="0" w:color="000000"/>
              <w:left w:val="single" w:sz="4" w:space="0" w:color="000000"/>
              <w:bottom w:val="single" w:sz="4" w:space="0" w:color="000000"/>
            </w:tcBorders>
          </w:tcPr>
          <w:p w14:paraId="36C3C4F2" w14:textId="77777777" w:rsidR="005477D4" w:rsidRPr="00136B35" w:rsidRDefault="005477D4" w:rsidP="005010FD">
            <w:pPr>
              <w:keepNext/>
              <w:widowControl w:val="0"/>
              <w:snapToGrid w:val="0"/>
              <w:jc w:val="both"/>
              <w:rPr>
                <w:szCs w:val="22"/>
              </w:rPr>
            </w:pPr>
            <w:r w:rsidRPr="00136B35">
              <w:rPr>
                <w:szCs w:val="22"/>
              </w:rPr>
              <w:t>0,271</w:t>
            </w:r>
          </w:p>
        </w:tc>
        <w:tc>
          <w:tcPr>
            <w:tcW w:w="1555" w:type="dxa"/>
            <w:tcBorders>
              <w:top w:val="single" w:sz="4" w:space="0" w:color="000000"/>
              <w:left w:val="single" w:sz="4" w:space="0" w:color="000000"/>
              <w:bottom w:val="single" w:sz="4" w:space="0" w:color="000000"/>
            </w:tcBorders>
          </w:tcPr>
          <w:p w14:paraId="0F6743F8" w14:textId="77777777" w:rsidR="005477D4" w:rsidRPr="00136B35" w:rsidRDefault="005477D4" w:rsidP="005010FD">
            <w:pPr>
              <w:keepNext/>
              <w:widowControl w:val="0"/>
              <w:snapToGrid w:val="0"/>
              <w:jc w:val="both"/>
              <w:rPr>
                <w:szCs w:val="22"/>
              </w:rPr>
            </w:pPr>
            <w:r w:rsidRPr="00136B35">
              <w:rPr>
                <w:szCs w:val="22"/>
              </w:rPr>
              <w:t>0,164**</w:t>
            </w:r>
          </w:p>
        </w:tc>
        <w:tc>
          <w:tcPr>
            <w:tcW w:w="997" w:type="dxa"/>
            <w:tcBorders>
              <w:top w:val="single" w:sz="4" w:space="0" w:color="000000"/>
              <w:left w:val="single" w:sz="4" w:space="0" w:color="000000"/>
              <w:bottom w:val="single" w:sz="4" w:space="0" w:color="000000"/>
            </w:tcBorders>
          </w:tcPr>
          <w:p w14:paraId="07A74296" w14:textId="77777777" w:rsidR="005477D4" w:rsidRPr="00136B35" w:rsidRDefault="005477D4" w:rsidP="005010FD">
            <w:pPr>
              <w:keepNext/>
              <w:widowControl w:val="0"/>
              <w:snapToGrid w:val="0"/>
              <w:jc w:val="both"/>
              <w:rPr>
                <w:szCs w:val="22"/>
              </w:rPr>
            </w:pPr>
            <w:r w:rsidRPr="00136B35">
              <w:rPr>
                <w:szCs w:val="22"/>
              </w:rPr>
              <w:t>0,169</w:t>
            </w:r>
          </w:p>
        </w:tc>
        <w:tc>
          <w:tcPr>
            <w:tcW w:w="1559" w:type="dxa"/>
            <w:tcBorders>
              <w:top w:val="single" w:sz="4" w:space="0" w:color="000000"/>
              <w:left w:val="single" w:sz="4" w:space="0" w:color="000000"/>
              <w:bottom w:val="single" w:sz="4" w:space="0" w:color="000000"/>
            </w:tcBorders>
          </w:tcPr>
          <w:p w14:paraId="36B21E87" w14:textId="77777777" w:rsidR="005477D4" w:rsidRPr="00136B35" w:rsidRDefault="005477D4" w:rsidP="005010FD">
            <w:pPr>
              <w:keepNext/>
              <w:widowControl w:val="0"/>
              <w:snapToGrid w:val="0"/>
              <w:jc w:val="both"/>
              <w:rPr>
                <w:szCs w:val="22"/>
                <w:vertAlign w:val="superscript"/>
              </w:rPr>
            </w:pPr>
            <w:r w:rsidRPr="00136B35">
              <w:rPr>
                <w:szCs w:val="22"/>
              </w:rPr>
              <w:t>0,128</w:t>
            </w:r>
            <w:r w:rsidRPr="00136B35">
              <w:rPr>
                <w:szCs w:val="22"/>
                <w:vertAlign w:val="superscript"/>
              </w:rPr>
              <w:t>#</w:t>
            </w:r>
          </w:p>
        </w:tc>
        <w:tc>
          <w:tcPr>
            <w:tcW w:w="1340" w:type="dxa"/>
            <w:tcBorders>
              <w:top w:val="single" w:sz="4" w:space="0" w:color="000000"/>
              <w:left w:val="single" w:sz="4" w:space="0" w:color="000000"/>
              <w:bottom w:val="single" w:sz="4" w:space="0" w:color="000000"/>
              <w:right w:val="single" w:sz="4" w:space="0" w:color="000000"/>
            </w:tcBorders>
          </w:tcPr>
          <w:p w14:paraId="6A49F70F" w14:textId="77777777" w:rsidR="005477D4" w:rsidRPr="00136B35" w:rsidRDefault="005477D4" w:rsidP="005010FD">
            <w:pPr>
              <w:keepNext/>
              <w:widowControl w:val="0"/>
              <w:snapToGrid w:val="0"/>
              <w:jc w:val="both"/>
              <w:rPr>
                <w:szCs w:val="22"/>
                <w:vertAlign w:val="superscript"/>
              </w:rPr>
            </w:pPr>
            <w:r w:rsidRPr="00136B35">
              <w:rPr>
                <w:szCs w:val="22"/>
              </w:rPr>
              <w:t>0,156</w:t>
            </w:r>
            <w:r w:rsidRPr="00136B35">
              <w:rPr>
                <w:szCs w:val="22"/>
                <w:vertAlign w:val="superscript"/>
              </w:rPr>
              <w:t>#</w:t>
            </w:r>
          </w:p>
        </w:tc>
      </w:tr>
      <w:tr w:rsidR="005477D4" w:rsidRPr="00136B35" w14:paraId="5497EAF7" w14:textId="77777777" w:rsidTr="009F1691">
        <w:trPr>
          <w:cantSplit/>
        </w:trPr>
        <w:tc>
          <w:tcPr>
            <w:tcW w:w="2550" w:type="dxa"/>
            <w:tcBorders>
              <w:top w:val="single" w:sz="4" w:space="0" w:color="000000"/>
              <w:left w:val="single" w:sz="4" w:space="0" w:color="000000"/>
              <w:bottom w:val="single" w:sz="4" w:space="0" w:color="000000"/>
            </w:tcBorders>
          </w:tcPr>
          <w:p w14:paraId="08BA49E6" w14:textId="77777777" w:rsidR="005477D4" w:rsidRPr="00136B35" w:rsidRDefault="005477D4" w:rsidP="005010FD">
            <w:pPr>
              <w:widowControl w:val="0"/>
              <w:snapToGrid w:val="0"/>
              <w:ind w:left="567"/>
              <w:jc w:val="both"/>
              <w:rPr>
                <w:i/>
                <w:szCs w:val="22"/>
              </w:rPr>
            </w:pPr>
            <w:r w:rsidRPr="00136B35">
              <w:rPr>
                <w:i/>
                <w:szCs w:val="22"/>
              </w:rPr>
              <w:t>Hazard Ratio</w:t>
            </w:r>
          </w:p>
          <w:p w14:paraId="6DB1B7AC" w14:textId="77777777" w:rsidR="005477D4" w:rsidRPr="00136B35" w:rsidRDefault="005477D4" w:rsidP="005010FD">
            <w:pPr>
              <w:widowControl w:val="0"/>
              <w:ind w:left="567"/>
              <w:jc w:val="both"/>
              <w:rPr>
                <w:szCs w:val="22"/>
              </w:rPr>
            </w:pPr>
            <w:r w:rsidRPr="00136B35">
              <w:rPr>
                <w:szCs w:val="22"/>
              </w:rPr>
              <w:t>(IC 95%)</w:t>
            </w:r>
          </w:p>
        </w:tc>
        <w:tc>
          <w:tcPr>
            <w:tcW w:w="994" w:type="dxa"/>
            <w:tcBorders>
              <w:top w:val="single" w:sz="4" w:space="0" w:color="000000"/>
              <w:left w:val="single" w:sz="4" w:space="0" w:color="000000"/>
              <w:bottom w:val="single" w:sz="4" w:space="0" w:color="000000"/>
            </w:tcBorders>
          </w:tcPr>
          <w:p w14:paraId="55E02763" w14:textId="77777777" w:rsidR="005477D4" w:rsidRPr="00136B35" w:rsidRDefault="005477D4" w:rsidP="005010FD">
            <w:pPr>
              <w:widowControl w:val="0"/>
              <w:snapToGrid w:val="0"/>
              <w:jc w:val="both"/>
              <w:rPr>
                <w:szCs w:val="22"/>
              </w:rPr>
            </w:pPr>
          </w:p>
        </w:tc>
        <w:tc>
          <w:tcPr>
            <w:tcW w:w="1555" w:type="dxa"/>
            <w:tcBorders>
              <w:top w:val="single" w:sz="4" w:space="0" w:color="000000"/>
              <w:left w:val="single" w:sz="4" w:space="0" w:color="000000"/>
              <w:bottom w:val="single" w:sz="4" w:space="0" w:color="000000"/>
            </w:tcBorders>
          </w:tcPr>
          <w:p w14:paraId="1353DC01" w14:textId="77777777" w:rsidR="005477D4" w:rsidRPr="00136B35" w:rsidRDefault="005477D4" w:rsidP="005010FD">
            <w:pPr>
              <w:widowControl w:val="0"/>
              <w:snapToGrid w:val="0"/>
              <w:jc w:val="both"/>
              <w:rPr>
                <w:szCs w:val="22"/>
              </w:rPr>
            </w:pPr>
            <w:r w:rsidRPr="00136B35">
              <w:rPr>
                <w:szCs w:val="22"/>
              </w:rPr>
              <w:t>0,62</w:t>
            </w:r>
          </w:p>
          <w:p w14:paraId="132BE071" w14:textId="77777777" w:rsidR="005477D4" w:rsidRPr="00136B35" w:rsidRDefault="005477D4" w:rsidP="005010FD">
            <w:pPr>
              <w:widowControl w:val="0"/>
              <w:jc w:val="both"/>
              <w:rPr>
                <w:szCs w:val="22"/>
              </w:rPr>
            </w:pPr>
            <w:r w:rsidRPr="00136B35">
              <w:rPr>
                <w:szCs w:val="22"/>
              </w:rPr>
              <w:t>(0,44; 0,87)</w:t>
            </w:r>
          </w:p>
        </w:tc>
        <w:tc>
          <w:tcPr>
            <w:tcW w:w="997" w:type="dxa"/>
            <w:tcBorders>
              <w:top w:val="single" w:sz="4" w:space="0" w:color="000000"/>
              <w:left w:val="single" w:sz="4" w:space="0" w:color="000000"/>
              <w:bottom w:val="single" w:sz="4" w:space="0" w:color="000000"/>
            </w:tcBorders>
          </w:tcPr>
          <w:p w14:paraId="154E0CDF" w14:textId="77777777" w:rsidR="005477D4" w:rsidRPr="00136B35" w:rsidRDefault="005477D4" w:rsidP="005010FD">
            <w:pPr>
              <w:widowControl w:val="0"/>
              <w:snapToGrid w:val="0"/>
              <w:jc w:val="both"/>
              <w:rPr>
                <w:szCs w:val="22"/>
              </w:rPr>
            </w:pPr>
          </w:p>
        </w:tc>
        <w:tc>
          <w:tcPr>
            <w:tcW w:w="1559" w:type="dxa"/>
            <w:tcBorders>
              <w:top w:val="single" w:sz="4" w:space="0" w:color="000000"/>
              <w:left w:val="single" w:sz="4" w:space="0" w:color="000000"/>
              <w:bottom w:val="single" w:sz="4" w:space="0" w:color="000000"/>
            </w:tcBorders>
          </w:tcPr>
          <w:p w14:paraId="6E5074DE" w14:textId="77777777" w:rsidR="005477D4" w:rsidRPr="00136B35" w:rsidRDefault="005477D4" w:rsidP="005010FD">
            <w:pPr>
              <w:widowControl w:val="0"/>
              <w:snapToGrid w:val="0"/>
              <w:jc w:val="both"/>
              <w:rPr>
                <w:szCs w:val="22"/>
              </w:rPr>
            </w:pPr>
            <w:r w:rsidRPr="00136B35">
              <w:rPr>
                <w:szCs w:val="22"/>
              </w:rPr>
              <w:t>0,79</w:t>
            </w:r>
          </w:p>
          <w:p w14:paraId="1FA048C9" w14:textId="77777777" w:rsidR="005477D4" w:rsidRPr="00136B35" w:rsidRDefault="005477D4" w:rsidP="005010FD">
            <w:pPr>
              <w:widowControl w:val="0"/>
              <w:jc w:val="both"/>
              <w:rPr>
                <w:szCs w:val="22"/>
              </w:rPr>
            </w:pPr>
            <w:r w:rsidRPr="00136B35">
              <w:rPr>
                <w:szCs w:val="22"/>
              </w:rPr>
              <w:t>(0,52; 1,19)</w:t>
            </w:r>
          </w:p>
        </w:tc>
        <w:tc>
          <w:tcPr>
            <w:tcW w:w="1340" w:type="dxa"/>
            <w:tcBorders>
              <w:top w:val="single" w:sz="4" w:space="0" w:color="000000"/>
              <w:left w:val="single" w:sz="4" w:space="0" w:color="000000"/>
              <w:bottom w:val="single" w:sz="4" w:space="0" w:color="000000"/>
              <w:right w:val="single" w:sz="4" w:space="0" w:color="000000"/>
            </w:tcBorders>
          </w:tcPr>
          <w:p w14:paraId="6314FC4B" w14:textId="77777777" w:rsidR="005477D4" w:rsidRPr="00136B35" w:rsidRDefault="005477D4" w:rsidP="005010FD">
            <w:pPr>
              <w:widowControl w:val="0"/>
              <w:snapToGrid w:val="0"/>
              <w:jc w:val="both"/>
              <w:rPr>
                <w:szCs w:val="22"/>
              </w:rPr>
            </w:pPr>
            <w:r w:rsidRPr="00136B35">
              <w:rPr>
                <w:szCs w:val="22"/>
              </w:rPr>
              <w:t>0,93</w:t>
            </w:r>
          </w:p>
          <w:p w14:paraId="371FA8B5" w14:textId="77777777" w:rsidR="005477D4" w:rsidRPr="00136B35" w:rsidRDefault="005477D4" w:rsidP="005010FD">
            <w:pPr>
              <w:widowControl w:val="0"/>
              <w:jc w:val="both"/>
              <w:rPr>
                <w:szCs w:val="22"/>
              </w:rPr>
            </w:pPr>
            <w:r w:rsidRPr="00136B35">
              <w:rPr>
                <w:szCs w:val="22"/>
              </w:rPr>
              <w:t>(0,63; 1,37)</w:t>
            </w:r>
          </w:p>
        </w:tc>
      </w:tr>
      <w:tr w:rsidR="005477D4" w:rsidRPr="00136B35" w14:paraId="1B3CEE14" w14:textId="77777777" w:rsidTr="009F1691">
        <w:trPr>
          <w:cantSplit/>
        </w:trPr>
        <w:tc>
          <w:tcPr>
            <w:tcW w:w="2550" w:type="dxa"/>
            <w:tcBorders>
              <w:top w:val="single" w:sz="4" w:space="0" w:color="000000"/>
              <w:left w:val="single" w:sz="4" w:space="0" w:color="000000"/>
              <w:bottom w:val="single" w:sz="4" w:space="0" w:color="000000"/>
            </w:tcBorders>
          </w:tcPr>
          <w:p w14:paraId="631DDCF2" w14:textId="77777777" w:rsidR="005477D4" w:rsidRPr="00136B35" w:rsidRDefault="005477D4" w:rsidP="005010FD">
            <w:pPr>
              <w:widowControl w:val="0"/>
              <w:snapToGrid w:val="0"/>
              <w:jc w:val="both"/>
              <w:rPr>
                <w:szCs w:val="22"/>
              </w:rPr>
            </w:pPr>
            <w:r w:rsidRPr="00136B35">
              <w:rPr>
                <w:szCs w:val="22"/>
              </w:rPr>
              <w:t>Proporzione con</w:t>
            </w:r>
          </w:p>
          <w:p w14:paraId="0BB21A3E" w14:textId="77777777" w:rsidR="005477D4" w:rsidRPr="00136B35" w:rsidRDefault="005477D4" w:rsidP="005010FD">
            <w:pPr>
              <w:widowControl w:val="0"/>
              <w:jc w:val="both"/>
              <w:rPr>
                <w:szCs w:val="22"/>
              </w:rPr>
            </w:pPr>
            <w:r w:rsidRPr="00136B35">
              <w:rPr>
                <w:szCs w:val="22"/>
              </w:rPr>
              <w:t>progressione della disabilità confermata dopo 24 settimane</w:t>
            </w:r>
          </w:p>
        </w:tc>
        <w:tc>
          <w:tcPr>
            <w:tcW w:w="994" w:type="dxa"/>
            <w:tcBorders>
              <w:top w:val="single" w:sz="4" w:space="0" w:color="000000"/>
              <w:left w:val="single" w:sz="4" w:space="0" w:color="000000"/>
              <w:bottom w:val="single" w:sz="4" w:space="0" w:color="000000"/>
            </w:tcBorders>
          </w:tcPr>
          <w:p w14:paraId="4AA56655" w14:textId="77777777" w:rsidR="005477D4" w:rsidRPr="00136B35" w:rsidRDefault="005477D4" w:rsidP="005010FD">
            <w:pPr>
              <w:widowControl w:val="0"/>
              <w:snapToGrid w:val="0"/>
              <w:jc w:val="both"/>
              <w:rPr>
                <w:szCs w:val="22"/>
              </w:rPr>
            </w:pPr>
            <w:r w:rsidRPr="00136B35">
              <w:rPr>
                <w:szCs w:val="22"/>
              </w:rPr>
              <w:t>0,169</w:t>
            </w:r>
          </w:p>
        </w:tc>
        <w:tc>
          <w:tcPr>
            <w:tcW w:w="1555" w:type="dxa"/>
            <w:tcBorders>
              <w:top w:val="single" w:sz="4" w:space="0" w:color="000000"/>
              <w:left w:val="single" w:sz="4" w:space="0" w:color="000000"/>
              <w:bottom w:val="single" w:sz="4" w:space="0" w:color="000000"/>
            </w:tcBorders>
          </w:tcPr>
          <w:p w14:paraId="4653B25B" w14:textId="77777777" w:rsidR="005477D4" w:rsidRPr="00136B35" w:rsidRDefault="005477D4" w:rsidP="005010FD">
            <w:pPr>
              <w:widowControl w:val="0"/>
              <w:snapToGrid w:val="0"/>
              <w:jc w:val="both"/>
              <w:rPr>
                <w:szCs w:val="22"/>
              </w:rPr>
            </w:pPr>
            <w:r w:rsidRPr="00136B35">
              <w:rPr>
                <w:szCs w:val="22"/>
              </w:rPr>
              <w:t>0,128#</w:t>
            </w:r>
          </w:p>
        </w:tc>
        <w:tc>
          <w:tcPr>
            <w:tcW w:w="997" w:type="dxa"/>
            <w:tcBorders>
              <w:top w:val="single" w:sz="4" w:space="0" w:color="000000"/>
              <w:left w:val="single" w:sz="4" w:space="0" w:color="000000"/>
              <w:bottom w:val="single" w:sz="4" w:space="0" w:color="000000"/>
            </w:tcBorders>
          </w:tcPr>
          <w:p w14:paraId="13EE20FB" w14:textId="77777777" w:rsidR="005477D4" w:rsidRPr="00136B35" w:rsidRDefault="005477D4" w:rsidP="005010FD">
            <w:pPr>
              <w:widowControl w:val="0"/>
              <w:snapToGrid w:val="0"/>
              <w:jc w:val="both"/>
              <w:rPr>
                <w:szCs w:val="22"/>
              </w:rPr>
            </w:pPr>
            <w:r w:rsidRPr="00136B35">
              <w:rPr>
                <w:szCs w:val="22"/>
              </w:rPr>
              <w:t>0,125</w:t>
            </w:r>
          </w:p>
        </w:tc>
        <w:tc>
          <w:tcPr>
            <w:tcW w:w="1559" w:type="dxa"/>
            <w:tcBorders>
              <w:top w:val="single" w:sz="4" w:space="0" w:color="000000"/>
              <w:left w:val="single" w:sz="4" w:space="0" w:color="000000"/>
              <w:bottom w:val="single" w:sz="4" w:space="0" w:color="000000"/>
            </w:tcBorders>
          </w:tcPr>
          <w:p w14:paraId="31740172" w14:textId="77777777" w:rsidR="005477D4" w:rsidRPr="00136B35" w:rsidRDefault="005477D4" w:rsidP="005010FD">
            <w:pPr>
              <w:widowControl w:val="0"/>
              <w:snapToGrid w:val="0"/>
              <w:jc w:val="both"/>
              <w:rPr>
                <w:szCs w:val="22"/>
              </w:rPr>
            </w:pPr>
            <w:r w:rsidRPr="00136B35">
              <w:rPr>
                <w:szCs w:val="22"/>
              </w:rPr>
              <w:t>0,078#</w:t>
            </w:r>
          </w:p>
        </w:tc>
        <w:tc>
          <w:tcPr>
            <w:tcW w:w="1340" w:type="dxa"/>
            <w:tcBorders>
              <w:top w:val="single" w:sz="4" w:space="0" w:color="000000"/>
              <w:left w:val="single" w:sz="4" w:space="0" w:color="000000"/>
              <w:bottom w:val="single" w:sz="4" w:space="0" w:color="000000"/>
              <w:right w:val="single" w:sz="4" w:space="0" w:color="000000"/>
            </w:tcBorders>
          </w:tcPr>
          <w:p w14:paraId="4A683819" w14:textId="77777777" w:rsidR="005477D4" w:rsidRPr="00136B35" w:rsidRDefault="005477D4" w:rsidP="005010FD">
            <w:pPr>
              <w:widowControl w:val="0"/>
              <w:snapToGrid w:val="0"/>
              <w:jc w:val="both"/>
              <w:rPr>
                <w:szCs w:val="22"/>
              </w:rPr>
            </w:pPr>
            <w:r w:rsidRPr="00136B35">
              <w:rPr>
                <w:szCs w:val="22"/>
              </w:rPr>
              <w:t>0,108#</w:t>
            </w:r>
          </w:p>
        </w:tc>
      </w:tr>
      <w:tr w:rsidR="005477D4" w:rsidRPr="00136B35" w14:paraId="6E6FBDD8" w14:textId="77777777" w:rsidTr="009F1691">
        <w:trPr>
          <w:cantSplit/>
        </w:trPr>
        <w:tc>
          <w:tcPr>
            <w:tcW w:w="2550" w:type="dxa"/>
            <w:tcBorders>
              <w:top w:val="single" w:sz="4" w:space="0" w:color="000000"/>
              <w:left w:val="single" w:sz="4" w:space="0" w:color="000000"/>
              <w:bottom w:val="single" w:sz="4" w:space="0" w:color="000000"/>
            </w:tcBorders>
          </w:tcPr>
          <w:p w14:paraId="0B862453" w14:textId="77777777" w:rsidR="005477D4" w:rsidRPr="00136B35" w:rsidRDefault="005477D4" w:rsidP="005010FD">
            <w:pPr>
              <w:widowControl w:val="0"/>
              <w:snapToGrid w:val="0"/>
              <w:ind w:left="567"/>
              <w:jc w:val="both"/>
              <w:rPr>
                <w:i/>
                <w:szCs w:val="22"/>
              </w:rPr>
            </w:pPr>
            <w:r w:rsidRPr="00136B35">
              <w:rPr>
                <w:i/>
                <w:szCs w:val="22"/>
              </w:rPr>
              <w:t>Hazard Ratio</w:t>
            </w:r>
          </w:p>
          <w:p w14:paraId="342C3A54" w14:textId="77777777" w:rsidR="005477D4" w:rsidRPr="00136B35" w:rsidRDefault="005477D4" w:rsidP="005010FD">
            <w:pPr>
              <w:widowControl w:val="0"/>
              <w:ind w:left="567"/>
              <w:jc w:val="both"/>
              <w:rPr>
                <w:szCs w:val="22"/>
              </w:rPr>
            </w:pPr>
            <w:r w:rsidRPr="00136B35">
              <w:rPr>
                <w:szCs w:val="22"/>
              </w:rPr>
              <w:t>(IC 95%)</w:t>
            </w:r>
          </w:p>
        </w:tc>
        <w:tc>
          <w:tcPr>
            <w:tcW w:w="994" w:type="dxa"/>
            <w:tcBorders>
              <w:top w:val="single" w:sz="4" w:space="0" w:color="000000"/>
              <w:left w:val="single" w:sz="4" w:space="0" w:color="000000"/>
              <w:bottom w:val="single" w:sz="4" w:space="0" w:color="000000"/>
            </w:tcBorders>
          </w:tcPr>
          <w:p w14:paraId="1FC66882" w14:textId="77777777" w:rsidR="005477D4" w:rsidRPr="00136B35" w:rsidRDefault="005477D4" w:rsidP="005010FD">
            <w:pPr>
              <w:widowControl w:val="0"/>
              <w:snapToGrid w:val="0"/>
              <w:jc w:val="both"/>
              <w:rPr>
                <w:szCs w:val="22"/>
              </w:rPr>
            </w:pPr>
          </w:p>
        </w:tc>
        <w:tc>
          <w:tcPr>
            <w:tcW w:w="1555" w:type="dxa"/>
            <w:tcBorders>
              <w:top w:val="single" w:sz="4" w:space="0" w:color="000000"/>
              <w:left w:val="single" w:sz="4" w:space="0" w:color="000000"/>
              <w:bottom w:val="single" w:sz="4" w:space="0" w:color="000000"/>
            </w:tcBorders>
          </w:tcPr>
          <w:p w14:paraId="19A3FB5A" w14:textId="77777777" w:rsidR="005477D4" w:rsidRPr="00136B35" w:rsidRDefault="005477D4" w:rsidP="005010FD">
            <w:pPr>
              <w:widowControl w:val="0"/>
              <w:snapToGrid w:val="0"/>
              <w:jc w:val="both"/>
              <w:rPr>
                <w:szCs w:val="22"/>
              </w:rPr>
            </w:pPr>
            <w:r w:rsidRPr="00136B35">
              <w:rPr>
                <w:szCs w:val="22"/>
              </w:rPr>
              <w:t xml:space="preserve">0,77 </w:t>
            </w:r>
            <w:r w:rsidRPr="00136B35">
              <w:rPr>
                <w:szCs w:val="22"/>
              </w:rPr>
              <w:br/>
              <w:t>(0,52; 1,14)</w:t>
            </w:r>
          </w:p>
        </w:tc>
        <w:tc>
          <w:tcPr>
            <w:tcW w:w="997" w:type="dxa"/>
            <w:tcBorders>
              <w:top w:val="single" w:sz="4" w:space="0" w:color="000000"/>
              <w:left w:val="single" w:sz="4" w:space="0" w:color="000000"/>
              <w:bottom w:val="single" w:sz="4" w:space="0" w:color="000000"/>
            </w:tcBorders>
          </w:tcPr>
          <w:p w14:paraId="42EE610B" w14:textId="77777777" w:rsidR="005477D4" w:rsidRPr="00136B35" w:rsidRDefault="005477D4" w:rsidP="005010FD">
            <w:pPr>
              <w:widowControl w:val="0"/>
              <w:snapToGrid w:val="0"/>
              <w:jc w:val="both"/>
              <w:rPr>
                <w:szCs w:val="22"/>
              </w:rPr>
            </w:pPr>
          </w:p>
        </w:tc>
        <w:tc>
          <w:tcPr>
            <w:tcW w:w="1559" w:type="dxa"/>
            <w:tcBorders>
              <w:top w:val="single" w:sz="4" w:space="0" w:color="000000"/>
              <w:left w:val="single" w:sz="4" w:space="0" w:color="000000"/>
              <w:bottom w:val="single" w:sz="4" w:space="0" w:color="000000"/>
            </w:tcBorders>
          </w:tcPr>
          <w:p w14:paraId="4E0DC96C" w14:textId="77777777" w:rsidR="005477D4" w:rsidRPr="00136B35" w:rsidRDefault="005477D4" w:rsidP="005010FD">
            <w:pPr>
              <w:widowControl w:val="0"/>
              <w:snapToGrid w:val="0"/>
              <w:jc w:val="both"/>
              <w:rPr>
                <w:szCs w:val="22"/>
              </w:rPr>
            </w:pPr>
            <w:r w:rsidRPr="00136B35">
              <w:rPr>
                <w:szCs w:val="22"/>
              </w:rPr>
              <w:t>0,62</w:t>
            </w:r>
            <w:r w:rsidRPr="00136B35">
              <w:rPr>
                <w:szCs w:val="22"/>
              </w:rPr>
              <w:br/>
              <w:t>(0,37; 1,03)</w:t>
            </w:r>
          </w:p>
        </w:tc>
        <w:tc>
          <w:tcPr>
            <w:tcW w:w="1340" w:type="dxa"/>
            <w:tcBorders>
              <w:top w:val="single" w:sz="4" w:space="0" w:color="000000"/>
              <w:left w:val="single" w:sz="4" w:space="0" w:color="000000"/>
              <w:bottom w:val="single" w:sz="4" w:space="0" w:color="000000"/>
              <w:right w:val="single" w:sz="4" w:space="0" w:color="000000"/>
            </w:tcBorders>
          </w:tcPr>
          <w:p w14:paraId="01F519B1" w14:textId="77777777" w:rsidR="005477D4" w:rsidRPr="00136B35" w:rsidRDefault="005477D4" w:rsidP="005010FD">
            <w:pPr>
              <w:widowControl w:val="0"/>
              <w:snapToGrid w:val="0"/>
              <w:jc w:val="both"/>
              <w:rPr>
                <w:szCs w:val="22"/>
              </w:rPr>
            </w:pPr>
            <w:r w:rsidRPr="00136B35">
              <w:rPr>
                <w:szCs w:val="22"/>
              </w:rPr>
              <w:t>0,87</w:t>
            </w:r>
          </w:p>
          <w:p w14:paraId="32E74C88" w14:textId="77777777" w:rsidR="005477D4" w:rsidRPr="00136B35" w:rsidRDefault="005477D4" w:rsidP="005010FD">
            <w:pPr>
              <w:widowControl w:val="0"/>
              <w:jc w:val="both"/>
              <w:rPr>
                <w:szCs w:val="22"/>
              </w:rPr>
            </w:pPr>
            <w:r w:rsidRPr="00136B35">
              <w:rPr>
                <w:szCs w:val="22"/>
              </w:rPr>
              <w:t>(0,55; 1,38)</w:t>
            </w:r>
          </w:p>
        </w:tc>
      </w:tr>
      <w:tr w:rsidR="005477D4" w:rsidRPr="00136B35" w14:paraId="6E8EDF47" w14:textId="77777777" w:rsidTr="009F1691">
        <w:trPr>
          <w:cantSplit/>
        </w:trPr>
        <w:tc>
          <w:tcPr>
            <w:tcW w:w="2550" w:type="dxa"/>
            <w:tcBorders>
              <w:top w:val="single" w:sz="4" w:space="0" w:color="000000"/>
              <w:left w:val="single" w:sz="4" w:space="0" w:color="000000"/>
              <w:bottom w:val="single" w:sz="4" w:space="0" w:color="000000"/>
            </w:tcBorders>
          </w:tcPr>
          <w:p w14:paraId="4FD30067" w14:textId="77777777" w:rsidR="005477D4" w:rsidRPr="00136B35" w:rsidRDefault="005477D4" w:rsidP="005010FD">
            <w:pPr>
              <w:widowControl w:val="0"/>
              <w:snapToGrid w:val="0"/>
              <w:jc w:val="both"/>
              <w:rPr>
                <w:szCs w:val="22"/>
                <w:vertAlign w:val="superscript"/>
              </w:rPr>
            </w:pPr>
            <w:r w:rsidRPr="00136B35">
              <w:rPr>
                <w:b/>
                <w:szCs w:val="22"/>
              </w:rPr>
              <w:t>Endpoint di risonanza magnetica (MRI)</w:t>
            </w:r>
            <w:r w:rsidRPr="00136B35">
              <w:rPr>
                <w:szCs w:val="22"/>
                <w:vertAlign w:val="superscript"/>
              </w:rPr>
              <w:t>b</w:t>
            </w:r>
          </w:p>
        </w:tc>
        <w:tc>
          <w:tcPr>
            <w:tcW w:w="994" w:type="dxa"/>
            <w:tcBorders>
              <w:top w:val="single" w:sz="4" w:space="0" w:color="000000"/>
              <w:bottom w:val="single" w:sz="4" w:space="0" w:color="000000"/>
            </w:tcBorders>
          </w:tcPr>
          <w:p w14:paraId="6CC34FD9" w14:textId="77777777" w:rsidR="005477D4" w:rsidRPr="00136B35" w:rsidRDefault="005477D4" w:rsidP="005010FD">
            <w:pPr>
              <w:widowControl w:val="0"/>
              <w:snapToGrid w:val="0"/>
              <w:jc w:val="both"/>
              <w:rPr>
                <w:szCs w:val="22"/>
              </w:rPr>
            </w:pPr>
          </w:p>
        </w:tc>
        <w:tc>
          <w:tcPr>
            <w:tcW w:w="1555" w:type="dxa"/>
            <w:tcBorders>
              <w:top w:val="single" w:sz="4" w:space="0" w:color="000000"/>
              <w:bottom w:val="single" w:sz="4" w:space="0" w:color="000000"/>
            </w:tcBorders>
          </w:tcPr>
          <w:p w14:paraId="1BDB2F45" w14:textId="77777777" w:rsidR="005477D4" w:rsidRPr="00136B35" w:rsidRDefault="005477D4" w:rsidP="005010FD">
            <w:pPr>
              <w:widowControl w:val="0"/>
              <w:snapToGrid w:val="0"/>
              <w:jc w:val="both"/>
              <w:rPr>
                <w:szCs w:val="22"/>
              </w:rPr>
            </w:pPr>
          </w:p>
        </w:tc>
        <w:tc>
          <w:tcPr>
            <w:tcW w:w="997" w:type="dxa"/>
            <w:tcBorders>
              <w:top w:val="single" w:sz="4" w:space="0" w:color="000000"/>
              <w:left w:val="single" w:sz="4" w:space="0" w:color="000000"/>
              <w:bottom w:val="single" w:sz="4" w:space="0" w:color="000000"/>
            </w:tcBorders>
          </w:tcPr>
          <w:p w14:paraId="42B13239" w14:textId="77777777" w:rsidR="005477D4" w:rsidRPr="00136B35" w:rsidRDefault="005477D4" w:rsidP="005010FD">
            <w:pPr>
              <w:widowControl w:val="0"/>
              <w:snapToGrid w:val="0"/>
              <w:jc w:val="both"/>
              <w:rPr>
                <w:szCs w:val="22"/>
              </w:rPr>
            </w:pPr>
          </w:p>
        </w:tc>
        <w:tc>
          <w:tcPr>
            <w:tcW w:w="1559" w:type="dxa"/>
            <w:tcBorders>
              <w:top w:val="single" w:sz="4" w:space="0" w:color="000000"/>
              <w:bottom w:val="single" w:sz="4" w:space="0" w:color="000000"/>
            </w:tcBorders>
          </w:tcPr>
          <w:p w14:paraId="22E08B7A" w14:textId="77777777" w:rsidR="005477D4" w:rsidRPr="00136B35" w:rsidRDefault="005477D4" w:rsidP="005010FD">
            <w:pPr>
              <w:widowControl w:val="0"/>
              <w:snapToGrid w:val="0"/>
              <w:jc w:val="both"/>
              <w:rPr>
                <w:szCs w:val="22"/>
              </w:rPr>
            </w:pPr>
          </w:p>
        </w:tc>
        <w:tc>
          <w:tcPr>
            <w:tcW w:w="1340" w:type="dxa"/>
            <w:tcBorders>
              <w:top w:val="single" w:sz="4" w:space="0" w:color="000000"/>
              <w:bottom w:val="single" w:sz="4" w:space="0" w:color="000000"/>
              <w:right w:val="single" w:sz="4" w:space="0" w:color="000000"/>
            </w:tcBorders>
          </w:tcPr>
          <w:p w14:paraId="1B5387D6" w14:textId="77777777" w:rsidR="005477D4" w:rsidRPr="00136B35" w:rsidRDefault="005477D4" w:rsidP="005010FD">
            <w:pPr>
              <w:widowControl w:val="0"/>
              <w:snapToGrid w:val="0"/>
              <w:jc w:val="both"/>
              <w:rPr>
                <w:szCs w:val="22"/>
              </w:rPr>
            </w:pPr>
          </w:p>
        </w:tc>
      </w:tr>
      <w:tr w:rsidR="005477D4" w:rsidRPr="00136B35" w14:paraId="503E69D1" w14:textId="77777777" w:rsidTr="009F1691">
        <w:trPr>
          <w:cantSplit/>
        </w:trPr>
        <w:tc>
          <w:tcPr>
            <w:tcW w:w="2550" w:type="dxa"/>
            <w:tcBorders>
              <w:top w:val="single" w:sz="4" w:space="0" w:color="000000"/>
              <w:left w:val="single" w:sz="4" w:space="0" w:color="000000"/>
              <w:bottom w:val="single" w:sz="4" w:space="0" w:color="000000"/>
            </w:tcBorders>
          </w:tcPr>
          <w:p w14:paraId="7A188C05" w14:textId="77777777" w:rsidR="005477D4" w:rsidRPr="00136B35" w:rsidRDefault="005477D4" w:rsidP="005010FD">
            <w:pPr>
              <w:widowControl w:val="0"/>
              <w:snapToGrid w:val="0"/>
              <w:jc w:val="both"/>
              <w:rPr>
                <w:szCs w:val="22"/>
              </w:rPr>
            </w:pPr>
            <w:r w:rsidRPr="00136B35">
              <w:rPr>
                <w:szCs w:val="22"/>
              </w:rPr>
              <w:t>N. pazienti</w:t>
            </w:r>
          </w:p>
        </w:tc>
        <w:tc>
          <w:tcPr>
            <w:tcW w:w="994" w:type="dxa"/>
            <w:tcBorders>
              <w:top w:val="single" w:sz="4" w:space="0" w:color="000000"/>
              <w:left w:val="single" w:sz="4" w:space="0" w:color="000000"/>
              <w:bottom w:val="single" w:sz="4" w:space="0" w:color="000000"/>
            </w:tcBorders>
          </w:tcPr>
          <w:p w14:paraId="1AC084F2" w14:textId="77777777" w:rsidR="005477D4" w:rsidRPr="00136B35" w:rsidRDefault="005477D4" w:rsidP="005010FD">
            <w:pPr>
              <w:widowControl w:val="0"/>
              <w:snapToGrid w:val="0"/>
              <w:jc w:val="both"/>
              <w:rPr>
                <w:szCs w:val="22"/>
              </w:rPr>
            </w:pPr>
            <w:r w:rsidRPr="00136B35">
              <w:rPr>
                <w:szCs w:val="22"/>
              </w:rPr>
              <w:t>165</w:t>
            </w:r>
          </w:p>
        </w:tc>
        <w:tc>
          <w:tcPr>
            <w:tcW w:w="1555" w:type="dxa"/>
            <w:tcBorders>
              <w:top w:val="single" w:sz="4" w:space="0" w:color="000000"/>
              <w:left w:val="single" w:sz="4" w:space="0" w:color="000000"/>
              <w:bottom w:val="single" w:sz="4" w:space="0" w:color="000000"/>
            </w:tcBorders>
          </w:tcPr>
          <w:p w14:paraId="66B8E565" w14:textId="77777777" w:rsidR="005477D4" w:rsidRPr="00136B35" w:rsidRDefault="005477D4" w:rsidP="005010FD">
            <w:pPr>
              <w:widowControl w:val="0"/>
              <w:snapToGrid w:val="0"/>
              <w:jc w:val="both"/>
              <w:rPr>
                <w:szCs w:val="22"/>
              </w:rPr>
            </w:pPr>
            <w:r w:rsidRPr="00136B35">
              <w:rPr>
                <w:szCs w:val="22"/>
              </w:rPr>
              <w:t>152</w:t>
            </w:r>
          </w:p>
        </w:tc>
        <w:tc>
          <w:tcPr>
            <w:tcW w:w="997" w:type="dxa"/>
            <w:tcBorders>
              <w:top w:val="single" w:sz="4" w:space="0" w:color="000000"/>
              <w:left w:val="single" w:sz="4" w:space="0" w:color="000000"/>
              <w:bottom w:val="single" w:sz="4" w:space="0" w:color="000000"/>
            </w:tcBorders>
          </w:tcPr>
          <w:p w14:paraId="5E453758" w14:textId="77777777" w:rsidR="005477D4" w:rsidRPr="00136B35" w:rsidRDefault="005477D4" w:rsidP="005010FD">
            <w:pPr>
              <w:widowControl w:val="0"/>
              <w:snapToGrid w:val="0"/>
              <w:jc w:val="both"/>
              <w:rPr>
                <w:szCs w:val="22"/>
              </w:rPr>
            </w:pPr>
            <w:r w:rsidRPr="00136B35">
              <w:rPr>
                <w:szCs w:val="22"/>
              </w:rPr>
              <w:t>144</w:t>
            </w:r>
          </w:p>
        </w:tc>
        <w:tc>
          <w:tcPr>
            <w:tcW w:w="1559" w:type="dxa"/>
            <w:tcBorders>
              <w:top w:val="single" w:sz="4" w:space="0" w:color="000000"/>
              <w:left w:val="single" w:sz="4" w:space="0" w:color="000000"/>
              <w:bottom w:val="single" w:sz="4" w:space="0" w:color="000000"/>
            </w:tcBorders>
          </w:tcPr>
          <w:p w14:paraId="20691B23" w14:textId="77777777" w:rsidR="005477D4" w:rsidRPr="00136B35" w:rsidRDefault="005477D4" w:rsidP="005010FD">
            <w:pPr>
              <w:widowControl w:val="0"/>
              <w:snapToGrid w:val="0"/>
              <w:jc w:val="both"/>
              <w:rPr>
                <w:szCs w:val="22"/>
              </w:rPr>
            </w:pPr>
            <w:r w:rsidRPr="00136B35">
              <w:rPr>
                <w:szCs w:val="22"/>
              </w:rPr>
              <w:t>147</w:t>
            </w:r>
          </w:p>
        </w:tc>
        <w:tc>
          <w:tcPr>
            <w:tcW w:w="1340" w:type="dxa"/>
            <w:tcBorders>
              <w:top w:val="single" w:sz="4" w:space="0" w:color="000000"/>
              <w:left w:val="single" w:sz="4" w:space="0" w:color="000000"/>
              <w:bottom w:val="single" w:sz="4" w:space="0" w:color="000000"/>
              <w:right w:val="single" w:sz="4" w:space="0" w:color="000000"/>
            </w:tcBorders>
          </w:tcPr>
          <w:p w14:paraId="7B42E454" w14:textId="77777777" w:rsidR="005477D4" w:rsidRPr="00136B35" w:rsidRDefault="005477D4" w:rsidP="005010FD">
            <w:pPr>
              <w:widowControl w:val="0"/>
              <w:snapToGrid w:val="0"/>
              <w:jc w:val="both"/>
              <w:rPr>
                <w:szCs w:val="22"/>
              </w:rPr>
            </w:pPr>
            <w:r w:rsidRPr="00136B35">
              <w:rPr>
                <w:szCs w:val="22"/>
              </w:rPr>
              <w:t>161</w:t>
            </w:r>
          </w:p>
        </w:tc>
      </w:tr>
      <w:tr w:rsidR="005477D4" w:rsidRPr="00136B35" w14:paraId="1D591CAB" w14:textId="77777777" w:rsidTr="009F1691">
        <w:trPr>
          <w:cantSplit/>
        </w:trPr>
        <w:tc>
          <w:tcPr>
            <w:tcW w:w="2550" w:type="dxa"/>
            <w:tcBorders>
              <w:top w:val="single" w:sz="4" w:space="0" w:color="000000"/>
              <w:left w:val="single" w:sz="4" w:space="0" w:color="000000"/>
              <w:bottom w:val="single" w:sz="4" w:space="0" w:color="000000"/>
            </w:tcBorders>
          </w:tcPr>
          <w:p w14:paraId="056E6825" w14:textId="77777777" w:rsidR="005477D4" w:rsidRPr="00136B35" w:rsidRDefault="005477D4" w:rsidP="005010FD">
            <w:pPr>
              <w:widowControl w:val="0"/>
              <w:snapToGrid w:val="0"/>
              <w:jc w:val="both"/>
              <w:rPr>
                <w:szCs w:val="22"/>
              </w:rPr>
            </w:pPr>
            <w:r w:rsidRPr="00136B35">
              <w:rPr>
                <w:szCs w:val="22"/>
              </w:rPr>
              <w:t>Numero medio (mediano) di lesioni, nuove o recentemente ingranditesi in T2 nel corso di 2 anni</w:t>
            </w:r>
          </w:p>
        </w:tc>
        <w:tc>
          <w:tcPr>
            <w:tcW w:w="994" w:type="dxa"/>
            <w:tcBorders>
              <w:top w:val="single" w:sz="4" w:space="0" w:color="000000"/>
              <w:left w:val="single" w:sz="4" w:space="0" w:color="000000"/>
              <w:bottom w:val="single" w:sz="4" w:space="0" w:color="000000"/>
            </w:tcBorders>
          </w:tcPr>
          <w:p w14:paraId="779E1886" w14:textId="77777777" w:rsidR="005477D4" w:rsidRPr="00136B35" w:rsidRDefault="005477D4" w:rsidP="005010FD">
            <w:pPr>
              <w:widowControl w:val="0"/>
              <w:snapToGrid w:val="0"/>
              <w:jc w:val="both"/>
              <w:rPr>
                <w:szCs w:val="22"/>
              </w:rPr>
            </w:pPr>
            <w:r w:rsidRPr="00136B35">
              <w:rPr>
                <w:szCs w:val="22"/>
              </w:rPr>
              <w:t>16,5</w:t>
            </w:r>
          </w:p>
          <w:p w14:paraId="071FB8A8" w14:textId="77777777" w:rsidR="005477D4" w:rsidRPr="00136B35" w:rsidRDefault="005477D4" w:rsidP="005010FD">
            <w:pPr>
              <w:widowControl w:val="0"/>
              <w:jc w:val="both"/>
              <w:rPr>
                <w:szCs w:val="22"/>
              </w:rPr>
            </w:pPr>
            <w:r w:rsidRPr="00136B35">
              <w:rPr>
                <w:szCs w:val="22"/>
              </w:rPr>
              <w:t>(7,0)</w:t>
            </w:r>
          </w:p>
        </w:tc>
        <w:tc>
          <w:tcPr>
            <w:tcW w:w="1555" w:type="dxa"/>
            <w:tcBorders>
              <w:top w:val="single" w:sz="4" w:space="0" w:color="000000"/>
              <w:left w:val="single" w:sz="4" w:space="0" w:color="000000"/>
              <w:bottom w:val="single" w:sz="4" w:space="0" w:color="000000"/>
            </w:tcBorders>
          </w:tcPr>
          <w:p w14:paraId="66FBAEC4" w14:textId="77777777" w:rsidR="005477D4" w:rsidRPr="00136B35" w:rsidRDefault="005477D4" w:rsidP="005010FD">
            <w:pPr>
              <w:widowControl w:val="0"/>
              <w:snapToGrid w:val="0"/>
              <w:jc w:val="both"/>
              <w:rPr>
                <w:szCs w:val="22"/>
              </w:rPr>
            </w:pPr>
            <w:r w:rsidRPr="00136B35">
              <w:rPr>
                <w:szCs w:val="22"/>
              </w:rPr>
              <w:t>3,2</w:t>
            </w:r>
          </w:p>
          <w:p w14:paraId="606C75B6" w14:textId="77777777" w:rsidR="005477D4" w:rsidRPr="00136B35" w:rsidRDefault="005477D4" w:rsidP="005010FD">
            <w:pPr>
              <w:widowControl w:val="0"/>
              <w:jc w:val="both"/>
              <w:rPr>
                <w:szCs w:val="22"/>
              </w:rPr>
            </w:pPr>
            <w:r w:rsidRPr="00136B35">
              <w:rPr>
                <w:szCs w:val="22"/>
              </w:rPr>
              <w:t>(1,0)***</w:t>
            </w:r>
          </w:p>
        </w:tc>
        <w:tc>
          <w:tcPr>
            <w:tcW w:w="997" w:type="dxa"/>
            <w:tcBorders>
              <w:top w:val="single" w:sz="4" w:space="0" w:color="000000"/>
              <w:left w:val="single" w:sz="4" w:space="0" w:color="000000"/>
              <w:bottom w:val="single" w:sz="4" w:space="0" w:color="000000"/>
            </w:tcBorders>
          </w:tcPr>
          <w:p w14:paraId="3BEC9F29" w14:textId="77777777" w:rsidR="005477D4" w:rsidRPr="00136B35" w:rsidRDefault="005477D4" w:rsidP="005010FD">
            <w:pPr>
              <w:widowControl w:val="0"/>
              <w:snapToGrid w:val="0"/>
              <w:jc w:val="both"/>
              <w:rPr>
                <w:szCs w:val="22"/>
              </w:rPr>
            </w:pPr>
            <w:r w:rsidRPr="00136B35">
              <w:rPr>
                <w:szCs w:val="22"/>
              </w:rPr>
              <w:t>19,9</w:t>
            </w:r>
          </w:p>
          <w:p w14:paraId="7FA2ABC7" w14:textId="77777777" w:rsidR="005477D4" w:rsidRPr="00136B35" w:rsidRDefault="005477D4" w:rsidP="005010FD">
            <w:pPr>
              <w:widowControl w:val="0"/>
              <w:jc w:val="both"/>
              <w:rPr>
                <w:szCs w:val="22"/>
              </w:rPr>
            </w:pPr>
            <w:r w:rsidRPr="00136B35">
              <w:rPr>
                <w:szCs w:val="22"/>
              </w:rPr>
              <w:t>(11,0)</w:t>
            </w:r>
          </w:p>
        </w:tc>
        <w:tc>
          <w:tcPr>
            <w:tcW w:w="1559" w:type="dxa"/>
            <w:tcBorders>
              <w:top w:val="single" w:sz="4" w:space="0" w:color="000000"/>
              <w:left w:val="single" w:sz="4" w:space="0" w:color="000000"/>
              <w:bottom w:val="single" w:sz="4" w:space="0" w:color="000000"/>
            </w:tcBorders>
          </w:tcPr>
          <w:p w14:paraId="1EA4E0DD" w14:textId="77777777" w:rsidR="005477D4" w:rsidRPr="00136B35" w:rsidRDefault="005477D4" w:rsidP="005010FD">
            <w:pPr>
              <w:widowControl w:val="0"/>
              <w:snapToGrid w:val="0"/>
              <w:jc w:val="both"/>
              <w:rPr>
                <w:szCs w:val="22"/>
              </w:rPr>
            </w:pPr>
            <w:r w:rsidRPr="00136B35">
              <w:rPr>
                <w:szCs w:val="22"/>
              </w:rPr>
              <w:t>5,7</w:t>
            </w:r>
          </w:p>
          <w:p w14:paraId="36534398" w14:textId="77777777" w:rsidR="005477D4" w:rsidRPr="00136B35" w:rsidRDefault="005477D4" w:rsidP="005010FD">
            <w:pPr>
              <w:widowControl w:val="0"/>
              <w:jc w:val="both"/>
              <w:rPr>
                <w:szCs w:val="22"/>
              </w:rPr>
            </w:pPr>
            <w:r w:rsidRPr="00136B35">
              <w:rPr>
                <w:szCs w:val="22"/>
              </w:rPr>
              <w:t>(2,0)***</w:t>
            </w:r>
          </w:p>
        </w:tc>
        <w:tc>
          <w:tcPr>
            <w:tcW w:w="1340" w:type="dxa"/>
            <w:tcBorders>
              <w:top w:val="single" w:sz="4" w:space="0" w:color="000000"/>
              <w:left w:val="single" w:sz="4" w:space="0" w:color="000000"/>
              <w:bottom w:val="single" w:sz="4" w:space="0" w:color="000000"/>
              <w:right w:val="single" w:sz="4" w:space="0" w:color="000000"/>
            </w:tcBorders>
          </w:tcPr>
          <w:p w14:paraId="3354F8BC" w14:textId="77777777" w:rsidR="005477D4" w:rsidRPr="00136B35" w:rsidRDefault="005477D4" w:rsidP="005010FD">
            <w:pPr>
              <w:widowControl w:val="0"/>
              <w:snapToGrid w:val="0"/>
              <w:jc w:val="both"/>
              <w:rPr>
                <w:szCs w:val="22"/>
              </w:rPr>
            </w:pPr>
            <w:r w:rsidRPr="00136B35">
              <w:rPr>
                <w:szCs w:val="22"/>
              </w:rPr>
              <w:t>9,6</w:t>
            </w:r>
          </w:p>
          <w:p w14:paraId="5DD707F5" w14:textId="77777777" w:rsidR="005477D4" w:rsidRPr="00136B35" w:rsidRDefault="005477D4" w:rsidP="005010FD">
            <w:pPr>
              <w:widowControl w:val="0"/>
              <w:jc w:val="both"/>
              <w:rPr>
                <w:szCs w:val="22"/>
              </w:rPr>
            </w:pPr>
            <w:r w:rsidRPr="00136B35">
              <w:rPr>
                <w:szCs w:val="22"/>
              </w:rPr>
              <w:t>(3,0)***</w:t>
            </w:r>
          </w:p>
        </w:tc>
      </w:tr>
      <w:tr w:rsidR="005477D4" w:rsidRPr="00136B35" w14:paraId="0EF453B7" w14:textId="77777777" w:rsidTr="009F1691">
        <w:trPr>
          <w:cantSplit/>
        </w:trPr>
        <w:tc>
          <w:tcPr>
            <w:tcW w:w="2550" w:type="dxa"/>
            <w:tcBorders>
              <w:top w:val="single" w:sz="4" w:space="0" w:color="000000"/>
              <w:left w:val="single" w:sz="4" w:space="0" w:color="000000"/>
              <w:bottom w:val="single" w:sz="4" w:space="0" w:color="000000"/>
            </w:tcBorders>
          </w:tcPr>
          <w:p w14:paraId="7EAD9DB7" w14:textId="77777777" w:rsidR="005477D4" w:rsidRPr="00136B35" w:rsidRDefault="005477D4" w:rsidP="005010FD">
            <w:pPr>
              <w:widowControl w:val="0"/>
              <w:snapToGrid w:val="0"/>
              <w:ind w:left="567"/>
              <w:jc w:val="both"/>
              <w:rPr>
                <w:szCs w:val="22"/>
              </w:rPr>
            </w:pPr>
            <w:r w:rsidRPr="00136B35">
              <w:rPr>
                <w:i/>
                <w:szCs w:val="22"/>
              </w:rPr>
              <w:t>Mean Ratio</w:t>
            </w:r>
            <w:r w:rsidRPr="00136B35">
              <w:rPr>
                <w:szCs w:val="22"/>
              </w:rPr>
              <w:t xml:space="preserve"> (MR, rapporto tra le medie) delle lesioni</w:t>
            </w:r>
          </w:p>
          <w:p w14:paraId="65886E43" w14:textId="77777777" w:rsidR="005477D4" w:rsidRPr="00136B35" w:rsidRDefault="005477D4" w:rsidP="005010FD">
            <w:pPr>
              <w:widowControl w:val="0"/>
              <w:ind w:left="567"/>
              <w:jc w:val="both"/>
              <w:rPr>
                <w:szCs w:val="22"/>
              </w:rPr>
            </w:pPr>
            <w:r w:rsidRPr="00136B35">
              <w:rPr>
                <w:szCs w:val="22"/>
              </w:rPr>
              <w:t>(IC 95%)</w:t>
            </w:r>
          </w:p>
        </w:tc>
        <w:tc>
          <w:tcPr>
            <w:tcW w:w="994" w:type="dxa"/>
            <w:tcBorders>
              <w:top w:val="single" w:sz="4" w:space="0" w:color="000000"/>
              <w:left w:val="single" w:sz="4" w:space="0" w:color="000000"/>
              <w:bottom w:val="single" w:sz="4" w:space="0" w:color="000000"/>
            </w:tcBorders>
          </w:tcPr>
          <w:p w14:paraId="3DFAF90D" w14:textId="77777777" w:rsidR="005477D4" w:rsidRPr="00136B35" w:rsidRDefault="005477D4" w:rsidP="005010FD">
            <w:pPr>
              <w:widowControl w:val="0"/>
              <w:snapToGrid w:val="0"/>
              <w:jc w:val="both"/>
              <w:rPr>
                <w:szCs w:val="22"/>
              </w:rPr>
            </w:pPr>
          </w:p>
        </w:tc>
        <w:tc>
          <w:tcPr>
            <w:tcW w:w="1555" w:type="dxa"/>
            <w:tcBorders>
              <w:top w:val="single" w:sz="4" w:space="0" w:color="000000"/>
              <w:left w:val="single" w:sz="4" w:space="0" w:color="000000"/>
              <w:bottom w:val="single" w:sz="4" w:space="0" w:color="000000"/>
            </w:tcBorders>
          </w:tcPr>
          <w:p w14:paraId="60313319" w14:textId="77777777" w:rsidR="005477D4" w:rsidRPr="00136B35" w:rsidRDefault="005477D4" w:rsidP="005010FD">
            <w:pPr>
              <w:widowControl w:val="0"/>
              <w:snapToGrid w:val="0"/>
              <w:jc w:val="both"/>
              <w:rPr>
                <w:szCs w:val="22"/>
              </w:rPr>
            </w:pPr>
            <w:r w:rsidRPr="00136B35">
              <w:rPr>
                <w:szCs w:val="22"/>
              </w:rPr>
              <w:t>0,15</w:t>
            </w:r>
          </w:p>
          <w:p w14:paraId="5A823BF1" w14:textId="77777777" w:rsidR="005477D4" w:rsidRPr="00136B35" w:rsidRDefault="005477D4" w:rsidP="005010FD">
            <w:pPr>
              <w:widowControl w:val="0"/>
              <w:jc w:val="both"/>
              <w:rPr>
                <w:szCs w:val="22"/>
              </w:rPr>
            </w:pPr>
            <w:r w:rsidRPr="00136B35">
              <w:rPr>
                <w:szCs w:val="22"/>
              </w:rPr>
              <w:t>(0,10; 0,23)</w:t>
            </w:r>
          </w:p>
        </w:tc>
        <w:tc>
          <w:tcPr>
            <w:tcW w:w="997" w:type="dxa"/>
            <w:tcBorders>
              <w:top w:val="single" w:sz="4" w:space="0" w:color="000000"/>
              <w:left w:val="single" w:sz="4" w:space="0" w:color="000000"/>
              <w:bottom w:val="single" w:sz="4" w:space="0" w:color="000000"/>
            </w:tcBorders>
          </w:tcPr>
          <w:p w14:paraId="5142820A" w14:textId="77777777" w:rsidR="005477D4" w:rsidRPr="00136B35" w:rsidRDefault="005477D4" w:rsidP="005010FD">
            <w:pPr>
              <w:widowControl w:val="0"/>
              <w:snapToGrid w:val="0"/>
              <w:jc w:val="both"/>
              <w:rPr>
                <w:szCs w:val="22"/>
              </w:rPr>
            </w:pPr>
          </w:p>
        </w:tc>
        <w:tc>
          <w:tcPr>
            <w:tcW w:w="1559" w:type="dxa"/>
            <w:tcBorders>
              <w:top w:val="single" w:sz="4" w:space="0" w:color="000000"/>
              <w:left w:val="single" w:sz="4" w:space="0" w:color="000000"/>
              <w:bottom w:val="single" w:sz="4" w:space="0" w:color="000000"/>
            </w:tcBorders>
          </w:tcPr>
          <w:p w14:paraId="7F838C46" w14:textId="77777777" w:rsidR="005477D4" w:rsidRPr="00136B35" w:rsidRDefault="005477D4" w:rsidP="005010FD">
            <w:pPr>
              <w:widowControl w:val="0"/>
              <w:snapToGrid w:val="0"/>
              <w:jc w:val="both"/>
              <w:rPr>
                <w:szCs w:val="22"/>
              </w:rPr>
            </w:pPr>
            <w:r w:rsidRPr="00136B35">
              <w:rPr>
                <w:szCs w:val="22"/>
              </w:rPr>
              <w:t>0,29</w:t>
            </w:r>
          </w:p>
          <w:p w14:paraId="74A9670B" w14:textId="77777777" w:rsidR="005477D4" w:rsidRPr="00136B35" w:rsidRDefault="005477D4" w:rsidP="005010FD">
            <w:pPr>
              <w:widowControl w:val="0"/>
              <w:jc w:val="both"/>
              <w:rPr>
                <w:szCs w:val="22"/>
              </w:rPr>
            </w:pPr>
            <w:r w:rsidRPr="00136B35">
              <w:rPr>
                <w:szCs w:val="22"/>
              </w:rPr>
              <w:t>(0,21; 0,41)</w:t>
            </w:r>
          </w:p>
        </w:tc>
        <w:tc>
          <w:tcPr>
            <w:tcW w:w="1340" w:type="dxa"/>
            <w:tcBorders>
              <w:top w:val="single" w:sz="4" w:space="0" w:color="000000"/>
              <w:left w:val="single" w:sz="4" w:space="0" w:color="000000"/>
              <w:bottom w:val="single" w:sz="4" w:space="0" w:color="000000"/>
              <w:right w:val="single" w:sz="4" w:space="0" w:color="000000"/>
            </w:tcBorders>
          </w:tcPr>
          <w:p w14:paraId="21E2F687" w14:textId="77777777" w:rsidR="005477D4" w:rsidRPr="00136B35" w:rsidRDefault="005477D4" w:rsidP="005010FD">
            <w:pPr>
              <w:widowControl w:val="0"/>
              <w:snapToGrid w:val="0"/>
              <w:jc w:val="both"/>
              <w:rPr>
                <w:szCs w:val="22"/>
              </w:rPr>
            </w:pPr>
            <w:r w:rsidRPr="00136B35">
              <w:rPr>
                <w:szCs w:val="22"/>
              </w:rPr>
              <w:t>0,46</w:t>
            </w:r>
          </w:p>
          <w:p w14:paraId="1B185151" w14:textId="77777777" w:rsidR="005477D4" w:rsidRPr="00136B35" w:rsidRDefault="005477D4" w:rsidP="005010FD">
            <w:pPr>
              <w:widowControl w:val="0"/>
              <w:jc w:val="both"/>
              <w:rPr>
                <w:szCs w:val="22"/>
              </w:rPr>
            </w:pPr>
            <w:r w:rsidRPr="00136B35">
              <w:rPr>
                <w:szCs w:val="22"/>
              </w:rPr>
              <w:t>(0,33; 0,63)</w:t>
            </w:r>
          </w:p>
        </w:tc>
      </w:tr>
      <w:tr w:rsidR="005477D4" w:rsidRPr="00136B35" w14:paraId="64FF72E2" w14:textId="77777777" w:rsidTr="009F1691">
        <w:trPr>
          <w:cantSplit/>
        </w:trPr>
        <w:tc>
          <w:tcPr>
            <w:tcW w:w="2550" w:type="dxa"/>
            <w:tcBorders>
              <w:top w:val="single" w:sz="4" w:space="0" w:color="000000"/>
              <w:left w:val="single" w:sz="4" w:space="0" w:color="000000"/>
              <w:bottom w:val="single" w:sz="4" w:space="0" w:color="000000"/>
            </w:tcBorders>
          </w:tcPr>
          <w:p w14:paraId="4E3C4B4D" w14:textId="77777777" w:rsidR="005477D4" w:rsidRPr="00136B35" w:rsidRDefault="005477D4" w:rsidP="005010FD">
            <w:pPr>
              <w:widowControl w:val="0"/>
              <w:snapToGrid w:val="0"/>
              <w:jc w:val="both"/>
              <w:rPr>
                <w:szCs w:val="22"/>
              </w:rPr>
            </w:pPr>
            <w:r w:rsidRPr="00136B35">
              <w:rPr>
                <w:szCs w:val="22"/>
              </w:rPr>
              <w:t xml:space="preserve">Numero medio (mediano) di lesioni captanti Gadolinio (Gd) a 2 anni </w:t>
            </w:r>
          </w:p>
        </w:tc>
        <w:tc>
          <w:tcPr>
            <w:tcW w:w="994" w:type="dxa"/>
            <w:tcBorders>
              <w:top w:val="single" w:sz="4" w:space="0" w:color="000000"/>
              <w:left w:val="single" w:sz="4" w:space="0" w:color="000000"/>
              <w:bottom w:val="single" w:sz="4" w:space="0" w:color="000000"/>
            </w:tcBorders>
          </w:tcPr>
          <w:p w14:paraId="7A21AF2C" w14:textId="77777777" w:rsidR="005477D4" w:rsidRPr="00136B35" w:rsidRDefault="005477D4" w:rsidP="005010FD">
            <w:pPr>
              <w:widowControl w:val="0"/>
              <w:snapToGrid w:val="0"/>
              <w:jc w:val="both"/>
              <w:rPr>
                <w:szCs w:val="22"/>
              </w:rPr>
            </w:pPr>
            <w:r w:rsidRPr="00136B35">
              <w:rPr>
                <w:szCs w:val="22"/>
              </w:rPr>
              <w:t>1,8</w:t>
            </w:r>
          </w:p>
          <w:p w14:paraId="794A21E4" w14:textId="77777777" w:rsidR="005477D4" w:rsidRPr="00136B35" w:rsidRDefault="005477D4" w:rsidP="005010FD">
            <w:pPr>
              <w:widowControl w:val="0"/>
              <w:jc w:val="both"/>
              <w:rPr>
                <w:szCs w:val="22"/>
              </w:rPr>
            </w:pPr>
            <w:r w:rsidRPr="00136B35">
              <w:rPr>
                <w:szCs w:val="22"/>
              </w:rPr>
              <w:t>(0)</w:t>
            </w:r>
          </w:p>
        </w:tc>
        <w:tc>
          <w:tcPr>
            <w:tcW w:w="1555" w:type="dxa"/>
            <w:tcBorders>
              <w:top w:val="single" w:sz="4" w:space="0" w:color="000000"/>
              <w:left w:val="single" w:sz="4" w:space="0" w:color="000000"/>
              <w:bottom w:val="single" w:sz="4" w:space="0" w:color="000000"/>
            </w:tcBorders>
          </w:tcPr>
          <w:p w14:paraId="2C033239" w14:textId="77777777" w:rsidR="005477D4" w:rsidRPr="00136B35" w:rsidRDefault="005477D4" w:rsidP="005010FD">
            <w:pPr>
              <w:widowControl w:val="0"/>
              <w:snapToGrid w:val="0"/>
              <w:jc w:val="both"/>
              <w:rPr>
                <w:szCs w:val="22"/>
              </w:rPr>
            </w:pPr>
            <w:r w:rsidRPr="00136B35">
              <w:rPr>
                <w:szCs w:val="22"/>
              </w:rPr>
              <w:t>0,1</w:t>
            </w:r>
          </w:p>
          <w:p w14:paraId="11AA7B11" w14:textId="77777777" w:rsidR="005477D4" w:rsidRPr="00136B35" w:rsidRDefault="005477D4" w:rsidP="005010FD">
            <w:pPr>
              <w:widowControl w:val="0"/>
              <w:jc w:val="both"/>
              <w:rPr>
                <w:szCs w:val="22"/>
              </w:rPr>
            </w:pPr>
            <w:r w:rsidRPr="00136B35">
              <w:rPr>
                <w:szCs w:val="22"/>
              </w:rPr>
              <w:t xml:space="preserve">(0)*** </w:t>
            </w:r>
          </w:p>
        </w:tc>
        <w:tc>
          <w:tcPr>
            <w:tcW w:w="997" w:type="dxa"/>
            <w:tcBorders>
              <w:top w:val="single" w:sz="4" w:space="0" w:color="000000"/>
              <w:left w:val="single" w:sz="4" w:space="0" w:color="000000"/>
              <w:bottom w:val="single" w:sz="4" w:space="0" w:color="000000"/>
            </w:tcBorders>
          </w:tcPr>
          <w:p w14:paraId="54400428" w14:textId="77777777" w:rsidR="005477D4" w:rsidRPr="00136B35" w:rsidRDefault="005477D4" w:rsidP="005010FD">
            <w:pPr>
              <w:widowControl w:val="0"/>
              <w:tabs>
                <w:tab w:val="center" w:pos="833"/>
                <w:tab w:val="left" w:pos="1657"/>
              </w:tabs>
              <w:snapToGrid w:val="0"/>
              <w:jc w:val="both"/>
              <w:rPr>
                <w:szCs w:val="22"/>
              </w:rPr>
            </w:pPr>
            <w:r w:rsidRPr="00136B35">
              <w:rPr>
                <w:szCs w:val="22"/>
              </w:rPr>
              <w:t>2,0</w:t>
            </w:r>
          </w:p>
          <w:p w14:paraId="36EC4939" w14:textId="77777777" w:rsidR="005477D4" w:rsidRPr="00136B35" w:rsidRDefault="005477D4" w:rsidP="005010FD">
            <w:pPr>
              <w:widowControl w:val="0"/>
              <w:tabs>
                <w:tab w:val="center" w:pos="833"/>
                <w:tab w:val="left" w:pos="1657"/>
              </w:tabs>
              <w:jc w:val="both"/>
              <w:rPr>
                <w:szCs w:val="22"/>
              </w:rPr>
            </w:pPr>
            <w:r w:rsidRPr="00136B35">
              <w:rPr>
                <w:szCs w:val="22"/>
              </w:rPr>
              <w:t>(0,0)</w:t>
            </w:r>
          </w:p>
        </w:tc>
        <w:tc>
          <w:tcPr>
            <w:tcW w:w="1559" w:type="dxa"/>
            <w:tcBorders>
              <w:top w:val="single" w:sz="4" w:space="0" w:color="000000"/>
              <w:left w:val="single" w:sz="4" w:space="0" w:color="000000"/>
              <w:bottom w:val="single" w:sz="4" w:space="0" w:color="000000"/>
            </w:tcBorders>
          </w:tcPr>
          <w:p w14:paraId="21C1EF9E" w14:textId="77777777" w:rsidR="005477D4" w:rsidRPr="00136B35" w:rsidRDefault="005477D4" w:rsidP="005010FD">
            <w:pPr>
              <w:widowControl w:val="0"/>
              <w:snapToGrid w:val="0"/>
              <w:jc w:val="both"/>
              <w:rPr>
                <w:szCs w:val="22"/>
              </w:rPr>
            </w:pPr>
            <w:r w:rsidRPr="00136B35">
              <w:rPr>
                <w:szCs w:val="22"/>
              </w:rPr>
              <w:t>0,5</w:t>
            </w:r>
          </w:p>
          <w:p w14:paraId="2812470F" w14:textId="77777777" w:rsidR="005477D4" w:rsidRPr="00136B35" w:rsidRDefault="005477D4" w:rsidP="005010FD">
            <w:pPr>
              <w:widowControl w:val="0"/>
              <w:jc w:val="both"/>
              <w:rPr>
                <w:szCs w:val="22"/>
              </w:rPr>
            </w:pPr>
            <w:r w:rsidRPr="00136B35">
              <w:rPr>
                <w:szCs w:val="22"/>
              </w:rPr>
              <w:t xml:space="preserve">(0,0)*** </w:t>
            </w:r>
          </w:p>
        </w:tc>
        <w:tc>
          <w:tcPr>
            <w:tcW w:w="1340" w:type="dxa"/>
            <w:tcBorders>
              <w:top w:val="single" w:sz="4" w:space="0" w:color="000000"/>
              <w:left w:val="single" w:sz="4" w:space="0" w:color="000000"/>
              <w:bottom w:val="single" w:sz="4" w:space="0" w:color="000000"/>
              <w:right w:val="single" w:sz="4" w:space="0" w:color="000000"/>
            </w:tcBorders>
          </w:tcPr>
          <w:p w14:paraId="603CC8F0" w14:textId="77777777" w:rsidR="005477D4" w:rsidRPr="00136B35" w:rsidRDefault="005477D4" w:rsidP="005010FD">
            <w:pPr>
              <w:widowControl w:val="0"/>
              <w:snapToGrid w:val="0"/>
              <w:jc w:val="both"/>
              <w:rPr>
                <w:szCs w:val="22"/>
              </w:rPr>
            </w:pPr>
            <w:r w:rsidRPr="00136B35">
              <w:rPr>
                <w:szCs w:val="22"/>
              </w:rPr>
              <w:t>0,7</w:t>
            </w:r>
          </w:p>
          <w:p w14:paraId="16F58BC3" w14:textId="77777777" w:rsidR="005477D4" w:rsidRPr="00136B35" w:rsidRDefault="005477D4" w:rsidP="005010FD">
            <w:pPr>
              <w:widowControl w:val="0"/>
              <w:jc w:val="both"/>
              <w:rPr>
                <w:szCs w:val="22"/>
              </w:rPr>
            </w:pPr>
            <w:r w:rsidRPr="00136B35">
              <w:rPr>
                <w:szCs w:val="22"/>
              </w:rPr>
              <w:t xml:space="preserve">(0,0)** </w:t>
            </w:r>
          </w:p>
        </w:tc>
      </w:tr>
      <w:tr w:rsidR="005477D4" w:rsidRPr="00136B35" w14:paraId="12E7CC6E" w14:textId="77777777" w:rsidTr="009F1691">
        <w:trPr>
          <w:cantSplit/>
        </w:trPr>
        <w:tc>
          <w:tcPr>
            <w:tcW w:w="2550" w:type="dxa"/>
            <w:tcBorders>
              <w:top w:val="single" w:sz="4" w:space="0" w:color="000000"/>
              <w:left w:val="single" w:sz="4" w:space="0" w:color="000000"/>
              <w:bottom w:val="single" w:sz="4" w:space="0" w:color="000000"/>
            </w:tcBorders>
          </w:tcPr>
          <w:p w14:paraId="36E72709" w14:textId="77777777" w:rsidR="005477D4" w:rsidRPr="00136B35" w:rsidRDefault="005477D4" w:rsidP="005010FD">
            <w:pPr>
              <w:widowControl w:val="0"/>
              <w:snapToGrid w:val="0"/>
              <w:ind w:left="567"/>
              <w:jc w:val="both"/>
              <w:rPr>
                <w:szCs w:val="22"/>
              </w:rPr>
            </w:pPr>
            <w:r w:rsidRPr="00136B35">
              <w:rPr>
                <w:i/>
                <w:szCs w:val="22"/>
              </w:rPr>
              <w:t>Odds ratio</w:t>
            </w:r>
            <w:r w:rsidRPr="00136B35">
              <w:rPr>
                <w:szCs w:val="22"/>
              </w:rPr>
              <w:t xml:space="preserve"> (OR, rapporto di probabilità)</w:t>
            </w:r>
          </w:p>
          <w:p w14:paraId="5CD1636D" w14:textId="77777777" w:rsidR="005477D4" w:rsidRPr="00136B35" w:rsidRDefault="005477D4" w:rsidP="005010FD">
            <w:pPr>
              <w:widowControl w:val="0"/>
              <w:ind w:left="567"/>
              <w:jc w:val="both"/>
              <w:rPr>
                <w:szCs w:val="22"/>
              </w:rPr>
            </w:pPr>
            <w:r w:rsidRPr="00136B35">
              <w:rPr>
                <w:szCs w:val="22"/>
              </w:rPr>
              <w:t>(IC 95%)</w:t>
            </w:r>
          </w:p>
        </w:tc>
        <w:tc>
          <w:tcPr>
            <w:tcW w:w="994" w:type="dxa"/>
            <w:tcBorders>
              <w:top w:val="single" w:sz="4" w:space="0" w:color="000000"/>
              <w:left w:val="single" w:sz="4" w:space="0" w:color="000000"/>
              <w:bottom w:val="single" w:sz="4" w:space="0" w:color="000000"/>
            </w:tcBorders>
          </w:tcPr>
          <w:p w14:paraId="67E040A9" w14:textId="77777777" w:rsidR="005477D4" w:rsidRPr="00136B35" w:rsidRDefault="005477D4" w:rsidP="005010FD">
            <w:pPr>
              <w:widowControl w:val="0"/>
              <w:snapToGrid w:val="0"/>
              <w:jc w:val="both"/>
              <w:rPr>
                <w:szCs w:val="22"/>
              </w:rPr>
            </w:pPr>
          </w:p>
        </w:tc>
        <w:tc>
          <w:tcPr>
            <w:tcW w:w="1555" w:type="dxa"/>
            <w:tcBorders>
              <w:top w:val="single" w:sz="4" w:space="0" w:color="000000"/>
              <w:left w:val="single" w:sz="4" w:space="0" w:color="000000"/>
              <w:bottom w:val="single" w:sz="4" w:space="0" w:color="000000"/>
            </w:tcBorders>
          </w:tcPr>
          <w:p w14:paraId="211D7B19" w14:textId="77777777" w:rsidR="005477D4" w:rsidRPr="00136B35" w:rsidRDefault="005477D4" w:rsidP="005010FD">
            <w:pPr>
              <w:widowControl w:val="0"/>
              <w:snapToGrid w:val="0"/>
              <w:jc w:val="both"/>
              <w:rPr>
                <w:szCs w:val="22"/>
              </w:rPr>
            </w:pPr>
            <w:r w:rsidRPr="00136B35">
              <w:rPr>
                <w:szCs w:val="22"/>
              </w:rPr>
              <w:t>0,10</w:t>
            </w:r>
          </w:p>
          <w:p w14:paraId="0308308C" w14:textId="77777777" w:rsidR="005477D4" w:rsidRPr="00136B35" w:rsidRDefault="005477D4" w:rsidP="005010FD">
            <w:pPr>
              <w:widowControl w:val="0"/>
              <w:jc w:val="both"/>
              <w:rPr>
                <w:szCs w:val="22"/>
              </w:rPr>
            </w:pPr>
            <w:r w:rsidRPr="00136B35">
              <w:rPr>
                <w:szCs w:val="22"/>
              </w:rPr>
              <w:t>(0,05; 0,22)</w:t>
            </w:r>
          </w:p>
        </w:tc>
        <w:tc>
          <w:tcPr>
            <w:tcW w:w="997" w:type="dxa"/>
            <w:tcBorders>
              <w:top w:val="single" w:sz="4" w:space="0" w:color="000000"/>
              <w:left w:val="single" w:sz="4" w:space="0" w:color="000000"/>
              <w:bottom w:val="single" w:sz="4" w:space="0" w:color="000000"/>
            </w:tcBorders>
          </w:tcPr>
          <w:p w14:paraId="6C3B22C1" w14:textId="77777777" w:rsidR="005477D4" w:rsidRPr="00136B35" w:rsidRDefault="005477D4" w:rsidP="005010FD">
            <w:pPr>
              <w:widowControl w:val="0"/>
              <w:tabs>
                <w:tab w:val="center" w:pos="833"/>
                <w:tab w:val="left" w:pos="1657"/>
              </w:tabs>
              <w:snapToGrid w:val="0"/>
              <w:jc w:val="both"/>
              <w:rPr>
                <w:szCs w:val="22"/>
              </w:rPr>
            </w:pPr>
          </w:p>
        </w:tc>
        <w:tc>
          <w:tcPr>
            <w:tcW w:w="1559" w:type="dxa"/>
            <w:tcBorders>
              <w:top w:val="single" w:sz="4" w:space="0" w:color="000000"/>
              <w:left w:val="single" w:sz="4" w:space="0" w:color="000000"/>
              <w:bottom w:val="single" w:sz="4" w:space="0" w:color="000000"/>
            </w:tcBorders>
          </w:tcPr>
          <w:p w14:paraId="33B1334A" w14:textId="77777777" w:rsidR="005477D4" w:rsidRPr="00136B35" w:rsidRDefault="005477D4" w:rsidP="005010FD">
            <w:pPr>
              <w:widowControl w:val="0"/>
              <w:snapToGrid w:val="0"/>
              <w:jc w:val="both"/>
              <w:rPr>
                <w:szCs w:val="22"/>
              </w:rPr>
            </w:pPr>
            <w:r w:rsidRPr="00136B35">
              <w:rPr>
                <w:szCs w:val="22"/>
              </w:rPr>
              <w:t>0,26</w:t>
            </w:r>
          </w:p>
          <w:p w14:paraId="30095AF3" w14:textId="77777777" w:rsidR="005477D4" w:rsidRPr="00136B35" w:rsidRDefault="005477D4" w:rsidP="005010FD">
            <w:pPr>
              <w:widowControl w:val="0"/>
              <w:jc w:val="both"/>
              <w:rPr>
                <w:szCs w:val="22"/>
              </w:rPr>
            </w:pPr>
            <w:r w:rsidRPr="00136B35">
              <w:rPr>
                <w:szCs w:val="22"/>
              </w:rPr>
              <w:t>(0,15; 0,46)</w:t>
            </w:r>
          </w:p>
        </w:tc>
        <w:tc>
          <w:tcPr>
            <w:tcW w:w="1340" w:type="dxa"/>
            <w:tcBorders>
              <w:top w:val="single" w:sz="4" w:space="0" w:color="000000"/>
              <w:left w:val="single" w:sz="4" w:space="0" w:color="000000"/>
              <w:bottom w:val="single" w:sz="4" w:space="0" w:color="000000"/>
              <w:right w:val="single" w:sz="4" w:space="0" w:color="000000"/>
            </w:tcBorders>
          </w:tcPr>
          <w:p w14:paraId="71F2F78A" w14:textId="77777777" w:rsidR="005477D4" w:rsidRPr="00136B35" w:rsidRDefault="005477D4" w:rsidP="005010FD">
            <w:pPr>
              <w:widowControl w:val="0"/>
              <w:snapToGrid w:val="0"/>
              <w:jc w:val="both"/>
              <w:rPr>
                <w:szCs w:val="22"/>
              </w:rPr>
            </w:pPr>
            <w:r w:rsidRPr="00136B35">
              <w:rPr>
                <w:szCs w:val="22"/>
              </w:rPr>
              <w:t>0,39</w:t>
            </w:r>
          </w:p>
          <w:p w14:paraId="110F4C1E" w14:textId="77777777" w:rsidR="005477D4" w:rsidRPr="00136B35" w:rsidRDefault="005477D4" w:rsidP="005010FD">
            <w:pPr>
              <w:widowControl w:val="0"/>
              <w:jc w:val="both"/>
              <w:rPr>
                <w:szCs w:val="22"/>
              </w:rPr>
            </w:pPr>
            <w:r w:rsidRPr="00136B35">
              <w:rPr>
                <w:szCs w:val="22"/>
              </w:rPr>
              <w:t>(0,24; 0,65)</w:t>
            </w:r>
          </w:p>
        </w:tc>
      </w:tr>
      <w:tr w:rsidR="005477D4" w:rsidRPr="00136B35" w14:paraId="26D6717A" w14:textId="77777777" w:rsidTr="009F1691">
        <w:trPr>
          <w:cantSplit/>
        </w:trPr>
        <w:tc>
          <w:tcPr>
            <w:tcW w:w="2550" w:type="dxa"/>
            <w:tcBorders>
              <w:top w:val="single" w:sz="4" w:space="0" w:color="000000"/>
              <w:left w:val="single" w:sz="4" w:space="0" w:color="000000"/>
              <w:bottom w:val="single" w:sz="4" w:space="0" w:color="000000"/>
            </w:tcBorders>
          </w:tcPr>
          <w:p w14:paraId="619A4DE8" w14:textId="77777777" w:rsidR="005477D4" w:rsidRPr="00136B35" w:rsidRDefault="005477D4" w:rsidP="005010FD">
            <w:pPr>
              <w:widowControl w:val="0"/>
              <w:snapToGrid w:val="0"/>
              <w:jc w:val="both"/>
              <w:rPr>
                <w:szCs w:val="22"/>
              </w:rPr>
            </w:pPr>
            <w:r w:rsidRPr="00136B35">
              <w:rPr>
                <w:szCs w:val="22"/>
              </w:rPr>
              <w:t>Numero medio (mediano) di nuove lesioni ipointense in T1 nel corso di 2 anni</w:t>
            </w:r>
          </w:p>
        </w:tc>
        <w:tc>
          <w:tcPr>
            <w:tcW w:w="994" w:type="dxa"/>
            <w:tcBorders>
              <w:top w:val="single" w:sz="4" w:space="0" w:color="000000"/>
              <w:left w:val="single" w:sz="4" w:space="0" w:color="000000"/>
              <w:bottom w:val="single" w:sz="4" w:space="0" w:color="000000"/>
            </w:tcBorders>
          </w:tcPr>
          <w:p w14:paraId="77ABB517" w14:textId="77777777" w:rsidR="005477D4" w:rsidRPr="00136B35" w:rsidRDefault="005477D4" w:rsidP="005010FD">
            <w:pPr>
              <w:widowControl w:val="0"/>
              <w:snapToGrid w:val="0"/>
              <w:jc w:val="both"/>
              <w:rPr>
                <w:szCs w:val="22"/>
              </w:rPr>
            </w:pPr>
            <w:r w:rsidRPr="00136B35">
              <w:rPr>
                <w:szCs w:val="22"/>
              </w:rPr>
              <w:t>5,7</w:t>
            </w:r>
          </w:p>
          <w:p w14:paraId="114F1E35" w14:textId="77777777" w:rsidR="005477D4" w:rsidRPr="00136B35" w:rsidRDefault="005477D4" w:rsidP="005010FD">
            <w:pPr>
              <w:widowControl w:val="0"/>
              <w:jc w:val="both"/>
              <w:rPr>
                <w:szCs w:val="22"/>
              </w:rPr>
            </w:pPr>
            <w:r w:rsidRPr="00136B35">
              <w:rPr>
                <w:szCs w:val="22"/>
              </w:rPr>
              <w:t>(2,0)</w:t>
            </w:r>
          </w:p>
        </w:tc>
        <w:tc>
          <w:tcPr>
            <w:tcW w:w="1555" w:type="dxa"/>
            <w:tcBorders>
              <w:top w:val="single" w:sz="4" w:space="0" w:color="000000"/>
              <w:left w:val="single" w:sz="4" w:space="0" w:color="000000"/>
              <w:bottom w:val="single" w:sz="4" w:space="0" w:color="000000"/>
            </w:tcBorders>
          </w:tcPr>
          <w:p w14:paraId="23468BA2" w14:textId="77777777" w:rsidR="005477D4" w:rsidRPr="00136B35" w:rsidRDefault="005477D4" w:rsidP="005010FD">
            <w:pPr>
              <w:widowControl w:val="0"/>
              <w:snapToGrid w:val="0"/>
              <w:jc w:val="both"/>
              <w:rPr>
                <w:szCs w:val="22"/>
              </w:rPr>
            </w:pPr>
            <w:r w:rsidRPr="00136B35">
              <w:rPr>
                <w:szCs w:val="22"/>
              </w:rPr>
              <w:t>2,0</w:t>
            </w:r>
          </w:p>
          <w:p w14:paraId="6467780D" w14:textId="77777777" w:rsidR="005477D4" w:rsidRPr="00136B35" w:rsidRDefault="005477D4" w:rsidP="005010FD">
            <w:pPr>
              <w:widowControl w:val="0"/>
              <w:jc w:val="both"/>
              <w:rPr>
                <w:szCs w:val="22"/>
              </w:rPr>
            </w:pPr>
            <w:r w:rsidRPr="00136B35">
              <w:rPr>
                <w:szCs w:val="22"/>
              </w:rPr>
              <w:t>(1,0)***</w:t>
            </w:r>
          </w:p>
        </w:tc>
        <w:tc>
          <w:tcPr>
            <w:tcW w:w="997" w:type="dxa"/>
            <w:tcBorders>
              <w:top w:val="single" w:sz="4" w:space="0" w:color="000000"/>
              <w:left w:val="single" w:sz="4" w:space="0" w:color="000000"/>
              <w:bottom w:val="single" w:sz="4" w:space="0" w:color="000000"/>
            </w:tcBorders>
          </w:tcPr>
          <w:p w14:paraId="70757F62" w14:textId="77777777" w:rsidR="005477D4" w:rsidRPr="00136B35" w:rsidRDefault="005477D4" w:rsidP="005010FD">
            <w:pPr>
              <w:widowControl w:val="0"/>
              <w:snapToGrid w:val="0"/>
              <w:jc w:val="both"/>
              <w:rPr>
                <w:szCs w:val="22"/>
              </w:rPr>
            </w:pPr>
            <w:r w:rsidRPr="00136B35">
              <w:rPr>
                <w:szCs w:val="22"/>
              </w:rPr>
              <w:t>8,1</w:t>
            </w:r>
          </w:p>
          <w:p w14:paraId="66A4CBAF" w14:textId="77777777" w:rsidR="005477D4" w:rsidRPr="00136B35" w:rsidRDefault="005477D4" w:rsidP="005010FD">
            <w:pPr>
              <w:widowControl w:val="0"/>
              <w:jc w:val="both"/>
              <w:rPr>
                <w:szCs w:val="22"/>
              </w:rPr>
            </w:pPr>
            <w:r w:rsidRPr="00136B35">
              <w:rPr>
                <w:szCs w:val="22"/>
              </w:rPr>
              <w:t>(4,0)</w:t>
            </w:r>
          </w:p>
        </w:tc>
        <w:tc>
          <w:tcPr>
            <w:tcW w:w="1559" w:type="dxa"/>
            <w:tcBorders>
              <w:top w:val="single" w:sz="4" w:space="0" w:color="000000"/>
              <w:left w:val="single" w:sz="4" w:space="0" w:color="000000"/>
              <w:bottom w:val="single" w:sz="4" w:space="0" w:color="000000"/>
            </w:tcBorders>
          </w:tcPr>
          <w:p w14:paraId="5B26E6CB" w14:textId="77777777" w:rsidR="005477D4" w:rsidRPr="00136B35" w:rsidRDefault="005477D4" w:rsidP="005010FD">
            <w:pPr>
              <w:widowControl w:val="0"/>
              <w:snapToGrid w:val="0"/>
              <w:jc w:val="both"/>
              <w:rPr>
                <w:szCs w:val="22"/>
              </w:rPr>
            </w:pPr>
            <w:r w:rsidRPr="00136B35">
              <w:rPr>
                <w:szCs w:val="22"/>
              </w:rPr>
              <w:t>3,8</w:t>
            </w:r>
          </w:p>
          <w:p w14:paraId="7E70DB00" w14:textId="77777777" w:rsidR="005477D4" w:rsidRPr="00136B35" w:rsidRDefault="005477D4" w:rsidP="005010FD">
            <w:pPr>
              <w:widowControl w:val="0"/>
              <w:jc w:val="both"/>
              <w:rPr>
                <w:szCs w:val="22"/>
              </w:rPr>
            </w:pPr>
            <w:r w:rsidRPr="00136B35">
              <w:rPr>
                <w:szCs w:val="22"/>
              </w:rPr>
              <w:t>(1,0)***</w:t>
            </w:r>
          </w:p>
        </w:tc>
        <w:tc>
          <w:tcPr>
            <w:tcW w:w="1340" w:type="dxa"/>
            <w:tcBorders>
              <w:top w:val="single" w:sz="4" w:space="0" w:color="000000"/>
              <w:left w:val="single" w:sz="4" w:space="0" w:color="000000"/>
              <w:bottom w:val="single" w:sz="4" w:space="0" w:color="000000"/>
              <w:right w:val="single" w:sz="4" w:space="0" w:color="000000"/>
            </w:tcBorders>
          </w:tcPr>
          <w:p w14:paraId="4A8E865C" w14:textId="77777777" w:rsidR="005477D4" w:rsidRPr="00136B35" w:rsidRDefault="005477D4" w:rsidP="005010FD">
            <w:pPr>
              <w:widowControl w:val="0"/>
              <w:snapToGrid w:val="0"/>
              <w:jc w:val="both"/>
              <w:rPr>
                <w:szCs w:val="22"/>
              </w:rPr>
            </w:pPr>
            <w:r w:rsidRPr="00136B35">
              <w:rPr>
                <w:szCs w:val="22"/>
              </w:rPr>
              <w:t>4,5</w:t>
            </w:r>
          </w:p>
          <w:p w14:paraId="58C55EE6" w14:textId="77777777" w:rsidR="005477D4" w:rsidRPr="00136B35" w:rsidRDefault="005477D4" w:rsidP="005010FD">
            <w:pPr>
              <w:widowControl w:val="0"/>
              <w:jc w:val="both"/>
              <w:rPr>
                <w:szCs w:val="22"/>
              </w:rPr>
            </w:pPr>
            <w:r w:rsidRPr="00136B35">
              <w:rPr>
                <w:szCs w:val="22"/>
              </w:rPr>
              <w:t>(2,0)**</w:t>
            </w:r>
          </w:p>
        </w:tc>
      </w:tr>
      <w:tr w:rsidR="005477D4" w:rsidRPr="00136B35" w14:paraId="39BA6BE3" w14:textId="77777777" w:rsidTr="009F1691">
        <w:trPr>
          <w:cantSplit/>
        </w:trPr>
        <w:tc>
          <w:tcPr>
            <w:tcW w:w="2550" w:type="dxa"/>
            <w:tcBorders>
              <w:top w:val="single" w:sz="4" w:space="0" w:color="000000"/>
              <w:left w:val="single" w:sz="4" w:space="0" w:color="000000"/>
              <w:bottom w:val="single" w:sz="4" w:space="0" w:color="000000"/>
            </w:tcBorders>
          </w:tcPr>
          <w:p w14:paraId="0BCC1995" w14:textId="77777777" w:rsidR="005477D4" w:rsidRPr="00136B35" w:rsidRDefault="005477D4" w:rsidP="005010FD">
            <w:pPr>
              <w:widowControl w:val="0"/>
              <w:snapToGrid w:val="0"/>
              <w:ind w:left="567"/>
              <w:jc w:val="both"/>
              <w:rPr>
                <w:szCs w:val="22"/>
              </w:rPr>
            </w:pPr>
            <w:r w:rsidRPr="00136B35">
              <w:rPr>
                <w:i/>
                <w:szCs w:val="22"/>
              </w:rPr>
              <w:t>Mean Ratio</w:t>
            </w:r>
            <w:r w:rsidRPr="00136B35">
              <w:rPr>
                <w:szCs w:val="22"/>
              </w:rPr>
              <w:t xml:space="preserve"> delle lesioni</w:t>
            </w:r>
          </w:p>
          <w:p w14:paraId="2FFE2ED0" w14:textId="77777777" w:rsidR="005477D4" w:rsidRPr="00136B35" w:rsidRDefault="005477D4" w:rsidP="005010FD">
            <w:pPr>
              <w:widowControl w:val="0"/>
              <w:ind w:left="567"/>
              <w:jc w:val="both"/>
              <w:rPr>
                <w:szCs w:val="22"/>
              </w:rPr>
            </w:pPr>
            <w:r w:rsidRPr="00136B35">
              <w:rPr>
                <w:szCs w:val="22"/>
              </w:rPr>
              <w:t>(IC 95%)</w:t>
            </w:r>
          </w:p>
        </w:tc>
        <w:tc>
          <w:tcPr>
            <w:tcW w:w="994" w:type="dxa"/>
            <w:tcBorders>
              <w:top w:val="single" w:sz="4" w:space="0" w:color="000000"/>
              <w:left w:val="single" w:sz="4" w:space="0" w:color="000000"/>
              <w:bottom w:val="single" w:sz="4" w:space="0" w:color="000000"/>
            </w:tcBorders>
          </w:tcPr>
          <w:p w14:paraId="4556B88E" w14:textId="77777777" w:rsidR="005477D4" w:rsidRPr="00136B35" w:rsidRDefault="005477D4" w:rsidP="005010FD">
            <w:pPr>
              <w:widowControl w:val="0"/>
              <w:snapToGrid w:val="0"/>
              <w:jc w:val="both"/>
              <w:rPr>
                <w:szCs w:val="22"/>
              </w:rPr>
            </w:pPr>
          </w:p>
        </w:tc>
        <w:tc>
          <w:tcPr>
            <w:tcW w:w="1555" w:type="dxa"/>
            <w:tcBorders>
              <w:top w:val="single" w:sz="4" w:space="0" w:color="000000"/>
              <w:left w:val="single" w:sz="4" w:space="0" w:color="000000"/>
              <w:bottom w:val="single" w:sz="4" w:space="0" w:color="000000"/>
            </w:tcBorders>
          </w:tcPr>
          <w:p w14:paraId="2AF2F501" w14:textId="77777777" w:rsidR="005477D4" w:rsidRPr="00136B35" w:rsidRDefault="005477D4" w:rsidP="005010FD">
            <w:pPr>
              <w:widowControl w:val="0"/>
              <w:snapToGrid w:val="0"/>
              <w:jc w:val="both"/>
              <w:rPr>
                <w:szCs w:val="22"/>
              </w:rPr>
            </w:pPr>
            <w:r w:rsidRPr="00136B35">
              <w:rPr>
                <w:szCs w:val="22"/>
              </w:rPr>
              <w:t>0,28</w:t>
            </w:r>
          </w:p>
          <w:p w14:paraId="45AE03E6" w14:textId="77777777" w:rsidR="005477D4" w:rsidRPr="00136B35" w:rsidRDefault="005477D4" w:rsidP="005010FD">
            <w:pPr>
              <w:widowControl w:val="0"/>
              <w:jc w:val="both"/>
              <w:rPr>
                <w:szCs w:val="22"/>
              </w:rPr>
            </w:pPr>
            <w:r w:rsidRPr="00136B35">
              <w:rPr>
                <w:szCs w:val="22"/>
              </w:rPr>
              <w:t>(0,20;, 0,39)</w:t>
            </w:r>
          </w:p>
        </w:tc>
        <w:tc>
          <w:tcPr>
            <w:tcW w:w="997" w:type="dxa"/>
            <w:tcBorders>
              <w:top w:val="single" w:sz="4" w:space="0" w:color="000000"/>
              <w:left w:val="single" w:sz="4" w:space="0" w:color="000000"/>
              <w:bottom w:val="single" w:sz="4" w:space="0" w:color="000000"/>
            </w:tcBorders>
          </w:tcPr>
          <w:p w14:paraId="3FD874E8" w14:textId="77777777" w:rsidR="005477D4" w:rsidRPr="00136B35" w:rsidRDefault="005477D4" w:rsidP="005010FD">
            <w:pPr>
              <w:widowControl w:val="0"/>
              <w:snapToGrid w:val="0"/>
              <w:jc w:val="both"/>
              <w:rPr>
                <w:szCs w:val="22"/>
              </w:rPr>
            </w:pPr>
          </w:p>
        </w:tc>
        <w:tc>
          <w:tcPr>
            <w:tcW w:w="1559" w:type="dxa"/>
            <w:tcBorders>
              <w:top w:val="single" w:sz="4" w:space="0" w:color="000000"/>
              <w:left w:val="single" w:sz="4" w:space="0" w:color="000000"/>
              <w:bottom w:val="single" w:sz="4" w:space="0" w:color="000000"/>
            </w:tcBorders>
          </w:tcPr>
          <w:p w14:paraId="6E09C6C3" w14:textId="77777777" w:rsidR="005477D4" w:rsidRPr="00136B35" w:rsidRDefault="005477D4" w:rsidP="005010FD">
            <w:pPr>
              <w:widowControl w:val="0"/>
              <w:snapToGrid w:val="0"/>
              <w:jc w:val="both"/>
              <w:rPr>
                <w:szCs w:val="22"/>
              </w:rPr>
            </w:pPr>
            <w:r w:rsidRPr="00136B35">
              <w:rPr>
                <w:szCs w:val="22"/>
              </w:rPr>
              <w:t>0,43</w:t>
            </w:r>
          </w:p>
          <w:p w14:paraId="081B28EB" w14:textId="77777777" w:rsidR="005477D4" w:rsidRPr="00136B35" w:rsidRDefault="005477D4" w:rsidP="005010FD">
            <w:pPr>
              <w:widowControl w:val="0"/>
              <w:jc w:val="both"/>
              <w:rPr>
                <w:szCs w:val="22"/>
              </w:rPr>
            </w:pPr>
            <w:r w:rsidRPr="00136B35">
              <w:rPr>
                <w:szCs w:val="22"/>
              </w:rPr>
              <w:t>(0,30; 0,61)</w:t>
            </w:r>
          </w:p>
        </w:tc>
        <w:tc>
          <w:tcPr>
            <w:tcW w:w="1340" w:type="dxa"/>
            <w:tcBorders>
              <w:top w:val="single" w:sz="4" w:space="0" w:color="000000"/>
              <w:left w:val="single" w:sz="4" w:space="0" w:color="000000"/>
              <w:bottom w:val="single" w:sz="4" w:space="0" w:color="000000"/>
              <w:right w:val="single" w:sz="4" w:space="0" w:color="000000"/>
            </w:tcBorders>
          </w:tcPr>
          <w:p w14:paraId="14FD7F70" w14:textId="77777777" w:rsidR="005477D4" w:rsidRPr="00136B35" w:rsidRDefault="005477D4" w:rsidP="005010FD">
            <w:pPr>
              <w:widowControl w:val="0"/>
              <w:snapToGrid w:val="0"/>
              <w:jc w:val="both"/>
              <w:rPr>
                <w:szCs w:val="22"/>
              </w:rPr>
            </w:pPr>
            <w:r w:rsidRPr="00136B35">
              <w:rPr>
                <w:szCs w:val="22"/>
              </w:rPr>
              <w:t>0,59</w:t>
            </w:r>
          </w:p>
          <w:p w14:paraId="5C0EAAC7" w14:textId="77777777" w:rsidR="005477D4" w:rsidRPr="00136B35" w:rsidRDefault="005477D4" w:rsidP="005010FD">
            <w:pPr>
              <w:widowControl w:val="0"/>
              <w:jc w:val="both"/>
              <w:rPr>
                <w:szCs w:val="22"/>
              </w:rPr>
            </w:pPr>
            <w:r w:rsidRPr="00136B35">
              <w:rPr>
                <w:szCs w:val="22"/>
              </w:rPr>
              <w:t>(0,42; 0,82)</w:t>
            </w:r>
          </w:p>
        </w:tc>
      </w:tr>
    </w:tbl>
    <w:p w14:paraId="3FC9A3E7" w14:textId="77777777" w:rsidR="005477D4" w:rsidRPr="00136B35" w:rsidRDefault="005477D4" w:rsidP="005010FD">
      <w:pPr>
        <w:widowControl w:val="0"/>
        <w:jc w:val="both"/>
        <w:rPr>
          <w:szCs w:val="22"/>
        </w:rPr>
      </w:pPr>
      <w:r w:rsidRPr="005010FD">
        <w:rPr>
          <w:szCs w:val="22"/>
          <w:vertAlign w:val="superscript"/>
        </w:rPr>
        <w:t>a</w:t>
      </w:r>
      <w:r w:rsidRPr="005010FD">
        <w:rPr>
          <w:szCs w:val="22"/>
        </w:rPr>
        <w:t xml:space="preserve">Tutte le analisi degli endpoint clinici erano secondo intenzione di trattamento (ITT, intent-to-treat); </w:t>
      </w:r>
      <w:r w:rsidRPr="005010FD">
        <w:rPr>
          <w:szCs w:val="22"/>
          <w:vertAlign w:val="superscript"/>
        </w:rPr>
        <w:t>b</w:t>
      </w:r>
      <w:r w:rsidRPr="005010FD">
        <w:rPr>
          <w:szCs w:val="22"/>
        </w:rPr>
        <w:t xml:space="preserve">L’analisi </w:t>
      </w:r>
      <w:r w:rsidRPr="00136B35">
        <w:rPr>
          <w:szCs w:val="22"/>
        </w:rPr>
        <w:t>MRI ha utilizzato la coorte MRI</w:t>
      </w:r>
    </w:p>
    <w:p w14:paraId="35A1B6DA" w14:textId="77777777" w:rsidR="005477D4" w:rsidRPr="005010FD" w:rsidRDefault="005477D4" w:rsidP="005010FD">
      <w:pPr>
        <w:widowControl w:val="0"/>
        <w:jc w:val="both"/>
        <w:rPr>
          <w:szCs w:val="22"/>
        </w:rPr>
      </w:pPr>
      <w:r w:rsidRPr="005010FD">
        <w:rPr>
          <w:szCs w:val="22"/>
        </w:rPr>
        <w:t>*Valore P &lt; 0,05; **Valore P &lt; 0,01; ***Valore P &lt; 0,0001; #non statisticamente significativo</w:t>
      </w:r>
    </w:p>
    <w:p w14:paraId="17F08C2F" w14:textId="77777777" w:rsidR="005477D4" w:rsidRPr="00136B35" w:rsidRDefault="005477D4" w:rsidP="005010FD">
      <w:pPr>
        <w:widowControl w:val="0"/>
        <w:jc w:val="both"/>
        <w:rPr>
          <w:szCs w:val="22"/>
        </w:rPr>
      </w:pPr>
    </w:p>
    <w:p w14:paraId="023EA964" w14:textId="77777777" w:rsidR="005477D4" w:rsidRPr="00136B35" w:rsidRDefault="005477D4" w:rsidP="005010FD">
      <w:pPr>
        <w:pStyle w:val="Standard2"/>
        <w:keepNext/>
        <w:jc w:val="both"/>
        <w:rPr>
          <w:szCs w:val="22"/>
          <w:lang w:val="it-IT"/>
        </w:rPr>
      </w:pPr>
      <w:r w:rsidRPr="00136B35">
        <w:rPr>
          <w:szCs w:val="22"/>
          <w:lang w:val="it-IT"/>
        </w:rPr>
        <w:t>Uno studio di estensione in aperto, non controllato, della durata di 8 anni (ENDORSE) ha arruolato 1 736 pazienti con SM</w:t>
      </w:r>
      <w:r w:rsidRPr="00136B35">
        <w:rPr>
          <w:szCs w:val="22"/>
          <w:lang w:val="it-IT"/>
        </w:rPr>
        <w:noBreakHyphen/>
        <w:t>RR eleggibili dagli studi registrativi (DEFINE e CONFIRM). L’obiettivo primario dello studio era valutare la sicurezza a lungo termine di dimetilfumarato nei pazienti affetti da SM</w:t>
      </w:r>
      <w:r w:rsidRPr="00136B35">
        <w:rPr>
          <w:szCs w:val="22"/>
          <w:lang w:val="it-IT"/>
        </w:rPr>
        <w:noBreakHyphen/>
        <w:t xml:space="preserve">RR. Dei 1 736 pazienti, circa metà (909, 52%) è stata trattata per 6 anni o più. 501 pazienti sono stati trattati continuativamente con dimetilfumarato 240 mg due volte al giorno in tutti e 3 gli studi, mentre 249 pazienti precedentemente trattati con placebo negli studi DEFINE e CONFIRM hanno ricevuto il trattamento alla dose di 240 mg due volte al giorno nello studio ENDORSE. I pazienti che </w:t>
      </w:r>
      <w:r w:rsidRPr="00136B35">
        <w:rPr>
          <w:szCs w:val="22"/>
          <w:lang w:val="it-IT"/>
        </w:rPr>
        <w:lastRenderedPageBreak/>
        <w:t>hanno ricevuto il trattamento due volte al giorno continuativamente sono stati trattati per un massimo di 12 anni.</w:t>
      </w:r>
    </w:p>
    <w:p w14:paraId="38F50B4A" w14:textId="77777777" w:rsidR="005477D4" w:rsidRPr="00136B35" w:rsidRDefault="005477D4" w:rsidP="005010FD">
      <w:pPr>
        <w:pStyle w:val="Standard2"/>
        <w:keepNext/>
        <w:jc w:val="both"/>
        <w:rPr>
          <w:szCs w:val="22"/>
          <w:lang w:val="it-IT"/>
        </w:rPr>
      </w:pPr>
    </w:p>
    <w:p w14:paraId="2BBEE4F0" w14:textId="77777777" w:rsidR="005477D4" w:rsidRPr="00136B35" w:rsidRDefault="005477D4" w:rsidP="005010FD">
      <w:pPr>
        <w:pStyle w:val="Standard2"/>
        <w:keepNext/>
        <w:jc w:val="both"/>
        <w:rPr>
          <w:bCs/>
          <w:szCs w:val="22"/>
          <w:lang w:val="it-IT"/>
        </w:rPr>
      </w:pPr>
      <w:r w:rsidRPr="00136B35">
        <w:rPr>
          <w:szCs w:val="22"/>
          <w:lang w:val="it-IT"/>
        </w:rPr>
        <w:t>Durante lo studio ENDORSE, più di metà di tutti i pazienti trattati con dimetilfumarato 240 mg due volte al giorno non ha avuto una ricaduta. Per i pazienti trattati continuativamente due volte al giorno in tutti i 3 studi, l’ARR aggiustato era di 0,187 (IC 95%: 0,156; 0,224) negli studi DEFINE e CONFIRM e di 0,141 (IC 95%: 0,119; 0,167) nello studio ENDORSE. Per i pazienti precedentemente trattati con placebo, l’ARR aggiustato è diminuito da 0,330 (IC 95%: 0,266; 0,408) negli studi DEFINE e CONFIRM a 0,149 (IC 95%: 0,116; 0,190) nello studio ENDORSE.</w:t>
      </w:r>
    </w:p>
    <w:p w14:paraId="55618781" w14:textId="77777777" w:rsidR="005477D4" w:rsidRPr="00136B35" w:rsidRDefault="005477D4" w:rsidP="005010FD">
      <w:pPr>
        <w:pStyle w:val="Standard2"/>
        <w:keepNext/>
        <w:jc w:val="both"/>
        <w:rPr>
          <w:bCs/>
          <w:szCs w:val="22"/>
          <w:lang w:val="it-IT"/>
        </w:rPr>
      </w:pPr>
    </w:p>
    <w:p w14:paraId="1998422C" w14:textId="77777777" w:rsidR="005477D4" w:rsidRPr="00136B35" w:rsidRDefault="005477D4" w:rsidP="005010FD">
      <w:pPr>
        <w:pStyle w:val="Standard2"/>
        <w:keepNext/>
        <w:jc w:val="both"/>
        <w:rPr>
          <w:bCs/>
          <w:szCs w:val="22"/>
          <w:lang w:val="it-IT"/>
        </w:rPr>
      </w:pPr>
      <w:r w:rsidRPr="00136B35">
        <w:rPr>
          <w:szCs w:val="22"/>
          <w:lang w:val="it-IT"/>
        </w:rPr>
        <w:t>Nello studio ENDORSE, la maggioranza dei pazienti (&gt; 75%) non aveva progressione della disabilità confermata (misurata come progressione sostenuta della disabilità a 6 mesi). I risultati combinati dei tre studi hanno dimostrato che i pazienti trattati con dimetilfumarato avevano tassi bassi e coerenti di progressione della disabilità confermata, con un lieve aumento dei punteggi medi della scala EDSS nello studio ENDORSE. Le valutazioni alla MRI (fino al 6° anno), che comprendono 752 pazienti che erano stati precedentemente inclusi nella coorte MRI degli studi DEFINE e CONFIRM, hanno dimostrato che la maggior parte dei pazienti (circa il 90%) non presentava lesioni captanti gadolinio (Gd+). Nel corso di 6 anni, il numero medio aggiustato annuale di lesioni nuove o recentemente ingranditesi in T2 e di nuove lesioni in T1 è rimasto basso.</w:t>
      </w:r>
    </w:p>
    <w:p w14:paraId="012F5174" w14:textId="77777777" w:rsidR="005477D4" w:rsidRPr="00136B35" w:rsidRDefault="005477D4" w:rsidP="005010FD">
      <w:pPr>
        <w:widowControl w:val="0"/>
        <w:jc w:val="both"/>
        <w:rPr>
          <w:szCs w:val="22"/>
        </w:rPr>
      </w:pPr>
    </w:p>
    <w:p w14:paraId="0F547CDA" w14:textId="77777777" w:rsidR="005477D4" w:rsidRPr="00136B35" w:rsidRDefault="005477D4" w:rsidP="005010FD">
      <w:pPr>
        <w:keepNext/>
        <w:jc w:val="both"/>
        <w:rPr>
          <w:szCs w:val="22"/>
        </w:rPr>
      </w:pPr>
      <w:r w:rsidRPr="00136B35">
        <w:rPr>
          <w:szCs w:val="22"/>
        </w:rPr>
        <w:t>Efficacia nei pazienti con alta attività di malattia:</w:t>
      </w:r>
    </w:p>
    <w:p w14:paraId="37466308" w14:textId="77777777" w:rsidR="005477D4" w:rsidRPr="00136B35" w:rsidRDefault="005477D4" w:rsidP="005010FD">
      <w:pPr>
        <w:keepNext/>
        <w:jc w:val="both"/>
        <w:rPr>
          <w:szCs w:val="22"/>
        </w:rPr>
      </w:pPr>
      <w:r w:rsidRPr="00136B35">
        <w:rPr>
          <w:szCs w:val="22"/>
        </w:rPr>
        <w:t>Negli studi DEFINE e CONFIRM, è stato osservato un effetto costante del trattamento sulle ricadute in un sottogruppo di pazienti con alta attività di malattia, mentre non è stato stabilito chiaramente l’effetto sul tempo alla progressione sostenuta della disabilità a 3 mesi. A causa del disegno degli studi, l’alta attività di malattia era definita nel modo seguente:</w:t>
      </w:r>
    </w:p>
    <w:p w14:paraId="2251F2DA" w14:textId="77777777" w:rsidR="005477D4" w:rsidRPr="00136B35" w:rsidRDefault="005477D4" w:rsidP="005010FD">
      <w:pPr>
        <w:keepNext/>
        <w:numPr>
          <w:ilvl w:val="0"/>
          <w:numId w:val="7"/>
        </w:numPr>
        <w:tabs>
          <w:tab w:val="clear" w:pos="567"/>
        </w:tabs>
        <w:ind w:left="567" w:hanging="567"/>
        <w:jc w:val="both"/>
        <w:rPr>
          <w:szCs w:val="22"/>
        </w:rPr>
      </w:pPr>
      <w:r w:rsidRPr="00136B35">
        <w:rPr>
          <w:szCs w:val="22"/>
        </w:rPr>
        <w:t>pazienti con 2 o più ricadute in un anno e con una o più lesioni captanti gadolinio (Gd+) alla risonanza magnetica (MRI) dell’encefalo (n = 42 nello studio DEFINE; n = 51 nello studio CONFIRM) o,</w:t>
      </w:r>
    </w:p>
    <w:p w14:paraId="3CDE552F" w14:textId="77777777" w:rsidR="005477D4" w:rsidRPr="00136B35" w:rsidRDefault="005477D4" w:rsidP="005010FD">
      <w:pPr>
        <w:keepNext/>
        <w:widowControl w:val="0"/>
        <w:numPr>
          <w:ilvl w:val="0"/>
          <w:numId w:val="7"/>
        </w:numPr>
        <w:tabs>
          <w:tab w:val="clear" w:pos="0"/>
          <w:tab w:val="num" w:pos="-741"/>
        </w:tabs>
        <w:ind w:left="574" w:hanging="574"/>
        <w:jc w:val="both"/>
        <w:rPr>
          <w:szCs w:val="22"/>
        </w:rPr>
      </w:pPr>
      <w:r w:rsidRPr="00136B35">
        <w:rPr>
          <w:szCs w:val="22"/>
        </w:rPr>
        <w:t>pazienti che non hanno risposto ad un ciclo completo e adeguato (almeno un anno di trattamento) di beta-interferone, avendo avuto almeno 1 ricaduta nell’anno precedente in corso di terapia e almeno 9 lesioni iperintense in T2 alla risonanza magnetica (MRI) del cranio o</w:t>
      </w:r>
    </w:p>
    <w:p w14:paraId="3876CA8F" w14:textId="77777777" w:rsidR="005477D4" w:rsidRPr="00136B35" w:rsidRDefault="005477D4" w:rsidP="005010FD">
      <w:pPr>
        <w:keepNext/>
        <w:widowControl w:val="0"/>
        <w:ind w:left="574"/>
        <w:jc w:val="both"/>
        <w:rPr>
          <w:szCs w:val="22"/>
        </w:rPr>
      </w:pPr>
      <w:r w:rsidRPr="00136B35">
        <w:rPr>
          <w:szCs w:val="22"/>
        </w:rPr>
        <w:t>almeno una (1) lesione captante gadolinio (Gd+), o pazienti con un tasso di recidiva invariato o maggiore nell’anno precedente rispetto ai 2 anni precedenti (n = 177 nello studio DEFINE; n = 141 nello studio CONFIRM).</w:t>
      </w:r>
    </w:p>
    <w:p w14:paraId="4045ABA9" w14:textId="77777777" w:rsidR="005477D4" w:rsidRPr="00136B35" w:rsidRDefault="005477D4" w:rsidP="005010FD">
      <w:pPr>
        <w:widowControl w:val="0"/>
        <w:jc w:val="both"/>
        <w:rPr>
          <w:szCs w:val="22"/>
        </w:rPr>
      </w:pPr>
    </w:p>
    <w:p w14:paraId="4BD758D2" w14:textId="77777777" w:rsidR="005477D4" w:rsidRPr="00136B35" w:rsidRDefault="005477D4" w:rsidP="005010FD">
      <w:pPr>
        <w:keepNext/>
        <w:widowControl w:val="0"/>
        <w:jc w:val="both"/>
        <w:rPr>
          <w:szCs w:val="22"/>
          <w:u w:val="single"/>
        </w:rPr>
      </w:pPr>
      <w:r w:rsidRPr="00136B35">
        <w:rPr>
          <w:szCs w:val="22"/>
          <w:u w:val="single"/>
        </w:rPr>
        <w:t>Popolazione pediatrica</w:t>
      </w:r>
    </w:p>
    <w:p w14:paraId="1F7755BF" w14:textId="77777777" w:rsidR="005477D4" w:rsidRPr="00136B35" w:rsidRDefault="005477D4" w:rsidP="005010FD">
      <w:pPr>
        <w:keepNext/>
        <w:widowControl w:val="0"/>
        <w:jc w:val="both"/>
        <w:rPr>
          <w:szCs w:val="22"/>
        </w:rPr>
      </w:pPr>
    </w:p>
    <w:p w14:paraId="4021319D" w14:textId="77777777" w:rsidR="005477D4" w:rsidRPr="00136B35" w:rsidRDefault="005477D4" w:rsidP="005010FD">
      <w:pPr>
        <w:pStyle w:val="GTCBodyText"/>
        <w:spacing w:before="0" w:after="0" w:line="240" w:lineRule="auto"/>
        <w:rPr>
          <w:sz w:val="22"/>
          <w:szCs w:val="22"/>
          <w:lang w:val="it-IT"/>
        </w:rPr>
      </w:pPr>
      <w:r w:rsidRPr="00136B35">
        <w:rPr>
          <w:sz w:val="22"/>
          <w:szCs w:val="22"/>
          <w:lang w:val="it-IT"/>
        </w:rPr>
        <w:t>La sicurezza e l’efficacia di dimetilfumarato nella SM</w:t>
      </w:r>
      <w:r w:rsidRPr="00136B35">
        <w:rPr>
          <w:sz w:val="22"/>
          <w:szCs w:val="22"/>
          <w:lang w:val="it-IT"/>
        </w:rPr>
        <w:noBreakHyphen/>
        <w:t>RR pediatrica sono state valutate in uno studio randomizzato in aperto, con controllo attivo (interferone beta</w:t>
      </w:r>
      <w:r w:rsidRPr="00136B35">
        <w:rPr>
          <w:sz w:val="22"/>
          <w:szCs w:val="22"/>
          <w:lang w:val="it-IT"/>
        </w:rPr>
        <w:noBreakHyphen/>
        <w:t>1a), a gruppi paralleli, in pazienti affetti da SM</w:t>
      </w:r>
      <w:r w:rsidRPr="00136B35">
        <w:rPr>
          <w:sz w:val="22"/>
          <w:szCs w:val="22"/>
          <w:lang w:val="it-IT"/>
        </w:rPr>
        <w:noBreakHyphen/>
        <w:t>RR di età compresa tra 10 e meno di 18 anni. Centocinquanta pazienti sono stati randomizzati a dimetilfumarato (240 mg per via orale due volte al giorno) o interferone beta</w:t>
      </w:r>
      <w:r w:rsidRPr="00136B35">
        <w:rPr>
          <w:sz w:val="22"/>
          <w:szCs w:val="22"/>
          <w:lang w:val="it-IT"/>
        </w:rPr>
        <w:noBreakHyphen/>
        <w:t>1a (30 μg per via intramuscolare una volta alla settimana) per 96 settimane. L’endpoint primario era la percentuale di pazienti senza lesioni iperintense in T2 alla MRI cerebrale nuove o di nuova espansione alla settimana 96. L’endpoint secondario principale era il numero di lesioni iperintense in T2 alla MRI cerebrale nuove o di nuova espansione alla settimana 96. Sono state presentate statistiche descrittive in quanto non era stata pianificata in anticipo alcuna ipotesi confermativa per l’endpoint primario.</w:t>
      </w:r>
    </w:p>
    <w:p w14:paraId="54793AD6" w14:textId="77777777" w:rsidR="005477D4" w:rsidRPr="00136B35" w:rsidRDefault="005477D4" w:rsidP="005010FD">
      <w:pPr>
        <w:pStyle w:val="GTCBodyText"/>
        <w:spacing w:before="0" w:after="0" w:line="240" w:lineRule="auto"/>
        <w:rPr>
          <w:sz w:val="22"/>
          <w:szCs w:val="22"/>
          <w:lang w:val="it-IT"/>
        </w:rPr>
      </w:pPr>
    </w:p>
    <w:p w14:paraId="49D305AC" w14:textId="77777777" w:rsidR="005477D4" w:rsidRPr="00136B35" w:rsidRDefault="005477D4" w:rsidP="005010FD">
      <w:pPr>
        <w:pStyle w:val="GTCBodyText"/>
        <w:keepLines/>
        <w:spacing w:before="0" w:after="0" w:line="240" w:lineRule="auto"/>
        <w:rPr>
          <w:sz w:val="22"/>
          <w:szCs w:val="22"/>
          <w:lang w:val="it-IT"/>
        </w:rPr>
      </w:pPr>
      <w:r w:rsidRPr="00136B35">
        <w:rPr>
          <w:sz w:val="22"/>
          <w:szCs w:val="22"/>
          <w:lang w:val="it-IT"/>
        </w:rPr>
        <w:t>La percentuale di pazienti nella popolazione ITT (intenzione al trattamento) senza lesioni iperintense in T2 alla MRI nuove o di nuova espansione alla settimana 96, rispetto al basale, è stata pari al 12,8% per il gruppo trattato con dimetilfumarato, rispetto al 2,8% nel gruppo trattato con interferone beta</w:t>
      </w:r>
      <w:r w:rsidRPr="00136B35">
        <w:rPr>
          <w:sz w:val="22"/>
          <w:szCs w:val="22"/>
          <w:lang w:val="it-IT"/>
        </w:rPr>
        <w:noBreakHyphen/>
        <w:t>1a. Il numero medio di lesioni in T2 nuove o di nuova espansione alla settimana 96 rispetto al basale, aggiustato per numero di lesioni in T2 al basale e per l’età (popolazione ITT esclusi i pazienti senza misurazioni di MRI), è stato pari a 12,4 per dimetilfumarato e a 32,6 per interferone beta</w:t>
      </w:r>
      <w:r w:rsidRPr="00136B35">
        <w:rPr>
          <w:sz w:val="22"/>
          <w:szCs w:val="22"/>
          <w:lang w:val="it-IT"/>
        </w:rPr>
        <w:noBreakHyphen/>
        <w:t>1a.</w:t>
      </w:r>
    </w:p>
    <w:p w14:paraId="3F8D80D5" w14:textId="77777777" w:rsidR="005477D4" w:rsidRPr="00136B35" w:rsidRDefault="005477D4" w:rsidP="005010FD">
      <w:pPr>
        <w:pStyle w:val="GTCBodyText"/>
        <w:keepLines/>
        <w:spacing w:before="0" w:after="0" w:line="240" w:lineRule="auto"/>
        <w:rPr>
          <w:sz w:val="22"/>
          <w:szCs w:val="22"/>
          <w:lang w:val="it-IT"/>
        </w:rPr>
      </w:pPr>
    </w:p>
    <w:p w14:paraId="3294540E" w14:textId="77777777" w:rsidR="005477D4" w:rsidRPr="00136B35" w:rsidRDefault="005477D4" w:rsidP="005010FD">
      <w:pPr>
        <w:pStyle w:val="GTCBodyText"/>
        <w:keepLines/>
        <w:spacing w:before="0" w:after="0" w:line="240" w:lineRule="auto"/>
        <w:rPr>
          <w:sz w:val="22"/>
          <w:szCs w:val="22"/>
          <w:lang w:val="it-IT"/>
        </w:rPr>
      </w:pPr>
      <w:r w:rsidRPr="00136B35">
        <w:rPr>
          <w:sz w:val="22"/>
          <w:szCs w:val="22"/>
          <w:lang w:val="it-IT"/>
        </w:rPr>
        <w:t>La probabilità di recidiva clinica è stata del 34% nel gruppo trattato con dimetilfumarato e del 48% nel gruppo trattato con interferone beta</w:t>
      </w:r>
      <w:r w:rsidRPr="00136B35">
        <w:rPr>
          <w:sz w:val="22"/>
          <w:szCs w:val="22"/>
          <w:lang w:val="it-IT"/>
        </w:rPr>
        <w:noBreakHyphen/>
        <w:t>1a, al termine del periodo di studio in aperto di 96 settimane.</w:t>
      </w:r>
    </w:p>
    <w:p w14:paraId="7F696D68" w14:textId="77777777" w:rsidR="005477D4" w:rsidRPr="00136B35" w:rsidRDefault="005477D4" w:rsidP="005010FD">
      <w:pPr>
        <w:pStyle w:val="GTCBodyText"/>
        <w:spacing w:before="0" w:after="0" w:line="240" w:lineRule="auto"/>
        <w:rPr>
          <w:sz w:val="22"/>
          <w:szCs w:val="22"/>
          <w:lang w:val="it-IT"/>
        </w:rPr>
      </w:pPr>
    </w:p>
    <w:p w14:paraId="0A972433" w14:textId="77777777" w:rsidR="005477D4" w:rsidRPr="00136B35" w:rsidRDefault="005477D4" w:rsidP="005010FD">
      <w:pPr>
        <w:pStyle w:val="GTCBodyText"/>
        <w:spacing w:before="0" w:after="0" w:line="240" w:lineRule="auto"/>
        <w:rPr>
          <w:sz w:val="22"/>
          <w:szCs w:val="22"/>
          <w:lang w:val="it-IT"/>
        </w:rPr>
      </w:pPr>
      <w:r w:rsidRPr="00136B35">
        <w:rPr>
          <w:sz w:val="22"/>
          <w:szCs w:val="22"/>
          <w:lang w:val="it-IT"/>
        </w:rPr>
        <w:lastRenderedPageBreak/>
        <w:t>Il profilo di sicurezza nei pazienti pediatrici (da 13 a meno di 18 anni di età) trattati con dimetilfumarato era coerente dal punto di vista qualitativo con quello precedentemente osservato nei pazienti adulti (vedere paragrafo 4.8).</w:t>
      </w:r>
    </w:p>
    <w:p w14:paraId="63545DEA" w14:textId="77777777" w:rsidR="005477D4" w:rsidRPr="00136B35" w:rsidRDefault="005477D4" w:rsidP="005010FD">
      <w:pPr>
        <w:widowControl w:val="0"/>
        <w:jc w:val="both"/>
        <w:rPr>
          <w:szCs w:val="22"/>
        </w:rPr>
      </w:pPr>
    </w:p>
    <w:p w14:paraId="36A3CC59" w14:textId="77777777" w:rsidR="005477D4" w:rsidRPr="00136B35" w:rsidRDefault="005477D4" w:rsidP="005010FD">
      <w:pPr>
        <w:keepNext/>
        <w:widowControl w:val="0"/>
        <w:jc w:val="both"/>
        <w:rPr>
          <w:b/>
          <w:szCs w:val="22"/>
        </w:rPr>
      </w:pPr>
      <w:r w:rsidRPr="00136B35">
        <w:rPr>
          <w:b/>
          <w:szCs w:val="22"/>
        </w:rPr>
        <w:t>5.2</w:t>
      </w:r>
      <w:r w:rsidRPr="00136B35">
        <w:rPr>
          <w:b/>
          <w:szCs w:val="22"/>
        </w:rPr>
        <w:tab/>
        <w:t>Proprietà farmacocinetiche</w:t>
      </w:r>
    </w:p>
    <w:p w14:paraId="44E35337" w14:textId="77777777" w:rsidR="005477D4" w:rsidRPr="00136B35" w:rsidRDefault="005477D4" w:rsidP="005010FD">
      <w:pPr>
        <w:keepNext/>
        <w:widowControl w:val="0"/>
        <w:jc w:val="both"/>
        <w:rPr>
          <w:szCs w:val="22"/>
        </w:rPr>
      </w:pPr>
    </w:p>
    <w:p w14:paraId="5FFC397F" w14:textId="77777777" w:rsidR="005477D4" w:rsidRPr="00136B35" w:rsidRDefault="005477D4" w:rsidP="005010FD">
      <w:pPr>
        <w:widowControl w:val="0"/>
        <w:jc w:val="both"/>
        <w:rPr>
          <w:szCs w:val="22"/>
        </w:rPr>
      </w:pPr>
      <w:r w:rsidRPr="00136B35">
        <w:rPr>
          <w:szCs w:val="22"/>
        </w:rPr>
        <w:t>Somministrato per via orale, dimetilfumarato subisce una rapida idrolisi presistemica mediata da esterasi e viene convertito in monometilfumarato, il suo metabolita principale, anch’esso attivo. Dimetilfumarato non è quantificabile nel plasma a seguito di somministrazione orale di dimetilfumarato. Pertanto, tutte le analisi farmacocinetiche relative a dimetilfumarato sono state effettuate con concentrazioni plasmatiche di monometilfumarato. I dati farmacocinetici sono stati ottenuti in soggetti con sclerosi multipla e in volontari sani.</w:t>
      </w:r>
    </w:p>
    <w:p w14:paraId="6A36B924" w14:textId="77777777" w:rsidR="005477D4" w:rsidRPr="00136B35" w:rsidRDefault="005477D4" w:rsidP="005010FD">
      <w:pPr>
        <w:widowControl w:val="0"/>
        <w:jc w:val="both"/>
        <w:rPr>
          <w:szCs w:val="22"/>
        </w:rPr>
      </w:pPr>
    </w:p>
    <w:p w14:paraId="50698B85" w14:textId="77777777" w:rsidR="005477D4" w:rsidRPr="00136B35" w:rsidRDefault="005477D4" w:rsidP="005010FD">
      <w:pPr>
        <w:keepNext/>
        <w:keepLines/>
        <w:jc w:val="both"/>
        <w:rPr>
          <w:szCs w:val="22"/>
          <w:u w:val="single"/>
        </w:rPr>
      </w:pPr>
      <w:r w:rsidRPr="00136B35">
        <w:rPr>
          <w:szCs w:val="22"/>
          <w:u w:val="single"/>
        </w:rPr>
        <w:t>Assorbimento</w:t>
      </w:r>
    </w:p>
    <w:p w14:paraId="7C1A474D" w14:textId="77777777" w:rsidR="005477D4" w:rsidRPr="00136B35" w:rsidRDefault="005477D4" w:rsidP="005010FD">
      <w:pPr>
        <w:keepNext/>
        <w:keepLines/>
        <w:jc w:val="both"/>
        <w:rPr>
          <w:szCs w:val="22"/>
        </w:rPr>
      </w:pPr>
    </w:p>
    <w:p w14:paraId="172E5AF2" w14:textId="1081176C" w:rsidR="005477D4" w:rsidRPr="00136B35" w:rsidRDefault="005477D4" w:rsidP="005010FD">
      <w:pPr>
        <w:keepNext/>
        <w:keepLines/>
        <w:jc w:val="both"/>
        <w:rPr>
          <w:szCs w:val="22"/>
        </w:rPr>
      </w:pPr>
      <w:r w:rsidRPr="00136B35">
        <w:rPr>
          <w:szCs w:val="22"/>
        </w:rPr>
        <w:t>Il T</w:t>
      </w:r>
      <w:r w:rsidRPr="00136B35">
        <w:rPr>
          <w:szCs w:val="22"/>
          <w:vertAlign w:val="subscript"/>
        </w:rPr>
        <w:t>max</w:t>
      </w:r>
      <w:r w:rsidRPr="00136B35">
        <w:rPr>
          <w:szCs w:val="22"/>
        </w:rPr>
        <w:t xml:space="preserve"> di monometilfumarato è compreso tra 2 e 2,5 ore. Poiché le capsule rigide gastroresistenti di dimetilfumarato contengono mini-compresse, che sono protette da un rivestimento enterico, l’assorbimento non inizia fino a quando queste non lasciano lo stomaco (in genere meno di 1 ora). Dopo la somministrazione con il cibo di 240 mg due volte al giorno, il </w:t>
      </w:r>
      <w:r w:rsidRPr="00136B35">
        <w:rPr>
          <w:rStyle w:val="Emphasis"/>
          <w:i w:val="0"/>
          <w:szCs w:val="22"/>
        </w:rPr>
        <w:t>picco</w:t>
      </w:r>
      <w:r w:rsidRPr="00136B35">
        <w:rPr>
          <w:szCs w:val="22"/>
        </w:rPr>
        <w:t xml:space="preserve"> mediano (C</w:t>
      </w:r>
      <w:r w:rsidRPr="00136B35">
        <w:rPr>
          <w:szCs w:val="22"/>
          <w:vertAlign w:val="subscript"/>
        </w:rPr>
        <w:t>max</w:t>
      </w:r>
      <w:r w:rsidRPr="00136B35">
        <w:rPr>
          <w:szCs w:val="22"/>
        </w:rPr>
        <w:t>) è stato di 1,72 mg/L e l’esposizione complessiva (AUC, area sotto la curva) è stata di 8,02 h.mg/L nei soggetti con sclerosi multipla. Complessivamente, la C</w:t>
      </w:r>
      <w:r w:rsidRPr="00136B35">
        <w:rPr>
          <w:szCs w:val="22"/>
          <w:vertAlign w:val="subscript"/>
        </w:rPr>
        <w:t>max</w:t>
      </w:r>
      <w:r w:rsidRPr="00136B35">
        <w:rPr>
          <w:szCs w:val="22"/>
        </w:rPr>
        <w:t xml:space="preserve"> e l’AUC sono aumentate approssimativamente in modo proporzionale alla dose nel range di dosi studiato (da 120 mg a 360 mg). In soggetti con sclerosi multipla, sono state somministrate due dosi di 240 mg a distanza di 4 ore nell’ambito di un regime posologico di somministrazione tre volte al giorno. Questo ha prodotto un accumulo minimo di esposizione con conseguente aumento della C</w:t>
      </w:r>
      <w:r w:rsidRPr="00136B35">
        <w:rPr>
          <w:szCs w:val="22"/>
          <w:vertAlign w:val="subscript"/>
        </w:rPr>
        <w:t>max</w:t>
      </w:r>
      <w:r w:rsidRPr="00136B35">
        <w:rPr>
          <w:szCs w:val="22"/>
        </w:rPr>
        <w:t xml:space="preserve"> mediana del 12% rispetto alla somministrazione due volte al giorno (1,72 mg/l per due volte al giorno rispetto a 1,93 mg/l per tre volte al giorno) senza implicazioni per la sicurezza.</w:t>
      </w:r>
    </w:p>
    <w:p w14:paraId="6863C70F" w14:textId="77777777" w:rsidR="005477D4" w:rsidRPr="00136B35" w:rsidRDefault="005477D4" w:rsidP="005010FD">
      <w:pPr>
        <w:keepNext/>
        <w:keepLines/>
        <w:jc w:val="both"/>
        <w:rPr>
          <w:szCs w:val="22"/>
        </w:rPr>
      </w:pPr>
    </w:p>
    <w:p w14:paraId="56D87FC9" w14:textId="77777777" w:rsidR="005477D4" w:rsidRPr="00136B35" w:rsidRDefault="005477D4" w:rsidP="005010FD">
      <w:pPr>
        <w:widowControl w:val="0"/>
        <w:jc w:val="both"/>
        <w:rPr>
          <w:szCs w:val="22"/>
        </w:rPr>
      </w:pPr>
      <w:r w:rsidRPr="00136B35">
        <w:rPr>
          <w:szCs w:val="22"/>
        </w:rPr>
        <w:t>Il cibo non ha un effetto clinicamente significativo sull’esposizione di dimetilfumarato. Tuttavia, dimetilfumarato deve essere assunto con il cibo a causa della migliore tollerabilità relativamente al rossore o agli eventi avversi gastrointestinali (vedere paragrafo 4.2).</w:t>
      </w:r>
    </w:p>
    <w:p w14:paraId="4AAB2D17" w14:textId="77777777" w:rsidR="005477D4" w:rsidRPr="00136B35" w:rsidRDefault="005477D4" w:rsidP="005010FD">
      <w:pPr>
        <w:widowControl w:val="0"/>
        <w:jc w:val="both"/>
        <w:rPr>
          <w:szCs w:val="22"/>
        </w:rPr>
      </w:pPr>
    </w:p>
    <w:p w14:paraId="23EDBADA" w14:textId="77777777" w:rsidR="005477D4" w:rsidRPr="00136B35" w:rsidRDefault="005477D4" w:rsidP="005010FD">
      <w:pPr>
        <w:widowControl w:val="0"/>
        <w:jc w:val="both"/>
        <w:rPr>
          <w:szCs w:val="22"/>
          <w:u w:val="single"/>
        </w:rPr>
      </w:pPr>
      <w:r w:rsidRPr="00136B35">
        <w:rPr>
          <w:szCs w:val="22"/>
          <w:u w:val="single"/>
        </w:rPr>
        <w:t>Distribuzione</w:t>
      </w:r>
    </w:p>
    <w:p w14:paraId="7225FB75" w14:textId="77777777" w:rsidR="005477D4" w:rsidRPr="00136B35" w:rsidRDefault="005477D4" w:rsidP="005010FD">
      <w:pPr>
        <w:widowControl w:val="0"/>
        <w:jc w:val="both"/>
        <w:rPr>
          <w:szCs w:val="22"/>
        </w:rPr>
      </w:pPr>
    </w:p>
    <w:p w14:paraId="362CB589" w14:textId="77777777" w:rsidR="005477D4" w:rsidRPr="00136B35" w:rsidRDefault="005477D4" w:rsidP="005010FD">
      <w:pPr>
        <w:widowControl w:val="0"/>
        <w:jc w:val="both"/>
        <w:rPr>
          <w:szCs w:val="22"/>
        </w:rPr>
      </w:pPr>
      <w:r w:rsidRPr="00136B35">
        <w:rPr>
          <w:szCs w:val="22"/>
        </w:rPr>
        <w:t>Il volume apparente di distribuzione dopo la somministrazione orale di dimetilfumarato 240 mg varia tra 60 L e 90 L. Il legame di monometilfumarato alle proteine plasmatiche umane è in genere compreso tra il 27% e il 40%.</w:t>
      </w:r>
    </w:p>
    <w:p w14:paraId="6C3D1053" w14:textId="77777777" w:rsidR="005477D4" w:rsidRPr="00136B35" w:rsidRDefault="005477D4" w:rsidP="005010FD">
      <w:pPr>
        <w:widowControl w:val="0"/>
        <w:jc w:val="both"/>
        <w:rPr>
          <w:szCs w:val="22"/>
        </w:rPr>
      </w:pPr>
    </w:p>
    <w:p w14:paraId="7DA82BE5" w14:textId="77777777" w:rsidR="005477D4" w:rsidRPr="00136B35" w:rsidRDefault="005477D4" w:rsidP="005010FD">
      <w:pPr>
        <w:keepNext/>
        <w:widowControl w:val="0"/>
        <w:jc w:val="both"/>
        <w:rPr>
          <w:szCs w:val="22"/>
          <w:u w:val="single"/>
        </w:rPr>
      </w:pPr>
      <w:r w:rsidRPr="00136B35">
        <w:rPr>
          <w:szCs w:val="22"/>
          <w:u w:val="single"/>
        </w:rPr>
        <w:t>Biotrasformazione</w:t>
      </w:r>
    </w:p>
    <w:p w14:paraId="37A8F830" w14:textId="77777777" w:rsidR="005477D4" w:rsidRPr="00136B35" w:rsidRDefault="005477D4" w:rsidP="005010FD">
      <w:pPr>
        <w:keepNext/>
        <w:widowControl w:val="0"/>
        <w:jc w:val="both"/>
        <w:rPr>
          <w:szCs w:val="22"/>
        </w:rPr>
      </w:pPr>
    </w:p>
    <w:p w14:paraId="684616FC" w14:textId="77777777" w:rsidR="005477D4" w:rsidRPr="00136B35" w:rsidRDefault="005477D4" w:rsidP="005010FD">
      <w:pPr>
        <w:widowControl w:val="0"/>
        <w:jc w:val="both"/>
        <w:rPr>
          <w:szCs w:val="22"/>
        </w:rPr>
      </w:pPr>
      <w:r w:rsidRPr="00136B35">
        <w:rPr>
          <w:szCs w:val="22"/>
        </w:rPr>
        <w:t xml:space="preserve">Nell’uomo, dimetilfumarato viene ampiamente metabolizzato e meno dello 0,1% della dose è escreto nelle urine come dimetilfumarato non modificato. Dimetilfumarato viene inizialmente metabolizzato dalle esterasi, che sono ubiquitarie nell’apparato gastrointestinale, nel sangue e nei tessuti, prima di raggiungere la circolazione sistemica. Un ulteriore metabolismo avviene attraverso il ciclo dell’acido tricarbossilico, senza alcun coinvolgimento del sistema del citocromo P450 (CYP). Uno studio sulla singola dose di 240 mg di </w:t>
      </w:r>
      <w:r w:rsidRPr="00136B35">
        <w:rPr>
          <w:szCs w:val="22"/>
          <w:vertAlign w:val="superscript"/>
        </w:rPr>
        <w:t>14</w:t>
      </w:r>
      <w:r w:rsidRPr="00136B35">
        <w:rPr>
          <w:szCs w:val="22"/>
        </w:rPr>
        <w:t>C-dimetilfumarato ha identificato il glucosio come metabolita predominante nel plasma umano. Altri metaboliti circolanti comprendevano l’acido fumarico, l’acido citrico e il monometilfumarato. Il metabolismo dell’acido fumarico a valle del suddetto percorso metabolico avviene attraverso il ciclo dell’acido tricarbossilico, con esalazione di anidride carbonica (CO</w:t>
      </w:r>
      <w:r w:rsidRPr="00136B35">
        <w:rPr>
          <w:szCs w:val="22"/>
          <w:vertAlign w:val="subscript"/>
        </w:rPr>
        <w:t>2</w:t>
      </w:r>
      <w:r w:rsidRPr="00136B35">
        <w:rPr>
          <w:szCs w:val="22"/>
        </w:rPr>
        <w:t>) che funge da via principale di eliminazione.</w:t>
      </w:r>
    </w:p>
    <w:p w14:paraId="63ECC1AC" w14:textId="77777777" w:rsidR="005477D4" w:rsidRPr="00136B35" w:rsidRDefault="005477D4" w:rsidP="005010FD">
      <w:pPr>
        <w:widowControl w:val="0"/>
        <w:jc w:val="both"/>
        <w:rPr>
          <w:szCs w:val="22"/>
        </w:rPr>
      </w:pPr>
    </w:p>
    <w:p w14:paraId="0CCED48E" w14:textId="77777777" w:rsidR="005477D4" w:rsidRPr="00136B35" w:rsidRDefault="005477D4" w:rsidP="005010FD">
      <w:pPr>
        <w:widowControl w:val="0"/>
        <w:jc w:val="both"/>
        <w:rPr>
          <w:szCs w:val="22"/>
          <w:u w:val="single"/>
        </w:rPr>
      </w:pPr>
      <w:r w:rsidRPr="00136B35">
        <w:rPr>
          <w:szCs w:val="22"/>
          <w:u w:val="single"/>
        </w:rPr>
        <w:t>Eliminazione</w:t>
      </w:r>
    </w:p>
    <w:p w14:paraId="75BD02BB" w14:textId="77777777" w:rsidR="005477D4" w:rsidRPr="00136B35" w:rsidRDefault="005477D4" w:rsidP="005010FD">
      <w:pPr>
        <w:widowControl w:val="0"/>
        <w:jc w:val="both"/>
        <w:rPr>
          <w:szCs w:val="22"/>
        </w:rPr>
      </w:pPr>
    </w:p>
    <w:p w14:paraId="6F1EB425" w14:textId="77777777" w:rsidR="005477D4" w:rsidRPr="00136B35" w:rsidRDefault="005477D4" w:rsidP="005010FD">
      <w:pPr>
        <w:widowControl w:val="0"/>
        <w:jc w:val="both"/>
        <w:rPr>
          <w:szCs w:val="22"/>
        </w:rPr>
      </w:pPr>
      <w:r w:rsidRPr="00136B35">
        <w:rPr>
          <w:szCs w:val="22"/>
        </w:rPr>
        <w:t>L’esalazione di CO</w:t>
      </w:r>
      <w:r w:rsidRPr="00136B35">
        <w:rPr>
          <w:szCs w:val="22"/>
          <w:vertAlign w:val="subscript"/>
        </w:rPr>
        <w:t>2</w:t>
      </w:r>
      <w:r w:rsidRPr="00136B35">
        <w:rPr>
          <w:szCs w:val="22"/>
        </w:rPr>
        <w:t xml:space="preserve"> è la principale via di eliminazione di dimetilfumarato e rappresenta il 60% della dose. L’eliminazione renale e fecale sono vie di eliminazione secondarie, e rappresentano rispettivamente il 15,5% e lo 0,9% della dose.</w:t>
      </w:r>
    </w:p>
    <w:p w14:paraId="07F1E528" w14:textId="77777777" w:rsidR="005477D4" w:rsidRPr="00136B35" w:rsidRDefault="005477D4" w:rsidP="005010FD">
      <w:pPr>
        <w:widowControl w:val="0"/>
        <w:jc w:val="both"/>
        <w:rPr>
          <w:szCs w:val="22"/>
        </w:rPr>
      </w:pPr>
    </w:p>
    <w:p w14:paraId="65F0F0CB" w14:textId="436C44AE" w:rsidR="005477D4" w:rsidRPr="00136B35" w:rsidRDefault="005477D4" w:rsidP="005010FD">
      <w:pPr>
        <w:jc w:val="both"/>
        <w:rPr>
          <w:szCs w:val="22"/>
        </w:rPr>
      </w:pPr>
      <w:r w:rsidRPr="00136B35">
        <w:rPr>
          <w:szCs w:val="22"/>
        </w:rPr>
        <w:lastRenderedPageBreak/>
        <w:t>L’emivita terminale di monometilfumarato è breve (circa 1 ora) e nessuna quantità di monometilfumarato circolante è presente a 24 ore nella maggior parte dei soggetti. L’accumulo del dimetilfumarato o di monometilfumarato non avviene con dosi multiple di dimetilfumarato al regime terapeutico.</w:t>
      </w:r>
    </w:p>
    <w:p w14:paraId="67527D9A" w14:textId="77777777" w:rsidR="005477D4" w:rsidRPr="00136B35" w:rsidRDefault="005477D4" w:rsidP="005010FD">
      <w:pPr>
        <w:widowControl w:val="0"/>
        <w:jc w:val="both"/>
        <w:rPr>
          <w:szCs w:val="22"/>
        </w:rPr>
      </w:pPr>
    </w:p>
    <w:p w14:paraId="62A95F53" w14:textId="77777777" w:rsidR="005477D4" w:rsidRPr="00136B35" w:rsidRDefault="005477D4" w:rsidP="005010FD">
      <w:pPr>
        <w:keepNext/>
        <w:widowControl w:val="0"/>
        <w:jc w:val="both"/>
        <w:rPr>
          <w:szCs w:val="22"/>
          <w:u w:val="single"/>
        </w:rPr>
      </w:pPr>
      <w:r w:rsidRPr="00136B35">
        <w:rPr>
          <w:szCs w:val="22"/>
          <w:u w:val="single"/>
        </w:rPr>
        <w:t>Linearità</w:t>
      </w:r>
    </w:p>
    <w:p w14:paraId="16BADFF3" w14:textId="77777777" w:rsidR="005477D4" w:rsidRPr="00136B35" w:rsidRDefault="005477D4" w:rsidP="005010FD">
      <w:pPr>
        <w:keepNext/>
        <w:widowControl w:val="0"/>
        <w:jc w:val="both"/>
        <w:rPr>
          <w:szCs w:val="22"/>
        </w:rPr>
      </w:pPr>
    </w:p>
    <w:p w14:paraId="1A2E3D3A" w14:textId="77777777" w:rsidR="005477D4" w:rsidRPr="00136B35" w:rsidRDefault="005477D4" w:rsidP="005010FD">
      <w:pPr>
        <w:widowControl w:val="0"/>
        <w:jc w:val="both"/>
        <w:rPr>
          <w:szCs w:val="22"/>
        </w:rPr>
      </w:pPr>
      <w:r w:rsidRPr="00136B35">
        <w:rPr>
          <w:szCs w:val="22"/>
        </w:rPr>
        <w:t>L’esposizione a dimetilfumarato aumenta in un modo approssimativamente proporzionale alla dose con dosi singole e multiple nel range posologico studiato compreso tra 120 mg e 360 mg.</w:t>
      </w:r>
    </w:p>
    <w:p w14:paraId="7AEFACA3" w14:textId="77777777" w:rsidR="005477D4" w:rsidRPr="00136B35" w:rsidRDefault="005477D4" w:rsidP="005010FD">
      <w:pPr>
        <w:widowControl w:val="0"/>
        <w:jc w:val="both"/>
        <w:rPr>
          <w:szCs w:val="22"/>
        </w:rPr>
      </w:pPr>
    </w:p>
    <w:p w14:paraId="57BEEFDC" w14:textId="77777777" w:rsidR="005477D4" w:rsidRPr="00136B35" w:rsidRDefault="005477D4" w:rsidP="005010FD">
      <w:pPr>
        <w:keepNext/>
        <w:keepLines/>
        <w:jc w:val="both"/>
        <w:rPr>
          <w:szCs w:val="22"/>
          <w:u w:val="single"/>
        </w:rPr>
      </w:pPr>
      <w:r w:rsidRPr="00136B35">
        <w:rPr>
          <w:szCs w:val="22"/>
          <w:u w:val="single"/>
        </w:rPr>
        <w:t>Farmacocinetica in gruppi speciali di pazienti</w:t>
      </w:r>
    </w:p>
    <w:p w14:paraId="5304B47F" w14:textId="77777777" w:rsidR="005477D4" w:rsidRPr="00136B35" w:rsidRDefault="005477D4" w:rsidP="005010FD">
      <w:pPr>
        <w:keepNext/>
        <w:keepLines/>
        <w:jc w:val="both"/>
        <w:rPr>
          <w:szCs w:val="22"/>
        </w:rPr>
      </w:pPr>
    </w:p>
    <w:p w14:paraId="768D435A" w14:textId="77777777" w:rsidR="005477D4" w:rsidRPr="00136B35" w:rsidRDefault="005477D4" w:rsidP="005010FD">
      <w:pPr>
        <w:keepNext/>
        <w:keepLines/>
        <w:jc w:val="both"/>
        <w:rPr>
          <w:szCs w:val="22"/>
        </w:rPr>
      </w:pPr>
      <w:r w:rsidRPr="00136B35">
        <w:rPr>
          <w:szCs w:val="22"/>
        </w:rPr>
        <w:t>In base ai risultati dell’analisi della varianza (ANOVA), il peso corporeo è la principale covariata di esposizione (secondo la C</w:t>
      </w:r>
      <w:r w:rsidRPr="00136B35">
        <w:rPr>
          <w:szCs w:val="22"/>
          <w:vertAlign w:val="subscript"/>
        </w:rPr>
        <w:t>max</w:t>
      </w:r>
      <w:r w:rsidRPr="00136B35">
        <w:rPr>
          <w:szCs w:val="22"/>
        </w:rPr>
        <w:t xml:space="preserve"> e l’AUC) nei soggetti con sclerosi multipla recidivante</w:t>
      </w:r>
      <w:r w:rsidRPr="00136B35">
        <w:rPr>
          <w:szCs w:val="22"/>
        </w:rPr>
        <w:noBreakHyphen/>
        <w:t>remittente, ma non ha influito sulle misurazioni della sicurezza e dell’efficacia valutate negli studi clinici.</w:t>
      </w:r>
    </w:p>
    <w:p w14:paraId="245DBE05" w14:textId="77777777" w:rsidR="005477D4" w:rsidRPr="00136B35" w:rsidRDefault="005477D4" w:rsidP="005010FD">
      <w:pPr>
        <w:widowControl w:val="0"/>
        <w:jc w:val="both"/>
        <w:rPr>
          <w:szCs w:val="22"/>
        </w:rPr>
      </w:pPr>
    </w:p>
    <w:p w14:paraId="3B4F9611" w14:textId="77777777" w:rsidR="005477D4" w:rsidRPr="00136B35" w:rsidRDefault="005477D4" w:rsidP="005010FD">
      <w:pPr>
        <w:widowControl w:val="0"/>
        <w:jc w:val="both"/>
        <w:rPr>
          <w:szCs w:val="22"/>
        </w:rPr>
      </w:pPr>
      <w:r w:rsidRPr="00136B35">
        <w:rPr>
          <w:szCs w:val="22"/>
        </w:rPr>
        <w:t>Il sesso e l’età non hanno avuto un impatto clinicamente significativo sulla farmacocinetica di dimetilfumarato. La farmacocinetica nei pazienti di età pari o superiore ai 65 anni non è stata studiata.</w:t>
      </w:r>
    </w:p>
    <w:p w14:paraId="773CD241" w14:textId="77777777" w:rsidR="005477D4" w:rsidRPr="00136B35" w:rsidRDefault="005477D4" w:rsidP="005010FD">
      <w:pPr>
        <w:widowControl w:val="0"/>
        <w:jc w:val="both"/>
        <w:rPr>
          <w:szCs w:val="22"/>
        </w:rPr>
      </w:pPr>
    </w:p>
    <w:p w14:paraId="26A9F946" w14:textId="77777777" w:rsidR="005477D4" w:rsidRPr="00136B35" w:rsidRDefault="005477D4" w:rsidP="005010FD">
      <w:pPr>
        <w:widowControl w:val="0"/>
        <w:jc w:val="both"/>
        <w:rPr>
          <w:szCs w:val="22"/>
        </w:rPr>
      </w:pPr>
    </w:p>
    <w:p w14:paraId="61CCC5F9" w14:textId="77777777" w:rsidR="005477D4" w:rsidRPr="00136B35" w:rsidRDefault="005477D4" w:rsidP="005010FD">
      <w:pPr>
        <w:widowControl w:val="0"/>
        <w:jc w:val="both"/>
        <w:rPr>
          <w:i/>
          <w:szCs w:val="22"/>
        </w:rPr>
      </w:pPr>
      <w:r w:rsidRPr="00136B35">
        <w:rPr>
          <w:i/>
          <w:szCs w:val="22"/>
        </w:rPr>
        <w:t>Compromissione renale</w:t>
      </w:r>
    </w:p>
    <w:p w14:paraId="07D3CF9B" w14:textId="77777777" w:rsidR="005477D4" w:rsidRPr="00136B35" w:rsidRDefault="005477D4" w:rsidP="005010FD">
      <w:pPr>
        <w:widowControl w:val="0"/>
        <w:jc w:val="both"/>
        <w:rPr>
          <w:i/>
          <w:szCs w:val="22"/>
        </w:rPr>
      </w:pPr>
    </w:p>
    <w:p w14:paraId="63D0213B" w14:textId="77777777" w:rsidR="005477D4" w:rsidRPr="00136B35" w:rsidRDefault="005477D4" w:rsidP="005010FD">
      <w:pPr>
        <w:widowControl w:val="0"/>
        <w:jc w:val="both"/>
        <w:rPr>
          <w:szCs w:val="22"/>
        </w:rPr>
      </w:pPr>
      <w:r w:rsidRPr="00136B35">
        <w:rPr>
          <w:szCs w:val="22"/>
        </w:rPr>
        <w:t>Poiché la via renale è una via secondaria di eliminazione per dimetilfumarato che rappresenta meno del 16% della dose somministrata, non è stata effettuata la valutazione della farmacocinetica nei soggetti con compromissione renale.</w:t>
      </w:r>
    </w:p>
    <w:p w14:paraId="4297CFEA" w14:textId="77777777" w:rsidR="005477D4" w:rsidRPr="00136B35" w:rsidRDefault="005477D4" w:rsidP="005010FD">
      <w:pPr>
        <w:widowControl w:val="0"/>
        <w:jc w:val="both"/>
        <w:rPr>
          <w:szCs w:val="22"/>
        </w:rPr>
      </w:pPr>
    </w:p>
    <w:p w14:paraId="55102B09" w14:textId="77777777" w:rsidR="005477D4" w:rsidRPr="00136B35" w:rsidRDefault="005477D4" w:rsidP="005010FD">
      <w:pPr>
        <w:widowControl w:val="0"/>
        <w:jc w:val="both"/>
        <w:rPr>
          <w:i/>
          <w:szCs w:val="22"/>
        </w:rPr>
      </w:pPr>
      <w:r w:rsidRPr="00136B35">
        <w:rPr>
          <w:i/>
          <w:szCs w:val="22"/>
        </w:rPr>
        <w:t>Compromissione epatica</w:t>
      </w:r>
    </w:p>
    <w:p w14:paraId="684FC8BE" w14:textId="77777777" w:rsidR="005477D4" w:rsidRPr="00136B35" w:rsidRDefault="005477D4" w:rsidP="005010FD">
      <w:pPr>
        <w:widowControl w:val="0"/>
        <w:jc w:val="both"/>
        <w:rPr>
          <w:i/>
          <w:szCs w:val="22"/>
        </w:rPr>
      </w:pPr>
    </w:p>
    <w:p w14:paraId="57D4FE02" w14:textId="77777777" w:rsidR="005477D4" w:rsidRPr="00136B35" w:rsidRDefault="005477D4" w:rsidP="005010FD">
      <w:pPr>
        <w:widowControl w:val="0"/>
        <w:jc w:val="both"/>
        <w:rPr>
          <w:szCs w:val="22"/>
        </w:rPr>
      </w:pPr>
      <w:r w:rsidRPr="00136B35">
        <w:rPr>
          <w:szCs w:val="22"/>
        </w:rPr>
        <w:t>Poiché dimetilfumarato e monometilfumarato vengono metabolizzati dalle esterasi, senza il coinvolgimento del sistema del CYP450, non è stata effettuata la valutazione della farmacocinetica nei soggetti con compromissione epatica.</w:t>
      </w:r>
    </w:p>
    <w:p w14:paraId="21217C87" w14:textId="77777777" w:rsidR="005477D4" w:rsidRPr="00136B35" w:rsidRDefault="005477D4" w:rsidP="005477D4">
      <w:pPr>
        <w:widowControl w:val="0"/>
        <w:jc w:val="both"/>
        <w:rPr>
          <w:szCs w:val="22"/>
        </w:rPr>
      </w:pPr>
    </w:p>
    <w:p w14:paraId="3C0FE4A0" w14:textId="77777777" w:rsidR="005477D4" w:rsidRPr="00136B35" w:rsidRDefault="005477D4" w:rsidP="005477D4">
      <w:pPr>
        <w:widowControl w:val="0"/>
        <w:jc w:val="both"/>
        <w:rPr>
          <w:i/>
          <w:szCs w:val="22"/>
        </w:rPr>
      </w:pPr>
      <w:r w:rsidRPr="00136B35">
        <w:rPr>
          <w:i/>
          <w:szCs w:val="22"/>
        </w:rPr>
        <w:t>Popolazione pediatrica</w:t>
      </w:r>
    </w:p>
    <w:p w14:paraId="48C2A724" w14:textId="77777777" w:rsidR="005477D4" w:rsidRPr="00136B35" w:rsidRDefault="005477D4" w:rsidP="005477D4">
      <w:pPr>
        <w:widowControl w:val="0"/>
        <w:jc w:val="both"/>
        <w:rPr>
          <w:i/>
          <w:szCs w:val="22"/>
        </w:rPr>
      </w:pPr>
    </w:p>
    <w:p w14:paraId="6E92E1D3" w14:textId="77777777" w:rsidR="005477D4" w:rsidRPr="00136B35" w:rsidRDefault="005477D4" w:rsidP="005477D4">
      <w:pPr>
        <w:jc w:val="both"/>
        <w:rPr>
          <w:szCs w:val="22"/>
        </w:rPr>
      </w:pPr>
      <w:r w:rsidRPr="00136B35">
        <w:rPr>
          <w:szCs w:val="22"/>
        </w:rPr>
        <w:t>Il profilo farmacocinetico di dimetilfumarato 240 mg due volte al giorno è stato valutato in un piccolo studio in aperto, non controllato, in pazienti con sclerosi multipla recidivante</w:t>
      </w:r>
      <w:r w:rsidRPr="00136B35">
        <w:rPr>
          <w:szCs w:val="22"/>
        </w:rPr>
        <w:noBreakHyphen/>
        <w:t>remittente di età compresa tra 13 e 17 anni (n = 21). La farmacocinetica di dimetilfumarato in questi pazienti adolescenti è risultata coerente con quella precedentemente osservata nei pazienti adulti (C</w:t>
      </w:r>
      <w:r w:rsidRPr="00136B35">
        <w:rPr>
          <w:szCs w:val="22"/>
          <w:vertAlign w:val="subscript"/>
        </w:rPr>
        <w:t>max:</w:t>
      </w:r>
      <w:r w:rsidRPr="00136B35">
        <w:rPr>
          <w:szCs w:val="22"/>
        </w:rPr>
        <w:t> 2,00 ± 1,29 mg/L; AUC</w:t>
      </w:r>
      <w:r w:rsidRPr="00136B35">
        <w:rPr>
          <w:szCs w:val="22"/>
          <w:vertAlign w:val="subscript"/>
        </w:rPr>
        <w:t>0-12h</w:t>
      </w:r>
      <w:r w:rsidRPr="00136B35">
        <w:rPr>
          <w:szCs w:val="22"/>
        </w:rPr>
        <w:t>: 3,62 ± 1,16 h.mg/L, che corrisponde a un’AUC giornaliera complessiva di 7,24 h.mg/L).</w:t>
      </w:r>
    </w:p>
    <w:p w14:paraId="749BDCC3" w14:textId="77777777" w:rsidR="005477D4" w:rsidRPr="00136B35" w:rsidRDefault="005477D4" w:rsidP="005010FD">
      <w:pPr>
        <w:widowControl w:val="0"/>
        <w:jc w:val="both"/>
        <w:rPr>
          <w:szCs w:val="22"/>
        </w:rPr>
      </w:pPr>
    </w:p>
    <w:p w14:paraId="1CB30CCE" w14:textId="77777777" w:rsidR="005477D4" w:rsidRPr="00136B35" w:rsidRDefault="005477D4" w:rsidP="005010FD">
      <w:pPr>
        <w:widowControl w:val="0"/>
        <w:ind w:left="567" w:hanging="567"/>
        <w:jc w:val="both"/>
        <w:rPr>
          <w:b/>
          <w:szCs w:val="22"/>
        </w:rPr>
      </w:pPr>
      <w:r w:rsidRPr="00136B35">
        <w:rPr>
          <w:b/>
          <w:szCs w:val="22"/>
        </w:rPr>
        <w:t>5.3</w:t>
      </w:r>
      <w:r w:rsidRPr="00136B35">
        <w:rPr>
          <w:b/>
          <w:szCs w:val="22"/>
        </w:rPr>
        <w:tab/>
        <w:t>Dati preclinici di sicurezza</w:t>
      </w:r>
    </w:p>
    <w:p w14:paraId="1BFEF26F" w14:textId="77777777" w:rsidR="005477D4" w:rsidRPr="00136B35" w:rsidRDefault="005477D4" w:rsidP="005010FD">
      <w:pPr>
        <w:widowControl w:val="0"/>
        <w:jc w:val="both"/>
        <w:rPr>
          <w:szCs w:val="22"/>
        </w:rPr>
      </w:pPr>
    </w:p>
    <w:p w14:paraId="1EA75DA0" w14:textId="77777777" w:rsidR="005477D4" w:rsidRPr="00136B35" w:rsidRDefault="005477D4" w:rsidP="005477D4">
      <w:pPr>
        <w:widowControl w:val="0"/>
        <w:jc w:val="both"/>
        <w:rPr>
          <w:szCs w:val="22"/>
        </w:rPr>
      </w:pPr>
      <w:r w:rsidRPr="00136B35">
        <w:rPr>
          <w:szCs w:val="22"/>
        </w:rPr>
        <w:t>Le reazioni avverse descritte ai paragrafi di seguito sulla Tossicologia e sulla Tossicità della riproduzione non sono state osservate negli studi clinici, ma sono state riscontrate in animali esposti a livelli analoghi a quelli dell’esposizione clinica.</w:t>
      </w:r>
    </w:p>
    <w:p w14:paraId="64F7C35F" w14:textId="77777777" w:rsidR="005477D4" w:rsidRPr="00136B35" w:rsidRDefault="005477D4" w:rsidP="005010FD">
      <w:pPr>
        <w:widowControl w:val="0"/>
        <w:jc w:val="both"/>
        <w:rPr>
          <w:szCs w:val="22"/>
        </w:rPr>
      </w:pPr>
    </w:p>
    <w:p w14:paraId="6DAB9E50" w14:textId="01349F17" w:rsidR="005477D4" w:rsidRPr="00136B35" w:rsidRDefault="005477D4" w:rsidP="005010FD">
      <w:pPr>
        <w:widowControl w:val="0"/>
        <w:jc w:val="both"/>
        <w:rPr>
          <w:szCs w:val="22"/>
          <w:u w:val="single"/>
        </w:rPr>
      </w:pPr>
      <w:r w:rsidRPr="00136B35">
        <w:rPr>
          <w:szCs w:val="22"/>
          <w:u w:val="single"/>
        </w:rPr>
        <w:t>Genotossicità</w:t>
      </w:r>
    </w:p>
    <w:p w14:paraId="6BE5534E" w14:textId="77777777" w:rsidR="005477D4" w:rsidRPr="00136B35" w:rsidRDefault="005477D4" w:rsidP="005010FD">
      <w:pPr>
        <w:widowControl w:val="0"/>
        <w:jc w:val="both"/>
        <w:rPr>
          <w:szCs w:val="22"/>
        </w:rPr>
      </w:pPr>
    </w:p>
    <w:p w14:paraId="57B9B512" w14:textId="5AC7DA42" w:rsidR="005477D4" w:rsidRPr="00136B35" w:rsidRDefault="005477D4" w:rsidP="005010FD">
      <w:pPr>
        <w:widowControl w:val="0"/>
        <w:jc w:val="both"/>
        <w:rPr>
          <w:szCs w:val="22"/>
        </w:rPr>
      </w:pPr>
      <w:r w:rsidRPr="00136B35">
        <w:rPr>
          <w:szCs w:val="22"/>
        </w:rPr>
        <w:t xml:space="preserve">Dimetilfumarato e monometilfumarato sono risultati negativi in una batteria di test </w:t>
      </w:r>
      <w:r w:rsidRPr="00136B35">
        <w:rPr>
          <w:i/>
          <w:szCs w:val="22"/>
        </w:rPr>
        <w:t>in vitro</w:t>
      </w:r>
      <w:r w:rsidRPr="00136B35">
        <w:rPr>
          <w:szCs w:val="22"/>
        </w:rPr>
        <w:t xml:space="preserve"> (test di Ames, test delle aberrazioni cromosomiche nelle cellule dei mammiferi). Il dimetilfumarato è risultato negativo nel test del micronucleo </w:t>
      </w:r>
      <w:r w:rsidR="00EB5CB9" w:rsidRPr="005010FD">
        <w:rPr>
          <w:szCs w:val="22"/>
        </w:rPr>
        <w:t xml:space="preserve">nei ratti </w:t>
      </w:r>
      <w:r w:rsidRPr="00136B35">
        <w:rPr>
          <w:szCs w:val="22"/>
        </w:rPr>
        <w:t xml:space="preserve"> </w:t>
      </w:r>
      <w:r w:rsidRPr="00136B35">
        <w:rPr>
          <w:i/>
          <w:szCs w:val="22"/>
        </w:rPr>
        <w:t>in vivo</w:t>
      </w:r>
      <w:r w:rsidRPr="00136B35">
        <w:rPr>
          <w:szCs w:val="22"/>
        </w:rPr>
        <w:t>.</w:t>
      </w:r>
    </w:p>
    <w:p w14:paraId="0A645660" w14:textId="77777777" w:rsidR="005477D4" w:rsidRPr="00136B35" w:rsidRDefault="005477D4" w:rsidP="005010FD">
      <w:pPr>
        <w:widowControl w:val="0"/>
        <w:jc w:val="both"/>
        <w:rPr>
          <w:szCs w:val="22"/>
        </w:rPr>
      </w:pPr>
    </w:p>
    <w:p w14:paraId="46524464" w14:textId="77777777" w:rsidR="005477D4" w:rsidRPr="00136B35" w:rsidRDefault="005477D4" w:rsidP="005010FD">
      <w:pPr>
        <w:keepNext/>
        <w:widowControl w:val="0"/>
        <w:jc w:val="both"/>
        <w:rPr>
          <w:szCs w:val="22"/>
          <w:u w:val="single"/>
        </w:rPr>
      </w:pPr>
      <w:r w:rsidRPr="00136B35">
        <w:rPr>
          <w:szCs w:val="22"/>
          <w:u w:val="single"/>
        </w:rPr>
        <w:t>Carcinogenesi</w:t>
      </w:r>
    </w:p>
    <w:p w14:paraId="5D168DEA" w14:textId="77777777" w:rsidR="005477D4" w:rsidRPr="00136B35" w:rsidRDefault="005477D4" w:rsidP="005010FD">
      <w:pPr>
        <w:keepNext/>
        <w:widowControl w:val="0"/>
        <w:jc w:val="both"/>
        <w:rPr>
          <w:szCs w:val="22"/>
        </w:rPr>
      </w:pPr>
    </w:p>
    <w:p w14:paraId="454F1ED4" w14:textId="77777777" w:rsidR="005477D4" w:rsidRPr="00136B35" w:rsidRDefault="005477D4" w:rsidP="005010FD">
      <w:pPr>
        <w:widowControl w:val="0"/>
        <w:jc w:val="both"/>
        <w:rPr>
          <w:szCs w:val="22"/>
        </w:rPr>
      </w:pPr>
      <w:r w:rsidRPr="00136B35">
        <w:rPr>
          <w:szCs w:val="22"/>
        </w:rPr>
        <w:t>Gli studi di carcinogenicità di dimetilfumarato sono stati condotti per un massimo di 2 anni nei topi e nei ratti. Dimetilfumarato è stato somministrato per via orale a dosi di 25, 75, 200 e 400 mg/kg/die ai topi, e a dosi di 25, 50, 100 e 150 mg/kg/die ai ratti.</w:t>
      </w:r>
    </w:p>
    <w:p w14:paraId="075E762C" w14:textId="77777777" w:rsidR="005477D4" w:rsidRPr="00136B35" w:rsidRDefault="005477D4" w:rsidP="005010FD">
      <w:pPr>
        <w:widowControl w:val="0"/>
        <w:jc w:val="both"/>
        <w:rPr>
          <w:szCs w:val="22"/>
        </w:rPr>
      </w:pPr>
    </w:p>
    <w:p w14:paraId="4DE83094" w14:textId="77777777" w:rsidR="005477D4" w:rsidRPr="00136B35" w:rsidRDefault="005477D4" w:rsidP="005010FD">
      <w:pPr>
        <w:widowControl w:val="0"/>
        <w:jc w:val="both"/>
        <w:rPr>
          <w:szCs w:val="22"/>
        </w:rPr>
      </w:pPr>
      <w:r w:rsidRPr="00136B35">
        <w:rPr>
          <w:szCs w:val="22"/>
        </w:rPr>
        <w:t xml:space="preserve">Nei topi, l’incidenza di carcinoma tubulare renale è risultata aumentata alla dose di 75 mg/kg/die, un’esposizione equivalente (AUC) alla dose umana raccomandata. Nei ratti, l’incidenza di carcinoma tubulare renale e </w:t>
      </w:r>
      <w:r w:rsidRPr="00136B35">
        <w:rPr>
          <w:rFonts w:eastAsia="SimSun"/>
          <w:szCs w:val="22"/>
        </w:rPr>
        <w:t xml:space="preserve">adenoma testicolare a cellule di Leydig </w:t>
      </w:r>
      <w:r w:rsidRPr="00136B35">
        <w:rPr>
          <w:szCs w:val="22"/>
        </w:rPr>
        <w:t>è risultata aumentata alla dose di 100 mg/kg/die, un’esposizione circa 2 volte superiore alla dose umana raccomandata. Non è nota la rilevanza di questi risultati per l’uomo.</w:t>
      </w:r>
    </w:p>
    <w:p w14:paraId="5F9C7940" w14:textId="77777777" w:rsidR="005477D4" w:rsidRPr="00136B35" w:rsidRDefault="005477D4" w:rsidP="005010FD">
      <w:pPr>
        <w:widowControl w:val="0"/>
        <w:jc w:val="both"/>
        <w:rPr>
          <w:szCs w:val="22"/>
        </w:rPr>
      </w:pPr>
    </w:p>
    <w:p w14:paraId="10E48423" w14:textId="77777777" w:rsidR="005477D4" w:rsidRPr="00136B35" w:rsidRDefault="005477D4" w:rsidP="005010FD">
      <w:pPr>
        <w:widowControl w:val="0"/>
        <w:jc w:val="both"/>
        <w:rPr>
          <w:szCs w:val="22"/>
        </w:rPr>
      </w:pPr>
      <w:r w:rsidRPr="00136B35">
        <w:rPr>
          <w:szCs w:val="22"/>
        </w:rPr>
        <w:t>L’incidenza di papilloma e carcinoma a cellule squamose nella parte non ghiandolare dello stomaco (prestomaco) è risultata aumentata ad un’esposizione equivalente alla dose umana raccomandata nei topi e ad un’esposizione al di sotto della dose umana raccomandata nei ratti (in base all’AUC). Non esiste una controparte umana del prestomaco dei roditori.</w:t>
      </w:r>
    </w:p>
    <w:p w14:paraId="29ADFE2B" w14:textId="77777777" w:rsidR="005477D4" w:rsidRPr="00136B35" w:rsidRDefault="005477D4" w:rsidP="005010FD">
      <w:pPr>
        <w:widowControl w:val="0"/>
        <w:jc w:val="both"/>
        <w:rPr>
          <w:szCs w:val="22"/>
        </w:rPr>
      </w:pPr>
    </w:p>
    <w:p w14:paraId="12FC8E17" w14:textId="77777777" w:rsidR="005477D4" w:rsidRPr="00136B35" w:rsidRDefault="005477D4" w:rsidP="005010FD">
      <w:pPr>
        <w:keepNext/>
        <w:keepLines/>
        <w:jc w:val="both"/>
        <w:rPr>
          <w:szCs w:val="22"/>
          <w:u w:val="single"/>
        </w:rPr>
      </w:pPr>
      <w:r w:rsidRPr="00136B35">
        <w:rPr>
          <w:szCs w:val="22"/>
          <w:u w:val="single"/>
        </w:rPr>
        <w:t>Tossicologia</w:t>
      </w:r>
    </w:p>
    <w:p w14:paraId="7DE3D35B" w14:textId="77777777" w:rsidR="005477D4" w:rsidRPr="00136B35" w:rsidRDefault="005477D4" w:rsidP="005010FD">
      <w:pPr>
        <w:keepNext/>
        <w:keepLines/>
        <w:jc w:val="both"/>
        <w:rPr>
          <w:szCs w:val="22"/>
        </w:rPr>
      </w:pPr>
    </w:p>
    <w:p w14:paraId="28304372" w14:textId="4B1B34E1" w:rsidR="005477D4" w:rsidRPr="00136B35" w:rsidRDefault="005477D4" w:rsidP="005010FD">
      <w:pPr>
        <w:keepNext/>
        <w:keepLines/>
        <w:jc w:val="both"/>
        <w:rPr>
          <w:szCs w:val="22"/>
        </w:rPr>
      </w:pPr>
      <w:r w:rsidRPr="00136B35">
        <w:rPr>
          <w:szCs w:val="22"/>
        </w:rPr>
        <w:t>Sono stati condotti studi pre-clinici nei roditori, nei conigli e nelle scimmie con una sospensione di</w:t>
      </w:r>
      <w:r w:rsidR="00D96F59" w:rsidRPr="005010FD">
        <w:rPr>
          <w:szCs w:val="22"/>
        </w:rPr>
        <w:t xml:space="preserve"> </w:t>
      </w:r>
      <w:r w:rsidRPr="00136B35">
        <w:rPr>
          <w:szCs w:val="22"/>
        </w:rPr>
        <w:t xml:space="preserve">dimetilfumarato (dimetilfumarato in 0,8% di idrossipropilmetilcellulosa) somministrata mediante gavaggio orale. </w:t>
      </w:r>
      <w:r w:rsidR="00EB5CB9" w:rsidRPr="005010FD">
        <w:rPr>
          <w:szCs w:val="22"/>
        </w:rPr>
        <w:t>Lo studio di tossicità cronica nei cani è stato condotto con la somministrazione della capsula di dimetilfumarato per via orale.</w:t>
      </w:r>
    </w:p>
    <w:p w14:paraId="5E9829C7" w14:textId="77777777" w:rsidR="005477D4" w:rsidRPr="00136B35" w:rsidRDefault="005477D4" w:rsidP="005010FD">
      <w:pPr>
        <w:widowControl w:val="0"/>
        <w:jc w:val="both"/>
        <w:rPr>
          <w:szCs w:val="22"/>
        </w:rPr>
      </w:pPr>
    </w:p>
    <w:p w14:paraId="0E87AE6F" w14:textId="77777777" w:rsidR="005477D4" w:rsidRPr="00136B35" w:rsidRDefault="005477D4" w:rsidP="005010FD">
      <w:pPr>
        <w:widowControl w:val="0"/>
        <w:jc w:val="both"/>
        <w:rPr>
          <w:szCs w:val="22"/>
        </w:rPr>
      </w:pPr>
      <w:r w:rsidRPr="00136B35">
        <w:rPr>
          <w:szCs w:val="22"/>
        </w:rPr>
        <w:t>Dopo la somministrazione orale ripetuta di dimetilfumarato nei topi, nei ratti, nei cani e nelle scimmie sono state osservate alterazioni renali. È stata osservata in tutte le specie la rigenerazione dell’epitelio tubulare renale, indicativa della lesione. L’iperplasia tubulare renale è stata osservata nei ratti che hanno ricevuto il trattamento per tutta la vita (studio di 2 anni). Nei cani che hanno ricevuto dosi giornaliere orali di dimetilfumarato per 11 mesi, il margine calcolato per l’atrofia corticale è stato osservato a 3 volte la dose raccomandata in base all’AUC. Nelle scimmie che hanno ricevuto dosi giornaliere orali di dimetilfumarato per 12 mesi, è stata osservata necrosi di singole cellule a 2 volte la dose raccomandata in base all’AUC. Fibrosi interstiziale e atrofia corticale sono state osservate a 6 volte la dose raccomandata in base all’AUC. Non è nota la rilevanza di questi risultati per l’uomo.</w:t>
      </w:r>
    </w:p>
    <w:p w14:paraId="063B8476" w14:textId="77777777" w:rsidR="005477D4" w:rsidRPr="00136B35" w:rsidRDefault="005477D4" w:rsidP="005010FD">
      <w:pPr>
        <w:widowControl w:val="0"/>
        <w:jc w:val="both"/>
        <w:rPr>
          <w:szCs w:val="22"/>
        </w:rPr>
      </w:pPr>
    </w:p>
    <w:p w14:paraId="345555D2" w14:textId="77777777" w:rsidR="005477D4" w:rsidRPr="00136B35" w:rsidRDefault="005477D4" w:rsidP="005010FD">
      <w:pPr>
        <w:widowControl w:val="0"/>
        <w:jc w:val="both"/>
        <w:rPr>
          <w:szCs w:val="22"/>
        </w:rPr>
      </w:pPr>
      <w:r w:rsidRPr="00136B35">
        <w:rPr>
          <w:szCs w:val="22"/>
        </w:rPr>
        <w:t>Nei testicoli dei ratti e dei cani è stata osservata degenerazione dell’epitelio seminifero. I risultati sono stati osservati approssimativamente alla dose raccomandata nei ratti ed a 3 volte la dose raccomandata nei cani (in base all’AUC). Non è nota la rilevanza di questi risultati per l’uomo.</w:t>
      </w:r>
    </w:p>
    <w:p w14:paraId="48CA208C" w14:textId="77777777" w:rsidR="005477D4" w:rsidRPr="00136B35" w:rsidRDefault="005477D4" w:rsidP="005010FD">
      <w:pPr>
        <w:widowControl w:val="0"/>
        <w:jc w:val="both"/>
        <w:rPr>
          <w:szCs w:val="22"/>
        </w:rPr>
      </w:pPr>
    </w:p>
    <w:p w14:paraId="0D4F6ABD" w14:textId="77777777" w:rsidR="005477D4" w:rsidRPr="00136B35" w:rsidRDefault="005477D4" w:rsidP="005010FD">
      <w:pPr>
        <w:widowControl w:val="0"/>
        <w:jc w:val="both"/>
        <w:rPr>
          <w:szCs w:val="22"/>
        </w:rPr>
      </w:pPr>
      <w:r w:rsidRPr="00136B35">
        <w:rPr>
          <w:szCs w:val="22"/>
        </w:rPr>
        <w:t>I risultati nel prestomaco dei topi e dei ratti sono stati iperplasia epiteliale squamosa unita a ipercheratosi; infiammazione; papilloma e carcinoma a cellule squamose in studi della durata di 3 mesi o superiore. Non esiste una controparte umana del prestomaco dei topi e dei ratti.</w:t>
      </w:r>
    </w:p>
    <w:p w14:paraId="3ABE79E6" w14:textId="77777777" w:rsidR="005477D4" w:rsidRPr="00136B35" w:rsidRDefault="005477D4" w:rsidP="005010FD">
      <w:pPr>
        <w:widowControl w:val="0"/>
        <w:jc w:val="both"/>
        <w:rPr>
          <w:szCs w:val="22"/>
        </w:rPr>
      </w:pPr>
    </w:p>
    <w:p w14:paraId="385750F6" w14:textId="77777777" w:rsidR="005477D4" w:rsidRPr="00136B35" w:rsidRDefault="005477D4" w:rsidP="005010FD">
      <w:pPr>
        <w:widowControl w:val="0"/>
        <w:jc w:val="both"/>
        <w:rPr>
          <w:szCs w:val="22"/>
          <w:u w:val="single"/>
        </w:rPr>
      </w:pPr>
      <w:r w:rsidRPr="00136B35">
        <w:rPr>
          <w:szCs w:val="22"/>
          <w:u w:val="single"/>
        </w:rPr>
        <w:t>Tossicità della riproduzione</w:t>
      </w:r>
    </w:p>
    <w:p w14:paraId="08C9B022" w14:textId="77777777" w:rsidR="005477D4" w:rsidRPr="00136B35" w:rsidRDefault="005477D4" w:rsidP="005010FD">
      <w:pPr>
        <w:widowControl w:val="0"/>
        <w:jc w:val="both"/>
        <w:rPr>
          <w:szCs w:val="22"/>
        </w:rPr>
      </w:pPr>
    </w:p>
    <w:p w14:paraId="3C76B5C2" w14:textId="77777777" w:rsidR="005477D4" w:rsidRPr="00136B35" w:rsidRDefault="005477D4" w:rsidP="005010FD">
      <w:pPr>
        <w:widowControl w:val="0"/>
        <w:jc w:val="both"/>
        <w:rPr>
          <w:szCs w:val="22"/>
        </w:rPr>
      </w:pPr>
      <w:r w:rsidRPr="00136B35">
        <w:rPr>
          <w:szCs w:val="22"/>
        </w:rPr>
        <w:t>La somministrazione orale di dimetilfumarato ai ratti maschi a 75, 250 e 375 mg/kg/die prima e durante l’accoppiamento non ha avuto effetti sulla fertilità maschile fino alla dose più alta testata (almeno 2 volte la dose raccomandata in base all’AUC). La somministrazione orale di dimetilfumarato alle femmine di ratto a 25, 100 e 250 mg/kg/die prima e durante l’accoppiamento, e continuando fino al 7° giorno di gestazione, ha indotto la riduzione del numero dei cicli di estro per 14 giorni e ha incrementato il numero di animali con diestro prolungato alla dose più alta testata (11 volte la dose raccomandata in base all’AUC). Queste alterazioni non hanno tuttavia avuto alcun effetto sulla fertilità o sul numero di feti vitali prodotti.</w:t>
      </w:r>
    </w:p>
    <w:p w14:paraId="3127B02A" w14:textId="77777777" w:rsidR="005477D4" w:rsidRPr="00136B35" w:rsidRDefault="005477D4" w:rsidP="005010FD">
      <w:pPr>
        <w:widowControl w:val="0"/>
        <w:jc w:val="both"/>
        <w:rPr>
          <w:szCs w:val="22"/>
        </w:rPr>
      </w:pPr>
    </w:p>
    <w:p w14:paraId="5A9E092F" w14:textId="77777777" w:rsidR="005477D4" w:rsidRPr="00136B35" w:rsidRDefault="005477D4" w:rsidP="005010FD">
      <w:pPr>
        <w:widowControl w:val="0"/>
        <w:jc w:val="both"/>
        <w:rPr>
          <w:szCs w:val="22"/>
        </w:rPr>
      </w:pPr>
      <w:r w:rsidRPr="00136B35">
        <w:rPr>
          <w:szCs w:val="22"/>
        </w:rPr>
        <w:t>È stato dimostrato che dimetilfumarato attraversa la membrana placentare ed entra nel sangue fetale dei ratti e dei conigli, con rapporti di concentrazione plasmatica fetale-materna compresi rispettivamente tra 0,48 e 0,64 e 0,1. Non sono state osservate malformazioni nei ratti o nei conigli a qualsiasi dose di dimetilfumarato. La somministrazione di dimetilfumarato a dosi orali di 25, 100 e 250 mg/kg/die alle ratte gravide durante il periodo di organogenesi ha prodotto effetti avversi materni a 4 volte la dose raccomandata in base all’AUC, e basso peso fetale e ritardo dell’ossificazione (metatarsi e falangi degli arti posteriori) a 11 volte la dose raccomandata in base all’AUC. Il peso fetale inferiore e il ritardo dell’ossificazione sono stati considerati secondari alla tossicità materna (riduzione di peso corporeo e di consumo di cibo).</w:t>
      </w:r>
    </w:p>
    <w:p w14:paraId="7BD32650" w14:textId="77777777" w:rsidR="005477D4" w:rsidRPr="00136B35" w:rsidRDefault="005477D4" w:rsidP="005010FD">
      <w:pPr>
        <w:widowControl w:val="0"/>
        <w:jc w:val="both"/>
        <w:rPr>
          <w:szCs w:val="22"/>
        </w:rPr>
      </w:pPr>
    </w:p>
    <w:p w14:paraId="6E71CDE3" w14:textId="77777777" w:rsidR="005477D4" w:rsidRPr="00136B35" w:rsidRDefault="005477D4" w:rsidP="005010FD">
      <w:pPr>
        <w:widowControl w:val="0"/>
        <w:jc w:val="both"/>
        <w:rPr>
          <w:szCs w:val="22"/>
        </w:rPr>
      </w:pPr>
      <w:r w:rsidRPr="00136B35">
        <w:rPr>
          <w:szCs w:val="22"/>
        </w:rPr>
        <w:t>La somministrazione orale di dimetilfumarato a 25, 75 e 150 mg/kg/die alle coniglie gravide durante l’organogenesi non ha avuto alcun effetto sullo sviluppo embriofetale e ha prodotto un peso materno ridotto a 7 volte la dose raccomandata e l’aumento dell’aborto a 16 volte la dose raccomandata, in base all’AUC.</w:t>
      </w:r>
    </w:p>
    <w:p w14:paraId="1EF45D00" w14:textId="77777777" w:rsidR="005477D4" w:rsidRPr="00136B35" w:rsidRDefault="005477D4" w:rsidP="005010FD">
      <w:pPr>
        <w:widowControl w:val="0"/>
        <w:jc w:val="both"/>
        <w:rPr>
          <w:szCs w:val="22"/>
        </w:rPr>
      </w:pPr>
    </w:p>
    <w:p w14:paraId="1FA09342" w14:textId="77777777" w:rsidR="005477D4" w:rsidRPr="00136B35" w:rsidRDefault="005477D4" w:rsidP="005010FD">
      <w:pPr>
        <w:widowControl w:val="0"/>
        <w:jc w:val="both"/>
        <w:rPr>
          <w:szCs w:val="22"/>
        </w:rPr>
      </w:pPr>
      <w:r w:rsidRPr="00136B35">
        <w:rPr>
          <w:szCs w:val="22"/>
        </w:rPr>
        <w:t>La somministrazione orale di dimetilfumarato a 25, 100 e 250 mg/kg/die alle ratte durante la gravidanza e l’allattamento ha prodotto pesi corporei ridotti nella prole F1, e ritardi nella maturazione sessuale nei maschi F1 a 11 volte la dose raccomandata in base all’AUC. Non sono emersi effetti sulla fertilità nella prole F1. Il peso corporeo inferiore della prole è stato considerato secondario alla tossicità materna.</w:t>
      </w:r>
    </w:p>
    <w:p w14:paraId="6E3DFEAD" w14:textId="77777777" w:rsidR="005477D4" w:rsidRPr="00136B35" w:rsidRDefault="005477D4" w:rsidP="005010FD">
      <w:pPr>
        <w:widowControl w:val="0"/>
        <w:jc w:val="both"/>
        <w:rPr>
          <w:szCs w:val="22"/>
        </w:rPr>
      </w:pPr>
    </w:p>
    <w:p w14:paraId="37A2A600" w14:textId="77777777" w:rsidR="00136B35" w:rsidRPr="005010FD" w:rsidRDefault="00136B35">
      <w:pPr>
        <w:pStyle w:val="Standard1"/>
        <w:jc w:val="both"/>
        <w:rPr>
          <w:szCs w:val="22"/>
          <w:lang w:val="it-IT"/>
        </w:rPr>
      </w:pPr>
    </w:p>
    <w:p w14:paraId="6C2AF33C" w14:textId="6BF54D2E" w:rsidR="00136B35" w:rsidRPr="005010FD" w:rsidRDefault="00136B35">
      <w:pPr>
        <w:pStyle w:val="Standard1"/>
        <w:jc w:val="both"/>
        <w:rPr>
          <w:szCs w:val="22"/>
          <w:lang w:val="it-IT"/>
        </w:rPr>
      </w:pPr>
      <w:r w:rsidRPr="00136B35">
        <w:rPr>
          <w:szCs w:val="22"/>
          <w:lang w:val="it-IT"/>
        </w:rPr>
        <w:t>Tossicità negli animali giovani</w:t>
      </w:r>
    </w:p>
    <w:p w14:paraId="2B18FD68" w14:textId="77777777" w:rsidR="00136B35" w:rsidRPr="005010FD" w:rsidRDefault="00136B35">
      <w:pPr>
        <w:pStyle w:val="Standard1"/>
        <w:jc w:val="both"/>
        <w:rPr>
          <w:szCs w:val="22"/>
          <w:lang w:val="it-IT"/>
        </w:rPr>
      </w:pPr>
    </w:p>
    <w:p w14:paraId="5B60196C" w14:textId="4B7D9063" w:rsidR="005477D4" w:rsidRPr="00F06FB4" w:rsidRDefault="005477D4" w:rsidP="005010FD">
      <w:pPr>
        <w:pStyle w:val="Standard1"/>
        <w:jc w:val="both"/>
        <w:rPr>
          <w:szCs w:val="22"/>
          <w:lang w:val="it-IT"/>
        </w:rPr>
      </w:pPr>
      <w:r w:rsidRPr="00136B35">
        <w:rPr>
          <w:szCs w:val="22"/>
          <w:lang w:val="it-IT"/>
        </w:rPr>
        <w:t>Due studi di tossicità in ratti giovani con somministrazione orale giornaliera di dimetilfumarato dal 28° giorno postnatale fino al 90°-93° giorno postnatale (equivalente a circa 3 anni e oltre nell’uomo) hanno rivelato tossicità degli organi bersaglio nel rene e nel prestomaco simili a quelle osservate negli animali adulti. Nel primo studio, dimetilfumarato non ha avuto effetti sullo sviluppo, sul comportamento neurologico o sulla fertilità maschile</w:t>
      </w:r>
      <w:r w:rsidRPr="00F06FB4">
        <w:rPr>
          <w:szCs w:val="22"/>
          <w:lang w:val="it-IT"/>
        </w:rPr>
        <w:t xml:space="preserve"> e femminile fino alla dose massima di 140 mg/kg/die (circa 4,6 volte la dose umana raccomandata sulla base dei limitati dati dell’AUC disponibili nei pazienti pediatrici). Analogamente, nel secondo studio su ratti maschi giovani, non sono stati osservati effetti sugli organi riproduttivi e accessori maschili fino alla dose massima di dimetilfumarato di 375 mg/kg/die (circa 15 volte l’AUC presunta alla dose pediatrica raccomandata). Tuttavia, una riduzione del contenuto minerale osseo e della sua densità nel femore e nelle vertebre lombari erano evidenti nei ratti maschi giovani. Alterazioni della densitometria ossea sono state inoltre osservate nei ratti giovani dopo la somministrazione orale di diroximel fumarato, un altro estere dell’acido fumarico che viene metabolizzato nello stesso metabolita attivo, monometil fumarato, </w:t>
      </w:r>
      <w:r w:rsidRPr="00F06FB4">
        <w:rPr>
          <w:i/>
          <w:szCs w:val="22"/>
          <w:lang w:val="it-IT"/>
        </w:rPr>
        <w:t>in vivo</w:t>
      </w:r>
      <w:r w:rsidRPr="00F06FB4">
        <w:rPr>
          <w:szCs w:val="22"/>
          <w:lang w:val="it-IT"/>
        </w:rPr>
        <w:t>. Il NOEL (il livello senza osservazione di effetto) per le alterazioni della densitometria nei ratti giovani è circa 1,5 volte l’AUC presunta alla dose pediatrica raccomandata. È possibile una relazione tra effetti ossei e riduzione del peso corporeo, ma il coinvolgimento di un effetto diretto non può essere escluso. I risultati a livello osseo sono di rilevanza limitata per i pazienti adulti. Non è nota la rilevanza per i pazienti pediatrici.</w:t>
      </w:r>
    </w:p>
    <w:p w14:paraId="10BC37B4" w14:textId="77777777" w:rsidR="005477D4" w:rsidRPr="00F06FB4" w:rsidRDefault="005477D4" w:rsidP="005010FD">
      <w:pPr>
        <w:widowControl w:val="0"/>
        <w:jc w:val="both"/>
        <w:rPr>
          <w:szCs w:val="22"/>
        </w:rPr>
      </w:pPr>
    </w:p>
    <w:p w14:paraId="1FB1A459" w14:textId="77777777" w:rsidR="005477D4" w:rsidRPr="00F06FB4" w:rsidRDefault="005477D4" w:rsidP="005010FD">
      <w:pPr>
        <w:widowControl w:val="0"/>
        <w:jc w:val="both"/>
        <w:rPr>
          <w:szCs w:val="22"/>
        </w:rPr>
      </w:pPr>
    </w:p>
    <w:p w14:paraId="7CFAA765" w14:textId="77777777" w:rsidR="005477D4" w:rsidRPr="00F06FB4" w:rsidRDefault="005477D4" w:rsidP="005010FD">
      <w:pPr>
        <w:widowControl w:val="0"/>
        <w:jc w:val="both"/>
        <w:rPr>
          <w:b/>
          <w:szCs w:val="22"/>
        </w:rPr>
      </w:pPr>
      <w:r w:rsidRPr="00F06FB4">
        <w:rPr>
          <w:b/>
          <w:szCs w:val="22"/>
        </w:rPr>
        <w:t>6.</w:t>
      </w:r>
      <w:r w:rsidRPr="00F06FB4">
        <w:rPr>
          <w:b/>
          <w:szCs w:val="22"/>
        </w:rPr>
        <w:tab/>
        <w:t>INFORMAZIONI FARMACEUTICHE</w:t>
      </w:r>
    </w:p>
    <w:p w14:paraId="36F4CF51" w14:textId="77777777" w:rsidR="005477D4" w:rsidRPr="00F06FB4" w:rsidRDefault="005477D4" w:rsidP="005010FD">
      <w:pPr>
        <w:widowControl w:val="0"/>
        <w:jc w:val="both"/>
        <w:rPr>
          <w:szCs w:val="22"/>
        </w:rPr>
      </w:pPr>
    </w:p>
    <w:p w14:paraId="68C2398E" w14:textId="77777777" w:rsidR="005477D4" w:rsidRPr="00F06FB4" w:rsidRDefault="005477D4" w:rsidP="005010FD">
      <w:pPr>
        <w:widowControl w:val="0"/>
        <w:ind w:left="567" w:hanging="567"/>
        <w:jc w:val="both"/>
        <w:rPr>
          <w:b/>
          <w:szCs w:val="22"/>
        </w:rPr>
      </w:pPr>
      <w:bookmarkStart w:id="12" w:name="OLE_LINK2"/>
      <w:bookmarkStart w:id="13" w:name="OLE_LINK1"/>
      <w:r w:rsidRPr="00F06FB4">
        <w:rPr>
          <w:b/>
          <w:szCs w:val="22"/>
        </w:rPr>
        <w:t>6.1</w:t>
      </w:r>
      <w:r w:rsidRPr="00F06FB4">
        <w:rPr>
          <w:b/>
          <w:szCs w:val="22"/>
        </w:rPr>
        <w:tab/>
        <w:t>Elenco degli eccipienti</w:t>
      </w:r>
    </w:p>
    <w:p w14:paraId="7E26E256" w14:textId="77777777" w:rsidR="005477D4" w:rsidRPr="00F06FB4" w:rsidRDefault="005477D4" w:rsidP="005010FD">
      <w:pPr>
        <w:widowControl w:val="0"/>
        <w:jc w:val="both"/>
        <w:rPr>
          <w:szCs w:val="22"/>
        </w:rPr>
      </w:pPr>
    </w:p>
    <w:p w14:paraId="34C5F0B5" w14:textId="77777777" w:rsidR="005477D4" w:rsidRPr="00F06FB4" w:rsidRDefault="005477D4" w:rsidP="005010FD">
      <w:pPr>
        <w:widowControl w:val="0"/>
        <w:jc w:val="both"/>
        <w:rPr>
          <w:szCs w:val="22"/>
          <w:u w:val="single"/>
        </w:rPr>
      </w:pPr>
      <w:r w:rsidRPr="00F06FB4">
        <w:rPr>
          <w:szCs w:val="22"/>
          <w:u w:val="single"/>
        </w:rPr>
        <w:t>Contenuto della capsula (mini compresse con rivestimento enterico)</w:t>
      </w:r>
    </w:p>
    <w:p w14:paraId="28B02626" w14:textId="77777777" w:rsidR="005477D4" w:rsidRPr="00F06FB4" w:rsidRDefault="005477D4" w:rsidP="005010FD">
      <w:pPr>
        <w:widowControl w:val="0"/>
        <w:jc w:val="both"/>
        <w:rPr>
          <w:szCs w:val="22"/>
          <w:u w:val="single"/>
        </w:rPr>
      </w:pPr>
    </w:p>
    <w:p w14:paraId="08B443D8" w14:textId="77777777" w:rsidR="005477D4" w:rsidRPr="00F06FB4" w:rsidRDefault="005477D4" w:rsidP="005010FD">
      <w:pPr>
        <w:widowControl w:val="0"/>
        <w:jc w:val="both"/>
        <w:rPr>
          <w:szCs w:val="22"/>
        </w:rPr>
      </w:pPr>
      <w:r w:rsidRPr="00F06FB4">
        <w:rPr>
          <w:szCs w:val="22"/>
        </w:rPr>
        <w:t>Cellulosa microcristallina silicificata</w:t>
      </w:r>
    </w:p>
    <w:p w14:paraId="069B6640" w14:textId="77777777" w:rsidR="005477D4" w:rsidRPr="00F06FB4" w:rsidRDefault="005477D4" w:rsidP="005010FD">
      <w:pPr>
        <w:widowControl w:val="0"/>
        <w:jc w:val="both"/>
        <w:rPr>
          <w:szCs w:val="22"/>
        </w:rPr>
      </w:pPr>
      <w:r w:rsidRPr="00F06FB4">
        <w:rPr>
          <w:szCs w:val="22"/>
        </w:rPr>
        <w:t>Talco</w:t>
      </w:r>
    </w:p>
    <w:p w14:paraId="12AE623F" w14:textId="77777777" w:rsidR="005477D4" w:rsidRPr="00F06FB4" w:rsidRDefault="005477D4" w:rsidP="005010FD">
      <w:pPr>
        <w:widowControl w:val="0"/>
        <w:jc w:val="both"/>
        <w:rPr>
          <w:szCs w:val="22"/>
        </w:rPr>
      </w:pPr>
      <w:r w:rsidRPr="00F06FB4">
        <w:rPr>
          <w:szCs w:val="22"/>
        </w:rPr>
        <w:t>Sodio croscarmelloso</w:t>
      </w:r>
    </w:p>
    <w:p w14:paraId="46FBB8D1" w14:textId="77777777" w:rsidR="005477D4" w:rsidRPr="00F06FB4" w:rsidRDefault="005477D4" w:rsidP="005010FD">
      <w:pPr>
        <w:widowControl w:val="0"/>
        <w:jc w:val="both"/>
        <w:rPr>
          <w:szCs w:val="22"/>
        </w:rPr>
      </w:pPr>
      <w:r w:rsidRPr="00F06FB4">
        <w:rPr>
          <w:szCs w:val="22"/>
        </w:rPr>
        <w:t>Silice colloidale anidra</w:t>
      </w:r>
    </w:p>
    <w:p w14:paraId="41EE1107" w14:textId="77777777" w:rsidR="005477D4" w:rsidRPr="00F06FB4" w:rsidRDefault="005477D4" w:rsidP="005010FD">
      <w:pPr>
        <w:widowControl w:val="0"/>
        <w:jc w:val="both"/>
        <w:rPr>
          <w:szCs w:val="22"/>
        </w:rPr>
      </w:pPr>
      <w:r w:rsidRPr="00F06FB4">
        <w:rPr>
          <w:szCs w:val="22"/>
        </w:rPr>
        <w:t>Magnesio stearato</w:t>
      </w:r>
    </w:p>
    <w:p w14:paraId="651010FB" w14:textId="77777777" w:rsidR="005477D4" w:rsidRPr="00F06FB4" w:rsidRDefault="005477D4" w:rsidP="005010FD">
      <w:pPr>
        <w:widowControl w:val="0"/>
        <w:jc w:val="both"/>
        <w:rPr>
          <w:szCs w:val="22"/>
        </w:rPr>
      </w:pPr>
      <w:r w:rsidRPr="00F06FB4">
        <w:rPr>
          <w:szCs w:val="22"/>
        </w:rPr>
        <w:t>Acido metacrilico copolimero metilmetacrilato (1:1)</w:t>
      </w:r>
    </w:p>
    <w:p w14:paraId="34686C6A" w14:textId="77777777" w:rsidR="005477D4" w:rsidRPr="00F06FB4" w:rsidRDefault="005477D4" w:rsidP="005010FD">
      <w:pPr>
        <w:widowControl w:val="0"/>
        <w:jc w:val="both"/>
        <w:rPr>
          <w:szCs w:val="22"/>
        </w:rPr>
      </w:pPr>
      <w:r w:rsidRPr="00F06FB4">
        <w:rPr>
          <w:szCs w:val="22"/>
        </w:rPr>
        <w:t>Trietil citrato</w:t>
      </w:r>
    </w:p>
    <w:p w14:paraId="2513E252" w14:textId="77777777" w:rsidR="005477D4" w:rsidRPr="00F06FB4" w:rsidRDefault="005477D4" w:rsidP="005010FD">
      <w:pPr>
        <w:widowControl w:val="0"/>
        <w:jc w:val="both"/>
        <w:rPr>
          <w:szCs w:val="22"/>
        </w:rPr>
      </w:pPr>
      <w:r w:rsidRPr="00F06FB4">
        <w:rPr>
          <w:szCs w:val="22"/>
        </w:rPr>
        <w:t>Acido metacrilico copolimero etilacrilato (1:1) dispersione 30%</w:t>
      </w:r>
    </w:p>
    <w:p w14:paraId="06DE2608" w14:textId="77777777" w:rsidR="005477D4" w:rsidRPr="00F06FB4" w:rsidRDefault="005477D4" w:rsidP="005010FD">
      <w:pPr>
        <w:widowControl w:val="0"/>
        <w:jc w:val="both"/>
        <w:rPr>
          <w:szCs w:val="22"/>
        </w:rPr>
      </w:pPr>
    </w:p>
    <w:p w14:paraId="1365A3E7" w14:textId="77777777" w:rsidR="005477D4" w:rsidRPr="00F06FB4" w:rsidRDefault="005477D4" w:rsidP="005010FD">
      <w:pPr>
        <w:widowControl w:val="0"/>
        <w:jc w:val="both"/>
        <w:rPr>
          <w:szCs w:val="22"/>
          <w:u w:val="single"/>
        </w:rPr>
      </w:pPr>
      <w:r w:rsidRPr="00F06FB4">
        <w:rPr>
          <w:szCs w:val="22"/>
          <w:u w:val="single"/>
        </w:rPr>
        <w:t>Involucro della capsula</w:t>
      </w:r>
    </w:p>
    <w:p w14:paraId="3D4D81BA" w14:textId="77777777" w:rsidR="005477D4" w:rsidRPr="00F06FB4" w:rsidRDefault="005477D4" w:rsidP="005010FD">
      <w:pPr>
        <w:widowControl w:val="0"/>
        <w:jc w:val="both"/>
        <w:rPr>
          <w:szCs w:val="22"/>
          <w:u w:val="single"/>
        </w:rPr>
      </w:pPr>
    </w:p>
    <w:p w14:paraId="617687DF" w14:textId="77777777" w:rsidR="005477D4" w:rsidRPr="00F06FB4" w:rsidRDefault="005477D4" w:rsidP="005010FD">
      <w:pPr>
        <w:widowControl w:val="0"/>
        <w:jc w:val="both"/>
        <w:rPr>
          <w:szCs w:val="22"/>
        </w:rPr>
      </w:pPr>
      <w:r w:rsidRPr="00F06FB4">
        <w:rPr>
          <w:szCs w:val="22"/>
        </w:rPr>
        <w:t>Gelatina</w:t>
      </w:r>
    </w:p>
    <w:p w14:paraId="1B4764E8" w14:textId="77777777" w:rsidR="005477D4" w:rsidRPr="00F06FB4" w:rsidRDefault="005477D4" w:rsidP="005010FD">
      <w:pPr>
        <w:widowControl w:val="0"/>
        <w:jc w:val="both"/>
        <w:rPr>
          <w:szCs w:val="22"/>
        </w:rPr>
      </w:pPr>
      <w:r w:rsidRPr="00F06FB4">
        <w:rPr>
          <w:szCs w:val="22"/>
        </w:rPr>
        <w:t>Titanio diossido (E171)</w:t>
      </w:r>
    </w:p>
    <w:p w14:paraId="1CF6EB87" w14:textId="77777777" w:rsidR="005477D4" w:rsidRPr="00F06FB4" w:rsidRDefault="005477D4" w:rsidP="005010FD">
      <w:pPr>
        <w:widowControl w:val="0"/>
        <w:jc w:val="both"/>
        <w:rPr>
          <w:szCs w:val="22"/>
        </w:rPr>
      </w:pPr>
      <w:r w:rsidRPr="00F06FB4">
        <w:rPr>
          <w:szCs w:val="22"/>
        </w:rPr>
        <w:t>Blu brillante FCF (E133)</w:t>
      </w:r>
    </w:p>
    <w:p w14:paraId="47B66C50" w14:textId="77777777" w:rsidR="005477D4" w:rsidRPr="00F06FB4" w:rsidRDefault="005477D4" w:rsidP="005010FD">
      <w:pPr>
        <w:widowControl w:val="0"/>
        <w:jc w:val="both"/>
        <w:rPr>
          <w:szCs w:val="22"/>
        </w:rPr>
      </w:pPr>
      <w:r w:rsidRPr="00F06FB4">
        <w:rPr>
          <w:szCs w:val="22"/>
        </w:rPr>
        <w:t>Ossido di ferro nero (E172)</w:t>
      </w:r>
    </w:p>
    <w:p w14:paraId="3C6623D6" w14:textId="77777777" w:rsidR="005477D4" w:rsidRPr="00F06FB4" w:rsidRDefault="005477D4" w:rsidP="005010FD">
      <w:pPr>
        <w:widowControl w:val="0"/>
        <w:jc w:val="both"/>
        <w:rPr>
          <w:szCs w:val="22"/>
        </w:rPr>
      </w:pPr>
      <w:r w:rsidRPr="00F06FB4">
        <w:rPr>
          <w:szCs w:val="22"/>
        </w:rPr>
        <w:t>Ossido di ferro giallo (E172)</w:t>
      </w:r>
    </w:p>
    <w:p w14:paraId="35799C5D" w14:textId="77777777" w:rsidR="005477D4" w:rsidRPr="00F06FB4" w:rsidRDefault="005477D4" w:rsidP="005010FD">
      <w:pPr>
        <w:widowControl w:val="0"/>
        <w:jc w:val="both"/>
        <w:rPr>
          <w:szCs w:val="22"/>
        </w:rPr>
      </w:pPr>
    </w:p>
    <w:p w14:paraId="15706A8A" w14:textId="77777777" w:rsidR="005477D4" w:rsidRPr="00F06FB4" w:rsidRDefault="005477D4" w:rsidP="005010FD">
      <w:pPr>
        <w:keepNext/>
        <w:widowControl w:val="0"/>
        <w:jc w:val="both"/>
        <w:rPr>
          <w:szCs w:val="22"/>
          <w:u w:val="single"/>
        </w:rPr>
      </w:pPr>
      <w:r w:rsidRPr="00F06FB4">
        <w:rPr>
          <w:szCs w:val="22"/>
          <w:u w:val="single"/>
        </w:rPr>
        <w:lastRenderedPageBreak/>
        <w:t>Stampa sulla capsula (inchiostro nero)</w:t>
      </w:r>
    </w:p>
    <w:p w14:paraId="14B3DFF1" w14:textId="77777777" w:rsidR="005477D4" w:rsidRPr="00F06FB4" w:rsidRDefault="005477D4" w:rsidP="005010FD">
      <w:pPr>
        <w:keepNext/>
        <w:widowControl w:val="0"/>
        <w:jc w:val="both"/>
        <w:rPr>
          <w:szCs w:val="22"/>
          <w:u w:val="single"/>
        </w:rPr>
      </w:pPr>
    </w:p>
    <w:p w14:paraId="53A2CFAE" w14:textId="77777777" w:rsidR="005477D4" w:rsidRPr="00F06FB4" w:rsidRDefault="005477D4" w:rsidP="005010FD">
      <w:pPr>
        <w:widowControl w:val="0"/>
        <w:jc w:val="both"/>
        <w:rPr>
          <w:szCs w:val="22"/>
        </w:rPr>
      </w:pPr>
      <w:r w:rsidRPr="00F06FB4">
        <w:rPr>
          <w:szCs w:val="22"/>
        </w:rPr>
        <w:t>Gommalacca (E904)</w:t>
      </w:r>
    </w:p>
    <w:p w14:paraId="280629B8" w14:textId="77777777" w:rsidR="005477D4" w:rsidRPr="00F06FB4" w:rsidRDefault="005477D4" w:rsidP="005010FD">
      <w:pPr>
        <w:widowControl w:val="0"/>
        <w:jc w:val="both"/>
        <w:rPr>
          <w:szCs w:val="22"/>
        </w:rPr>
      </w:pPr>
      <w:r w:rsidRPr="00F06FB4">
        <w:rPr>
          <w:szCs w:val="22"/>
        </w:rPr>
        <w:t>Ossido di ferro nero (E172)</w:t>
      </w:r>
    </w:p>
    <w:p w14:paraId="0F7B33B7" w14:textId="77777777" w:rsidR="005477D4" w:rsidRPr="00F06FB4" w:rsidRDefault="005477D4" w:rsidP="005010FD">
      <w:pPr>
        <w:widowControl w:val="0"/>
        <w:jc w:val="both"/>
        <w:rPr>
          <w:szCs w:val="22"/>
        </w:rPr>
      </w:pPr>
      <w:r w:rsidRPr="00F06FB4">
        <w:rPr>
          <w:szCs w:val="22"/>
        </w:rPr>
        <w:t>Idrossido di potassio (E525)</w:t>
      </w:r>
    </w:p>
    <w:p w14:paraId="047BABFB" w14:textId="77777777" w:rsidR="005477D4" w:rsidRPr="00F06FB4" w:rsidRDefault="005477D4" w:rsidP="005010FD">
      <w:pPr>
        <w:widowControl w:val="0"/>
        <w:jc w:val="both"/>
        <w:rPr>
          <w:szCs w:val="22"/>
        </w:rPr>
      </w:pPr>
    </w:p>
    <w:p w14:paraId="17816E04" w14:textId="77777777" w:rsidR="005477D4" w:rsidRPr="00F06FB4" w:rsidRDefault="005477D4" w:rsidP="005010FD">
      <w:pPr>
        <w:keepNext/>
        <w:widowControl w:val="0"/>
        <w:ind w:left="567" w:hanging="567"/>
        <w:jc w:val="both"/>
        <w:rPr>
          <w:b/>
          <w:szCs w:val="22"/>
        </w:rPr>
      </w:pPr>
      <w:r w:rsidRPr="00F06FB4">
        <w:rPr>
          <w:b/>
          <w:szCs w:val="22"/>
        </w:rPr>
        <w:t>6.2</w:t>
      </w:r>
      <w:r w:rsidRPr="00F06FB4">
        <w:rPr>
          <w:b/>
          <w:szCs w:val="22"/>
        </w:rPr>
        <w:tab/>
        <w:t>Incompatibilità</w:t>
      </w:r>
    </w:p>
    <w:p w14:paraId="5B663AE9" w14:textId="77777777" w:rsidR="005477D4" w:rsidRPr="00F06FB4" w:rsidRDefault="005477D4" w:rsidP="005010FD">
      <w:pPr>
        <w:keepNext/>
        <w:widowControl w:val="0"/>
        <w:jc w:val="both"/>
        <w:rPr>
          <w:szCs w:val="22"/>
        </w:rPr>
      </w:pPr>
    </w:p>
    <w:p w14:paraId="7BEEE3F8" w14:textId="77777777" w:rsidR="005477D4" w:rsidRPr="00F06FB4" w:rsidRDefault="005477D4" w:rsidP="005010FD">
      <w:pPr>
        <w:widowControl w:val="0"/>
        <w:jc w:val="both"/>
        <w:rPr>
          <w:szCs w:val="22"/>
        </w:rPr>
      </w:pPr>
      <w:r w:rsidRPr="00F06FB4">
        <w:rPr>
          <w:szCs w:val="22"/>
        </w:rPr>
        <w:t>Non pertinente.</w:t>
      </w:r>
    </w:p>
    <w:p w14:paraId="16AC8D71" w14:textId="77777777" w:rsidR="005477D4" w:rsidRPr="00F06FB4" w:rsidRDefault="005477D4" w:rsidP="005010FD">
      <w:pPr>
        <w:widowControl w:val="0"/>
        <w:jc w:val="both"/>
        <w:rPr>
          <w:szCs w:val="22"/>
        </w:rPr>
      </w:pPr>
    </w:p>
    <w:p w14:paraId="74BAF4B3" w14:textId="77777777" w:rsidR="005477D4" w:rsidRPr="00F06FB4" w:rsidRDefault="005477D4" w:rsidP="005010FD">
      <w:pPr>
        <w:widowControl w:val="0"/>
        <w:ind w:left="567" w:hanging="567"/>
        <w:jc w:val="both"/>
        <w:rPr>
          <w:b/>
          <w:szCs w:val="22"/>
        </w:rPr>
      </w:pPr>
      <w:r w:rsidRPr="00F06FB4">
        <w:rPr>
          <w:b/>
          <w:szCs w:val="22"/>
        </w:rPr>
        <w:t>6.3</w:t>
      </w:r>
      <w:r w:rsidRPr="00F06FB4">
        <w:rPr>
          <w:b/>
          <w:szCs w:val="22"/>
        </w:rPr>
        <w:tab/>
        <w:t>Periodo di validità</w:t>
      </w:r>
    </w:p>
    <w:p w14:paraId="434A7043" w14:textId="77777777" w:rsidR="005477D4" w:rsidRPr="00F06FB4" w:rsidRDefault="005477D4" w:rsidP="005010FD">
      <w:pPr>
        <w:widowControl w:val="0"/>
        <w:jc w:val="both"/>
        <w:rPr>
          <w:szCs w:val="22"/>
        </w:rPr>
      </w:pPr>
    </w:p>
    <w:p w14:paraId="19C19049" w14:textId="77777777" w:rsidR="005477D4" w:rsidRPr="00F06FB4" w:rsidRDefault="005477D4" w:rsidP="005010FD">
      <w:pPr>
        <w:widowControl w:val="0"/>
        <w:jc w:val="both"/>
        <w:rPr>
          <w:szCs w:val="22"/>
        </w:rPr>
      </w:pPr>
      <w:r w:rsidRPr="00F06FB4">
        <w:rPr>
          <w:szCs w:val="22"/>
        </w:rPr>
        <w:t>3 anni</w:t>
      </w:r>
    </w:p>
    <w:bookmarkEnd w:id="12"/>
    <w:bookmarkEnd w:id="13"/>
    <w:p w14:paraId="31C9011C" w14:textId="77777777" w:rsidR="005477D4" w:rsidRPr="00F06FB4" w:rsidRDefault="005477D4" w:rsidP="005010FD">
      <w:pPr>
        <w:widowControl w:val="0"/>
        <w:jc w:val="both"/>
        <w:rPr>
          <w:szCs w:val="22"/>
        </w:rPr>
      </w:pPr>
    </w:p>
    <w:p w14:paraId="073C58AE" w14:textId="77777777" w:rsidR="005477D4" w:rsidRPr="00F06FB4" w:rsidRDefault="005477D4" w:rsidP="005010FD">
      <w:pPr>
        <w:keepNext/>
        <w:widowControl w:val="0"/>
        <w:jc w:val="both"/>
        <w:rPr>
          <w:b/>
          <w:szCs w:val="22"/>
        </w:rPr>
      </w:pPr>
      <w:r w:rsidRPr="00F06FB4">
        <w:rPr>
          <w:b/>
          <w:szCs w:val="22"/>
        </w:rPr>
        <w:t>6.4</w:t>
      </w:r>
      <w:r w:rsidRPr="00F06FB4">
        <w:rPr>
          <w:b/>
          <w:szCs w:val="22"/>
        </w:rPr>
        <w:tab/>
        <w:t>Precauzioni particolari per la conservazione</w:t>
      </w:r>
    </w:p>
    <w:p w14:paraId="3122C5F5" w14:textId="77777777" w:rsidR="005477D4" w:rsidRPr="00F06FB4" w:rsidRDefault="005477D4" w:rsidP="005010FD">
      <w:pPr>
        <w:keepNext/>
        <w:widowControl w:val="0"/>
        <w:jc w:val="both"/>
        <w:rPr>
          <w:szCs w:val="22"/>
        </w:rPr>
      </w:pPr>
    </w:p>
    <w:p w14:paraId="1E110B11" w14:textId="77777777" w:rsidR="005477D4" w:rsidRPr="00F06FB4" w:rsidRDefault="005477D4" w:rsidP="005010FD">
      <w:pPr>
        <w:widowControl w:val="0"/>
        <w:jc w:val="both"/>
        <w:rPr>
          <w:szCs w:val="22"/>
        </w:rPr>
      </w:pPr>
    </w:p>
    <w:p w14:paraId="0EE25475" w14:textId="77777777" w:rsidR="005477D4" w:rsidRPr="00F06FB4" w:rsidRDefault="005477D4" w:rsidP="005010FD">
      <w:pPr>
        <w:widowControl w:val="0"/>
        <w:jc w:val="both"/>
        <w:rPr>
          <w:szCs w:val="22"/>
        </w:rPr>
      </w:pPr>
      <w:r w:rsidRPr="00F06FB4">
        <w:rPr>
          <w:szCs w:val="22"/>
        </w:rPr>
        <w:t>Questo medicinale non richiede alcuna condizione particolare di conservazione.</w:t>
      </w:r>
    </w:p>
    <w:p w14:paraId="1BCED8B5" w14:textId="77777777" w:rsidR="005477D4" w:rsidRPr="00F06FB4" w:rsidRDefault="005477D4" w:rsidP="005010FD">
      <w:pPr>
        <w:widowControl w:val="0"/>
        <w:jc w:val="both"/>
        <w:rPr>
          <w:szCs w:val="22"/>
        </w:rPr>
      </w:pPr>
    </w:p>
    <w:p w14:paraId="695C672D" w14:textId="77777777" w:rsidR="005477D4" w:rsidRPr="00F06FB4" w:rsidRDefault="005477D4" w:rsidP="005010FD">
      <w:pPr>
        <w:keepNext/>
        <w:widowControl w:val="0"/>
        <w:jc w:val="both"/>
        <w:rPr>
          <w:b/>
          <w:szCs w:val="22"/>
        </w:rPr>
      </w:pPr>
      <w:r w:rsidRPr="00F06FB4">
        <w:rPr>
          <w:b/>
          <w:szCs w:val="22"/>
        </w:rPr>
        <w:t>6.5</w:t>
      </w:r>
      <w:r w:rsidRPr="00F06FB4">
        <w:rPr>
          <w:b/>
          <w:szCs w:val="22"/>
        </w:rPr>
        <w:tab/>
        <w:t>Natura e contenuto del contenitore</w:t>
      </w:r>
    </w:p>
    <w:p w14:paraId="18EF17DF" w14:textId="77777777" w:rsidR="005477D4" w:rsidRPr="00F06FB4" w:rsidRDefault="005477D4" w:rsidP="005010FD">
      <w:pPr>
        <w:keepNext/>
        <w:widowControl w:val="0"/>
        <w:jc w:val="both"/>
        <w:rPr>
          <w:szCs w:val="22"/>
        </w:rPr>
      </w:pPr>
    </w:p>
    <w:p w14:paraId="2773766B" w14:textId="77777777" w:rsidR="005477D4" w:rsidRPr="00F06FB4" w:rsidRDefault="005477D4" w:rsidP="005010FD">
      <w:pPr>
        <w:keepNext/>
        <w:widowControl w:val="0"/>
        <w:jc w:val="both"/>
        <w:rPr>
          <w:szCs w:val="22"/>
        </w:rPr>
      </w:pPr>
      <w:r w:rsidRPr="00F06FB4">
        <w:rPr>
          <w:szCs w:val="22"/>
        </w:rPr>
        <w:t xml:space="preserve">Capsule da 120 mg: </w:t>
      </w:r>
    </w:p>
    <w:p w14:paraId="1392A763" w14:textId="77777777" w:rsidR="005477D4" w:rsidRPr="00F06FB4" w:rsidRDefault="005477D4" w:rsidP="005010FD">
      <w:pPr>
        <w:keepNext/>
        <w:widowControl w:val="0"/>
        <w:jc w:val="both"/>
        <w:rPr>
          <w:szCs w:val="22"/>
        </w:rPr>
      </w:pPr>
      <w:r w:rsidRPr="00F06FB4">
        <w:rPr>
          <w:szCs w:val="22"/>
        </w:rPr>
        <w:t>14 capsule in confezioni blister di PVC/PE/PVDC-Alu.</w:t>
      </w:r>
    </w:p>
    <w:p w14:paraId="7C2C437F" w14:textId="77777777" w:rsidR="005477D4" w:rsidRPr="00F06FB4" w:rsidRDefault="005477D4" w:rsidP="005010FD">
      <w:pPr>
        <w:widowControl w:val="0"/>
        <w:suppressLineNumbers/>
        <w:jc w:val="both"/>
        <w:rPr>
          <w:szCs w:val="22"/>
        </w:rPr>
      </w:pPr>
      <w:r w:rsidRPr="00F06FB4">
        <w:rPr>
          <w:szCs w:val="22"/>
        </w:rPr>
        <w:t>14x1 capsule in confezioni blister perforati per dose unitaria di PVC/PE/PVDC-Alu.</w:t>
      </w:r>
    </w:p>
    <w:p w14:paraId="49266ABA" w14:textId="77777777" w:rsidR="005477D4" w:rsidRPr="00F06FB4" w:rsidRDefault="005477D4" w:rsidP="005010FD">
      <w:pPr>
        <w:widowControl w:val="0"/>
        <w:suppressLineNumbers/>
        <w:jc w:val="both"/>
        <w:rPr>
          <w:szCs w:val="22"/>
        </w:rPr>
      </w:pPr>
    </w:p>
    <w:p w14:paraId="61D94AB1" w14:textId="77777777" w:rsidR="005477D4" w:rsidRPr="00F06FB4" w:rsidRDefault="005477D4" w:rsidP="005010FD">
      <w:pPr>
        <w:widowControl w:val="0"/>
        <w:suppressLineNumbers/>
        <w:jc w:val="both"/>
        <w:rPr>
          <w:szCs w:val="22"/>
        </w:rPr>
      </w:pPr>
      <w:r w:rsidRPr="00F06FB4">
        <w:rPr>
          <w:szCs w:val="22"/>
        </w:rPr>
        <w:t xml:space="preserve">Capsule da 240 mg: </w:t>
      </w:r>
    </w:p>
    <w:p w14:paraId="6813626F" w14:textId="77777777" w:rsidR="005477D4" w:rsidRPr="00F06FB4" w:rsidRDefault="005477D4" w:rsidP="005010FD">
      <w:pPr>
        <w:widowControl w:val="0"/>
        <w:suppressLineNumbers/>
        <w:jc w:val="both"/>
        <w:rPr>
          <w:szCs w:val="22"/>
          <w:lang w:eastAsia="en-GB"/>
        </w:rPr>
      </w:pPr>
      <w:r w:rsidRPr="00F06FB4">
        <w:rPr>
          <w:szCs w:val="22"/>
          <w:lang w:eastAsia="en-GB"/>
        </w:rPr>
        <w:t xml:space="preserve">56 o 168 capsule in </w:t>
      </w:r>
      <w:r w:rsidRPr="00F06FB4">
        <w:rPr>
          <w:szCs w:val="22"/>
        </w:rPr>
        <w:t xml:space="preserve">confezioni blister di </w:t>
      </w:r>
      <w:r w:rsidRPr="00F06FB4">
        <w:rPr>
          <w:szCs w:val="22"/>
          <w:lang w:eastAsia="en-GB"/>
        </w:rPr>
        <w:t>PVC/PE/PVDC-Alu.</w:t>
      </w:r>
    </w:p>
    <w:p w14:paraId="4AB41903" w14:textId="77777777" w:rsidR="005477D4" w:rsidRPr="00F06FB4" w:rsidRDefault="005477D4" w:rsidP="005010FD">
      <w:pPr>
        <w:widowControl w:val="0"/>
        <w:suppressLineNumbers/>
        <w:jc w:val="both"/>
        <w:rPr>
          <w:szCs w:val="22"/>
          <w:lang w:eastAsia="en-GB"/>
        </w:rPr>
      </w:pPr>
      <w:r w:rsidRPr="00F06FB4">
        <w:rPr>
          <w:szCs w:val="22"/>
          <w:lang w:eastAsia="en-GB"/>
        </w:rPr>
        <w:t>56x1 o 168x1 capsule in confezioni blister perforati per dose unitaria di PVC/PE/PVDC-Alu.</w:t>
      </w:r>
    </w:p>
    <w:p w14:paraId="7A305603" w14:textId="77777777" w:rsidR="005477D4" w:rsidRPr="00F06FB4" w:rsidRDefault="005477D4" w:rsidP="005010FD">
      <w:pPr>
        <w:widowControl w:val="0"/>
        <w:jc w:val="both"/>
        <w:rPr>
          <w:szCs w:val="22"/>
        </w:rPr>
      </w:pPr>
    </w:p>
    <w:p w14:paraId="2B60ADB2" w14:textId="77777777" w:rsidR="005477D4" w:rsidRPr="00F06FB4" w:rsidRDefault="005477D4" w:rsidP="005010FD">
      <w:pPr>
        <w:widowControl w:val="0"/>
        <w:jc w:val="both"/>
        <w:rPr>
          <w:szCs w:val="22"/>
        </w:rPr>
      </w:pPr>
      <w:r w:rsidRPr="00F06FB4">
        <w:rPr>
          <w:szCs w:val="22"/>
        </w:rPr>
        <w:t>È possibile che non tutte le confezioni siano commercializzate.</w:t>
      </w:r>
    </w:p>
    <w:p w14:paraId="36F46234" w14:textId="77777777" w:rsidR="005477D4" w:rsidRPr="00F06FB4" w:rsidRDefault="005477D4" w:rsidP="005010FD">
      <w:pPr>
        <w:widowControl w:val="0"/>
        <w:jc w:val="both"/>
        <w:rPr>
          <w:szCs w:val="22"/>
        </w:rPr>
      </w:pPr>
    </w:p>
    <w:p w14:paraId="586824E1" w14:textId="77777777" w:rsidR="005477D4" w:rsidRPr="00F06FB4" w:rsidRDefault="005477D4" w:rsidP="005010FD">
      <w:pPr>
        <w:widowControl w:val="0"/>
        <w:ind w:left="567" w:hanging="567"/>
        <w:jc w:val="both"/>
        <w:rPr>
          <w:b/>
          <w:szCs w:val="22"/>
        </w:rPr>
      </w:pPr>
      <w:r w:rsidRPr="00F06FB4">
        <w:rPr>
          <w:b/>
          <w:szCs w:val="22"/>
        </w:rPr>
        <w:t>6.6</w:t>
      </w:r>
      <w:r w:rsidRPr="00F06FB4">
        <w:rPr>
          <w:b/>
          <w:szCs w:val="22"/>
        </w:rPr>
        <w:tab/>
        <w:t>Precauzioni particolari per lo smaltimento</w:t>
      </w:r>
    </w:p>
    <w:p w14:paraId="2E5BAA39" w14:textId="77777777" w:rsidR="005477D4" w:rsidRPr="00F06FB4" w:rsidRDefault="005477D4" w:rsidP="005010FD">
      <w:pPr>
        <w:widowControl w:val="0"/>
        <w:jc w:val="both"/>
        <w:rPr>
          <w:szCs w:val="22"/>
        </w:rPr>
      </w:pPr>
    </w:p>
    <w:p w14:paraId="0D9E286C" w14:textId="77777777" w:rsidR="005477D4" w:rsidRPr="00F06FB4" w:rsidRDefault="005477D4" w:rsidP="005010FD">
      <w:pPr>
        <w:widowControl w:val="0"/>
        <w:jc w:val="both"/>
        <w:rPr>
          <w:szCs w:val="22"/>
        </w:rPr>
      </w:pPr>
      <w:r w:rsidRPr="00F06FB4">
        <w:rPr>
          <w:szCs w:val="22"/>
        </w:rPr>
        <w:t>Il medicinale non utilizzato e i rifiuti derivati da tale medicinale devono essere smaltiti in conformità alla normativa locale vigente.</w:t>
      </w:r>
    </w:p>
    <w:p w14:paraId="0781774D" w14:textId="77777777" w:rsidR="005477D4" w:rsidRPr="00F06FB4" w:rsidRDefault="005477D4" w:rsidP="005010FD">
      <w:pPr>
        <w:widowControl w:val="0"/>
        <w:jc w:val="both"/>
        <w:rPr>
          <w:szCs w:val="22"/>
        </w:rPr>
      </w:pPr>
    </w:p>
    <w:p w14:paraId="0CCA8411" w14:textId="77777777" w:rsidR="005477D4" w:rsidRPr="00F06FB4" w:rsidRDefault="005477D4" w:rsidP="005010FD">
      <w:pPr>
        <w:widowControl w:val="0"/>
        <w:jc w:val="both"/>
        <w:rPr>
          <w:szCs w:val="22"/>
        </w:rPr>
      </w:pPr>
    </w:p>
    <w:p w14:paraId="50393167" w14:textId="77777777" w:rsidR="005477D4" w:rsidRPr="00F06FB4" w:rsidRDefault="005477D4" w:rsidP="005010FD">
      <w:pPr>
        <w:widowControl w:val="0"/>
        <w:ind w:left="567" w:hanging="567"/>
        <w:jc w:val="both"/>
        <w:rPr>
          <w:b/>
          <w:szCs w:val="22"/>
        </w:rPr>
      </w:pPr>
      <w:r w:rsidRPr="00F06FB4">
        <w:rPr>
          <w:b/>
          <w:szCs w:val="22"/>
        </w:rPr>
        <w:t>7.</w:t>
      </w:r>
      <w:r w:rsidRPr="00F06FB4">
        <w:rPr>
          <w:b/>
          <w:szCs w:val="22"/>
        </w:rPr>
        <w:tab/>
        <w:t>TITOLARE DELL’AUTORIZZAZIONE ALL’IMMISSIONE IN COMMERCIO</w:t>
      </w:r>
    </w:p>
    <w:p w14:paraId="3D292338" w14:textId="77777777" w:rsidR="005477D4" w:rsidRPr="00F06FB4" w:rsidRDefault="005477D4" w:rsidP="005010FD">
      <w:pPr>
        <w:widowControl w:val="0"/>
        <w:jc w:val="both"/>
        <w:rPr>
          <w:szCs w:val="22"/>
        </w:rPr>
      </w:pPr>
    </w:p>
    <w:p w14:paraId="6E38FD46" w14:textId="77777777" w:rsidR="005477D4" w:rsidRPr="00F06FB4" w:rsidRDefault="005477D4" w:rsidP="005010FD">
      <w:pPr>
        <w:jc w:val="both"/>
        <w:rPr>
          <w:szCs w:val="22"/>
        </w:rPr>
      </w:pPr>
      <w:r w:rsidRPr="00F06FB4">
        <w:rPr>
          <w:szCs w:val="22"/>
        </w:rPr>
        <w:t>Accord Healthcare S.L.U.</w:t>
      </w:r>
    </w:p>
    <w:p w14:paraId="1B594FC8" w14:textId="77777777" w:rsidR="005477D4" w:rsidRPr="00F06FB4" w:rsidRDefault="005477D4" w:rsidP="005010FD">
      <w:pPr>
        <w:jc w:val="both"/>
        <w:rPr>
          <w:szCs w:val="22"/>
          <w:lang w:val="es-ES_tradnl"/>
        </w:rPr>
      </w:pPr>
      <w:r w:rsidRPr="00F06FB4">
        <w:rPr>
          <w:szCs w:val="22"/>
          <w:lang w:val="es-ES_tradnl"/>
        </w:rPr>
        <w:t>World Trade Center, Moll de Barcelona, s/n,</w:t>
      </w:r>
    </w:p>
    <w:p w14:paraId="4C566E1E" w14:textId="77777777" w:rsidR="005477D4" w:rsidRPr="00F06FB4" w:rsidRDefault="005477D4" w:rsidP="005010FD">
      <w:pPr>
        <w:jc w:val="both"/>
        <w:rPr>
          <w:szCs w:val="22"/>
          <w:lang w:val="es-ES_tradnl"/>
        </w:rPr>
      </w:pPr>
      <w:r w:rsidRPr="00F06FB4">
        <w:rPr>
          <w:szCs w:val="22"/>
          <w:lang w:val="es-ES_tradnl"/>
        </w:rPr>
        <w:t>Edifici Est, 6</w:t>
      </w:r>
      <w:r w:rsidRPr="00F06FB4">
        <w:rPr>
          <w:szCs w:val="22"/>
          <w:vertAlign w:val="superscript"/>
          <w:lang w:val="es-ES_tradnl"/>
        </w:rPr>
        <w:t>a</w:t>
      </w:r>
      <w:r w:rsidRPr="00F06FB4">
        <w:rPr>
          <w:szCs w:val="22"/>
          <w:lang w:val="es-ES_tradnl"/>
        </w:rPr>
        <w:t xml:space="preserve"> Planta,</w:t>
      </w:r>
    </w:p>
    <w:p w14:paraId="2ACB5329" w14:textId="77777777" w:rsidR="005477D4" w:rsidRPr="00F06FB4" w:rsidRDefault="005477D4" w:rsidP="005010FD">
      <w:pPr>
        <w:jc w:val="both"/>
        <w:rPr>
          <w:szCs w:val="22"/>
          <w:lang w:val="es-ES_tradnl"/>
        </w:rPr>
      </w:pPr>
      <w:r w:rsidRPr="00F06FB4">
        <w:rPr>
          <w:szCs w:val="22"/>
          <w:lang w:val="es-ES_tradnl"/>
        </w:rPr>
        <w:t>08039 Barcellona,</w:t>
      </w:r>
    </w:p>
    <w:p w14:paraId="554212B3" w14:textId="77777777" w:rsidR="005477D4" w:rsidRPr="00F06FB4" w:rsidRDefault="005477D4" w:rsidP="005010FD">
      <w:pPr>
        <w:jc w:val="both"/>
        <w:rPr>
          <w:szCs w:val="22"/>
        </w:rPr>
      </w:pPr>
      <w:r w:rsidRPr="00F06FB4">
        <w:rPr>
          <w:szCs w:val="22"/>
        </w:rPr>
        <w:t>Spagna</w:t>
      </w:r>
    </w:p>
    <w:p w14:paraId="62D44FD1" w14:textId="77777777" w:rsidR="005477D4" w:rsidRPr="00F06FB4" w:rsidRDefault="005477D4" w:rsidP="005010FD">
      <w:pPr>
        <w:widowControl w:val="0"/>
        <w:jc w:val="both"/>
        <w:rPr>
          <w:szCs w:val="22"/>
        </w:rPr>
      </w:pPr>
    </w:p>
    <w:p w14:paraId="0606E942" w14:textId="77777777" w:rsidR="005477D4" w:rsidRPr="00F06FB4" w:rsidRDefault="005477D4" w:rsidP="005010FD">
      <w:pPr>
        <w:widowControl w:val="0"/>
        <w:jc w:val="both"/>
        <w:rPr>
          <w:szCs w:val="22"/>
        </w:rPr>
      </w:pPr>
    </w:p>
    <w:p w14:paraId="522F44C5" w14:textId="77777777" w:rsidR="005477D4" w:rsidRPr="00F06FB4" w:rsidRDefault="005477D4" w:rsidP="005010FD">
      <w:pPr>
        <w:widowControl w:val="0"/>
        <w:jc w:val="both"/>
        <w:rPr>
          <w:b/>
          <w:szCs w:val="22"/>
        </w:rPr>
      </w:pPr>
      <w:r w:rsidRPr="00F06FB4">
        <w:rPr>
          <w:b/>
          <w:szCs w:val="22"/>
        </w:rPr>
        <w:t>8.</w:t>
      </w:r>
      <w:r w:rsidRPr="00F06FB4">
        <w:rPr>
          <w:b/>
          <w:szCs w:val="22"/>
        </w:rPr>
        <w:tab/>
        <w:t>NUMERO(I) DELL’AUTORIZZAZIONE ALL’IMMISSIONE IN COMMERCIO</w:t>
      </w:r>
    </w:p>
    <w:p w14:paraId="7A6E1174" w14:textId="77777777" w:rsidR="005477D4" w:rsidRPr="00F06FB4" w:rsidRDefault="005477D4" w:rsidP="005010FD">
      <w:pPr>
        <w:widowControl w:val="0"/>
        <w:jc w:val="both"/>
        <w:rPr>
          <w:szCs w:val="22"/>
        </w:rPr>
      </w:pPr>
    </w:p>
    <w:p w14:paraId="6BA091D0" w14:textId="77777777" w:rsidR="005477D4" w:rsidRPr="00F06FB4" w:rsidRDefault="005477D4" w:rsidP="005010FD">
      <w:pPr>
        <w:widowControl w:val="0"/>
        <w:jc w:val="both"/>
        <w:rPr>
          <w:szCs w:val="22"/>
          <w:lang w:val="es-ES_tradnl"/>
        </w:rPr>
      </w:pPr>
      <w:r w:rsidRPr="00F06FB4">
        <w:rPr>
          <w:szCs w:val="22"/>
          <w:lang w:val="es-ES_tradnl"/>
        </w:rPr>
        <w:t>Capsule da 120 mg:</w:t>
      </w:r>
    </w:p>
    <w:p w14:paraId="0A06D060" w14:textId="77777777" w:rsidR="005477D4" w:rsidRPr="00F06FB4" w:rsidRDefault="005477D4" w:rsidP="005010FD">
      <w:pPr>
        <w:widowControl w:val="0"/>
        <w:jc w:val="both"/>
        <w:rPr>
          <w:szCs w:val="22"/>
          <w:lang w:val="es-ES_tradnl"/>
        </w:rPr>
      </w:pPr>
      <w:r w:rsidRPr="00F06FB4">
        <w:rPr>
          <w:szCs w:val="22"/>
          <w:lang w:val="es-ES_tradnl"/>
        </w:rPr>
        <w:t>EU/1/24/1811/001</w:t>
      </w:r>
    </w:p>
    <w:p w14:paraId="4274B76F" w14:textId="77777777" w:rsidR="005477D4" w:rsidRPr="00F06FB4" w:rsidRDefault="005477D4" w:rsidP="005010FD">
      <w:pPr>
        <w:widowControl w:val="0"/>
        <w:jc w:val="both"/>
        <w:rPr>
          <w:szCs w:val="22"/>
          <w:lang w:val="es-ES_tradnl"/>
        </w:rPr>
      </w:pPr>
      <w:r w:rsidRPr="00F06FB4">
        <w:rPr>
          <w:szCs w:val="22"/>
          <w:lang w:val="es-ES_tradnl"/>
        </w:rPr>
        <w:t>EU/1/24/1811/002</w:t>
      </w:r>
    </w:p>
    <w:p w14:paraId="12ADFEE2" w14:textId="77777777" w:rsidR="005477D4" w:rsidRPr="00F06FB4" w:rsidRDefault="005477D4" w:rsidP="005010FD">
      <w:pPr>
        <w:widowControl w:val="0"/>
        <w:jc w:val="both"/>
        <w:rPr>
          <w:szCs w:val="22"/>
          <w:lang w:val="es-ES_tradnl"/>
        </w:rPr>
      </w:pPr>
    </w:p>
    <w:p w14:paraId="3817EA9C" w14:textId="77777777" w:rsidR="005477D4" w:rsidRPr="00F06FB4" w:rsidRDefault="005477D4" w:rsidP="005010FD">
      <w:pPr>
        <w:widowControl w:val="0"/>
        <w:jc w:val="both"/>
        <w:rPr>
          <w:szCs w:val="22"/>
          <w:lang w:val="es-ES_tradnl"/>
        </w:rPr>
      </w:pPr>
      <w:r w:rsidRPr="00F06FB4">
        <w:rPr>
          <w:szCs w:val="22"/>
          <w:lang w:val="es-ES_tradnl"/>
        </w:rPr>
        <w:t>Capsule da 240 mg:</w:t>
      </w:r>
    </w:p>
    <w:p w14:paraId="08903998" w14:textId="77777777" w:rsidR="005477D4" w:rsidRPr="00F06FB4" w:rsidRDefault="005477D4" w:rsidP="005010FD">
      <w:pPr>
        <w:pStyle w:val="Default"/>
        <w:jc w:val="both"/>
        <w:rPr>
          <w:rFonts w:eastAsia="Times New Roman"/>
          <w:color w:val="auto"/>
          <w:sz w:val="22"/>
          <w:szCs w:val="22"/>
          <w:lang w:val="es-ES_tradnl" w:eastAsia="ar-SA"/>
        </w:rPr>
      </w:pPr>
      <w:r w:rsidRPr="00F06FB4">
        <w:rPr>
          <w:rFonts w:eastAsia="Times New Roman"/>
          <w:color w:val="auto"/>
          <w:sz w:val="22"/>
          <w:szCs w:val="22"/>
          <w:lang w:val="es-ES_tradnl" w:eastAsia="ar-SA"/>
        </w:rPr>
        <w:t>EU/1/24/1811/003</w:t>
      </w:r>
    </w:p>
    <w:p w14:paraId="1FFE244F" w14:textId="77777777" w:rsidR="005477D4" w:rsidRPr="00F06FB4" w:rsidRDefault="005477D4" w:rsidP="005010FD">
      <w:pPr>
        <w:pStyle w:val="Default"/>
        <w:jc w:val="both"/>
        <w:rPr>
          <w:rFonts w:eastAsia="Times New Roman"/>
          <w:color w:val="auto"/>
          <w:sz w:val="22"/>
          <w:szCs w:val="22"/>
          <w:lang w:val="es-ES_tradnl" w:eastAsia="ar-SA"/>
        </w:rPr>
      </w:pPr>
      <w:r w:rsidRPr="00F06FB4">
        <w:rPr>
          <w:rFonts w:eastAsia="Times New Roman"/>
          <w:color w:val="auto"/>
          <w:sz w:val="22"/>
          <w:szCs w:val="22"/>
          <w:lang w:val="es-ES_tradnl" w:eastAsia="ar-SA"/>
        </w:rPr>
        <w:t>EU/1/24/1811/004</w:t>
      </w:r>
    </w:p>
    <w:p w14:paraId="73C3A4FE" w14:textId="77777777" w:rsidR="005477D4" w:rsidRPr="00F06FB4" w:rsidRDefault="005477D4" w:rsidP="005010FD">
      <w:pPr>
        <w:pStyle w:val="Default"/>
        <w:jc w:val="both"/>
        <w:rPr>
          <w:rFonts w:eastAsia="Times New Roman"/>
          <w:color w:val="auto"/>
          <w:sz w:val="22"/>
          <w:szCs w:val="22"/>
          <w:lang w:val="es-ES_tradnl" w:eastAsia="ar-SA"/>
        </w:rPr>
      </w:pPr>
      <w:r w:rsidRPr="00F06FB4">
        <w:rPr>
          <w:rFonts w:eastAsia="Times New Roman"/>
          <w:color w:val="auto"/>
          <w:sz w:val="22"/>
          <w:szCs w:val="22"/>
          <w:lang w:val="es-ES_tradnl" w:eastAsia="ar-SA"/>
        </w:rPr>
        <w:t>EU/1/24/1811/005</w:t>
      </w:r>
    </w:p>
    <w:p w14:paraId="339D8A40" w14:textId="77777777" w:rsidR="005477D4" w:rsidRPr="00F06FB4" w:rsidRDefault="005477D4" w:rsidP="005010FD">
      <w:pPr>
        <w:pStyle w:val="Default"/>
        <w:jc w:val="both"/>
        <w:rPr>
          <w:rFonts w:eastAsia="Times New Roman"/>
          <w:color w:val="auto"/>
          <w:sz w:val="22"/>
          <w:szCs w:val="22"/>
          <w:lang w:val="es-ES_tradnl" w:eastAsia="ar-SA"/>
        </w:rPr>
      </w:pPr>
      <w:r w:rsidRPr="00F06FB4">
        <w:rPr>
          <w:rFonts w:eastAsia="Times New Roman"/>
          <w:color w:val="auto"/>
          <w:sz w:val="22"/>
          <w:szCs w:val="22"/>
          <w:lang w:val="es-ES_tradnl" w:eastAsia="ar-SA"/>
        </w:rPr>
        <w:t>EU/1/24/1811/006</w:t>
      </w:r>
    </w:p>
    <w:p w14:paraId="3DCD9B55" w14:textId="77777777" w:rsidR="005477D4" w:rsidRPr="00F06FB4" w:rsidRDefault="005477D4" w:rsidP="005010FD">
      <w:pPr>
        <w:widowControl w:val="0"/>
        <w:jc w:val="both"/>
        <w:rPr>
          <w:szCs w:val="22"/>
        </w:rPr>
      </w:pPr>
    </w:p>
    <w:p w14:paraId="13CCDCCE" w14:textId="77777777" w:rsidR="005477D4" w:rsidRPr="00F06FB4" w:rsidRDefault="005477D4" w:rsidP="005010FD">
      <w:pPr>
        <w:widowControl w:val="0"/>
        <w:jc w:val="both"/>
        <w:rPr>
          <w:szCs w:val="22"/>
        </w:rPr>
      </w:pPr>
    </w:p>
    <w:p w14:paraId="353F84E8" w14:textId="77777777" w:rsidR="005477D4" w:rsidRPr="00F06FB4" w:rsidRDefault="005477D4" w:rsidP="005010FD">
      <w:pPr>
        <w:widowControl w:val="0"/>
        <w:ind w:left="567" w:hanging="567"/>
        <w:jc w:val="both"/>
        <w:rPr>
          <w:b/>
          <w:szCs w:val="22"/>
        </w:rPr>
      </w:pPr>
      <w:r w:rsidRPr="00F06FB4">
        <w:rPr>
          <w:b/>
          <w:szCs w:val="22"/>
        </w:rPr>
        <w:t>9.</w:t>
      </w:r>
      <w:r w:rsidRPr="00F06FB4">
        <w:rPr>
          <w:b/>
          <w:szCs w:val="22"/>
        </w:rPr>
        <w:tab/>
        <w:t>DATA DELLA PRIMA AUTORIZZAZIONE/RINNOVO DELL’AUTORIZZAZIONE</w:t>
      </w:r>
    </w:p>
    <w:p w14:paraId="60DA895A" w14:textId="77777777" w:rsidR="005477D4" w:rsidRPr="00F06FB4" w:rsidRDefault="005477D4" w:rsidP="005010FD">
      <w:pPr>
        <w:widowControl w:val="0"/>
        <w:jc w:val="both"/>
        <w:rPr>
          <w:szCs w:val="22"/>
        </w:rPr>
      </w:pPr>
    </w:p>
    <w:p w14:paraId="3AD43011" w14:textId="77777777" w:rsidR="005477D4" w:rsidRPr="00F06FB4" w:rsidRDefault="005477D4" w:rsidP="005010FD">
      <w:pPr>
        <w:widowControl w:val="0"/>
        <w:jc w:val="both"/>
        <w:rPr>
          <w:szCs w:val="22"/>
        </w:rPr>
      </w:pPr>
      <w:r w:rsidRPr="00F06FB4">
        <w:rPr>
          <w:szCs w:val="22"/>
        </w:rPr>
        <w:t xml:space="preserve">Data della prima autorizzazione: </w:t>
      </w:r>
      <w:r w:rsidRPr="00F06FB4">
        <w:rPr>
          <w:spacing w:val="-7"/>
          <w:szCs w:val="22"/>
        </w:rPr>
        <w:t>22 aprile 2024</w:t>
      </w:r>
    </w:p>
    <w:p w14:paraId="7944C501" w14:textId="77777777" w:rsidR="005477D4" w:rsidRPr="00F06FB4" w:rsidRDefault="005477D4" w:rsidP="005010FD">
      <w:pPr>
        <w:widowControl w:val="0"/>
        <w:jc w:val="both"/>
        <w:rPr>
          <w:szCs w:val="22"/>
        </w:rPr>
      </w:pPr>
    </w:p>
    <w:p w14:paraId="5E46A67B" w14:textId="77777777" w:rsidR="005477D4" w:rsidRPr="00F06FB4" w:rsidRDefault="005477D4" w:rsidP="005010FD">
      <w:pPr>
        <w:widowControl w:val="0"/>
        <w:jc w:val="both"/>
        <w:rPr>
          <w:szCs w:val="22"/>
        </w:rPr>
      </w:pPr>
    </w:p>
    <w:p w14:paraId="576DA4E8" w14:textId="77777777" w:rsidR="005477D4" w:rsidRPr="00F06FB4" w:rsidRDefault="005477D4" w:rsidP="005010FD">
      <w:pPr>
        <w:widowControl w:val="0"/>
        <w:jc w:val="both"/>
        <w:rPr>
          <w:b/>
          <w:szCs w:val="22"/>
        </w:rPr>
      </w:pPr>
      <w:r w:rsidRPr="00F06FB4">
        <w:rPr>
          <w:b/>
          <w:szCs w:val="22"/>
        </w:rPr>
        <w:t>10.</w:t>
      </w:r>
      <w:r w:rsidRPr="00F06FB4">
        <w:rPr>
          <w:b/>
          <w:szCs w:val="22"/>
        </w:rPr>
        <w:tab/>
        <w:t>DATA DI REVISIONE DEL TESTO</w:t>
      </w:r>
    </w:p>
    <w:p w14:paraId="245C4B86" w14:textId="77777777" w:rsidR="005477D4" w:rsidRPr="00F06FB4" w:rsidRDefault="005477D4" w:rsidP="005010FD">
      <w:pPr>
        <w:widowControl w:val="0"/>
        <w:jc w:val="both"/>
        <w:rPr>
          <w:b/>
          <w:szCs w:val="22"/>
        </w:rPr>
      </w:pPr>
    </w:p>
    <w:p w14:paraId="7A980325" w14:textId="77777777" w:rsidR="005477D4" w:rsidRPr="00F06FB4" w:rsidRDefault="005477D4" w:rsidP="005010FD">
      <w:pPr>
        <w:widowControl w:val="0"/>
        <w:jc w:val="both"/>
        <w:rPr>
          <w:szCs w:val="22"/>
        </w:rPr>
      </w:pPr>
    </w:p>
    <w:p w14:paraId="34BDA2F2" w14:textId="77777777" w:rsidR="005477D4" w:rsidRPr="00F06FB4" w:rsidRDefault="005477D4" w:rsidP="005010FD">
      <w:pPr>
        <w:widowControl w:val="0"/>
        <w:jc w:val="both"/>
        <w:rPr>
          <w:szCs w:val="22"/>
        </w:rPr>
      </w:pPr>
      <w:r w:rsidRPr="00F06FB4">
        <w:rPr>
          <w:szCs w:val="22"/>
        </w:rPr>
        <w:t xml:space="preserve">Informazioni più dettagliate su questo medicinale sono disponibili sul sito web dell’Agenzia europea dei medicinali, </w:t>
      </w:r>
      <w:bookmarkStart w:id="14" w:name="_Hlk95570423"/>
      <w:r w:rsidRPr="00F06FB4">
        <w:rPr>
          <w:szCs w:val="22"/>
        </w:rPr>
        <w:fldChar w:fldCharType="begin"/>
      </w:r>
      <w:r w:rsidRPr="00F06FB4">
        <w:rPr>
          <w:szCs w:val="22"/>
        </w:rPr>
        <w:instrText xml:space="preserve"> HYPERLINK "http://www.ema.europa.eu/" </w:instrText>
      </w:r>
      <w:r w:rsidRPr="00F06FB4">
        <w:rPr>
          <w:szCs w:val="22"/>
        </w:rPr>
      </w:r>
      <w:r w:rsidRPr="00F06FB4">
        <w:rPr>
          <w:szCs w:val="22"/>
        </w:rPr>
        <w:fldChar w:fldCharType="separate"/>
      </w:r>
      <w:r w:rsidRPr="00F06FB4">
        <w:rPr>
          <w:rStyle w:val="Hyperlink"/>
          <w:color w:val="auto"/>
          <w:szCs w:val="22"/>
        </w:rPr>
        <w:t>http://www.ema.europa.eu</w:t>
      </w:r>
      <w:r w:rsidRPr="00F06FB4">
        <w:rPr>
          <w:szCs w:val="22"/>
        </w:rPr>
        <w:fldChar w:fldCharType="end"/>
      </w:r>
      <w:r w:rsidRPr="00F06FB4">
        <w:rPr>
          <w:szCs w:val="22"/>
        </w:rPr>
        <w:t>.</w:t>
      </w:r>
      <w:bookmarkEnd w:id="0"/>
      <w:bookmarkEnd w:id="14"/>
    </w:p>
    <w:p w14:paraId="77576885" w14:textId="77777777" w:rsidR="00717A16" w:rsidRPr="00B86130" w:rsidRDefault="00717A16">
      <w:pPr>
        <w:widowControl w:val="0"/>
        <w:rPr>
          <w:szCs w:val="22"/>
        </w:rPr>
      </w:pPr>
    </w:p>
    <w:p w14:paraId="6F51A2E3" w14:textId="77777777" w:rsidR="00717A16" w:rsidRPr="00B86130" w:rsidRDefault="00717A16">
      <w:pPr>
        <w:widowControl w:val="0"/>
        <w:rPr>
          <w:szCs w:val="22"/>
        </w:rPr>
      </w:pPr>
    </w:p>
    <w:p w14:paraId="29E2BFF3" w14:textId="77777777" w:rsidR="00717A16" w:rsidRPr="00B86130" w:rsidRDefault="00717A16">
      <w:pPr>
        <w:widowControl w:val="0"/>
        <w:rPr>
          <w:szCs w:val="22"/>
        </w:rPr>
      </w:pPr>
    </w:p>
    <w:p w14:paraId="7AEA8CE3" w14:textId="77777777" w:rsidR="00717A16" w:rsidRPr="00B86130" w:rsidRDefault="00717A16">
      <w:pPr>
        <w:widowControl w:val="0"/>
        <w:rPr>
          <w:szCs w:val="22"/>
        </w:rPr>
      </w:pPr>
    </w:p>
    <w:p w14:paraId="132BE8D6" w14:textId="77777777" w:rsidR="00717A16" w:rsidRPr="00B86130" w:rsidRDefault="00717A16">
      <w:pPr>
        <w:widowControl w:val="0"/>
        <w:rPr>
          <w:szCs w:val="22"/>
        </w:rPr>
      </w:pPr>
    </w:p>
    <w:p w14:paraId="169023B3" w14:textId="77777777" w:rsidR="00717A16" w:rsidRPr="00B86130" w:rsidRDefault="00717A16">
      <w:pPr>
        <w:widowControl w:val="0"/>
        <w:rPr>
          <w:szCs w:val="22"/>
        </w:rPr>
      </w:pPr>
    </w:p>
    <w:p w14:paraId="32B64838" w14:textId="77777777" w:rsidR="00717A16" w:rsidRPr="00B86130" w:rsidRDefault="00717A16">
      <w:pPr>
        <w:widowControl w:val="0"/>
        <w:rPr>
          <w:szCs w:val="22"/>
        </w:rPr>
      </w:pPr>
    </w:p>
    <w:p w14:paraId="15FD5D0B" w14:textId="77777777" w:rsidR="00717A16" w:rsidRPr="00B86130" w:rsidRDefault="00717A16">
      <w:pPr>
        <w:widowControl w:val="0"/>
        <w:rPr>
          <w:szCs w:val="22"/>
        </w:rPr>
      </w:pPr>
    </w:p>
    <w:p w14:paraId="33E73A86" w14:textId="77777777" w:rsidR="00717A16" w:rsidRPr="00B86130" w:rsidRDefault="00717A16">
      <w:pPr>
        <w:widowControl w:val="0"/>
        <w:rPr>
          <w:szCs w:val="22"/>
        </w:rPr>
      </w:pPr>
    </w:p>
    <w:p w14:paraId="48BD041D" w14:textId="77777777" w:rsidR="00717A16" w:rsidRPr="00B86130" w:rsidRDefault="00717A16">
      <w:pPr>
        <w:widowControl w:val="0"/>
        <w:rPr>
          <w:szCs w:val="22"/>
        </w:rPr>
      </w:pPr>
    </w:p>
    <w:p w14:paraId="1653B9C9" w14:textId="77777777" w:rsidR="00717A16" w:rsidRPr="00B86130" w:rsidRDefault="00717A16">
      <w:pPr>
        <w:widowControl w:val="0"/>
        <w:rPr>
          <w:szCs w:val="22"/>
        </w:rPr>
      </w:pPr>
    </w:p>
    <w:p w14:paraId="250B010E" w14:textId="77777777" w:rsidR="00717A16" w:rsidRDefault="00717A16">
      <w:pPr>
        <w:widowControl w:val="0"/>
        <w:rPr>
          <w:szCs w:val="22"/>
        </w:rPr>
      </w:pPr>
    </w:p>
    <w:p w14:paraId="75E3673F" w14:textId="77777777" w:rsidR="00EB5CB9" w:rsidRDefault="00EB5CB9">
      <w:pPr>
        <w:widowControl w:val="0"/>
        <w:rPr>
          <w:szCs w:val="22"/>
        </w:rPr>
      </w:pPr>
    </w:p>
    <w:p w14:paraId="67A11769" w14:textId="77777777" w:rsidR="00EB5CB9" w:rsidRDefault="00EB5CB9">
      <w:pPr>
        <w:widowControl w:val="0"/>
        <w:rPr>
          <w:szCs w:val="22"/>
        </w:rPr>
      </w:pPr>
    </w:p>
    <w:p w14:paraId="66857B95" w14:textId="77777777" w:rsidR="00EB5CB9" w:rsidRDefault="00EB5CB9">
      <w:pPr>
        <w:widowControl w:val="0"/>
        <w:rPr>
          <w:szCs w:val="22"/>
        </w:rPr>
      </w:pPr>
    </w:p>
    <w:p w14:paraId="6794734F" w14:textId="77777777" w:rsidR="00EB5CB9" w:rsidRDefault="00EB5CB9">
      <w:pPr>
        <w:widowControl w:val="0"/>
        <w:rPr>
          <w:szCs w:val="22"/>
        </w:rPr>
      </w:pPr>
    </w:p>
    <w:p w14:paraId="29F95956" w14:textId="77777777" w:rsidR="00EB5CB9" w:rsidRDefault="00EB5CB9">
      <w:pPr>
        <w:widowControl w:val="0"/>
        <w:rPr>
          <w:szCs w:val="22"/>
        </w:rPr>
      </w:pPr>
    </w:p>
    <w:p w14:paraId="3C619838" w14:textId="77777777" w:rsidR="00EB5CB9" w:rsidRDefault="00EB5CB9">
      <w:pPr>
        <w:widowControl w:val="0"/>
        <w:rPr>
          <w:szCs w:val="22"/>
        </w:rPr>
      </w:pPr>
    </w:p>
    <w:p w14:paraId="59DA8A0A" w14:textId="77777777" w:rsidR="00EB5CB9" w:rsidRDefault="00EB5CB9">
      <w:pPr>
        <w:widowControl w:val="0"/>
        <w:rPr>
          <w:szCs w:val="22"/>
        </w:rPr>
      </w:pPr>
    </w:p>
    <w:p w14:paraId="5F8E6A34" w14:textId="77777777" w:rsidR="00EB5CB9" w:rsidRDefault="00EB5CB9">
      <w:pPr>
        <w:widowControl w:val="0"/>
        <w:rPr>
          <w:szCs w:val="22"/>
        </w:rPr>
      </w:pPr>
    </w:p>
    <w:p w14:paraId="613AFD57" w14:textId="77777777" w:rsidR="00EB5CB9" w:rsidRDefault="00EB5CB9">
      <w:pPr>
        <w:widowControl w:val="0"/>
        <w:rPr>
          <w:szCs w:val="22"/>
        </w:rPr>
      </w:pPr>
    </w:p>
    <w:p w14:paraId="3A5925E1" w14:textId="77777777" w:rsidR="00EB5CB9" w:rsidRDefault="00EB5CB9">
      <w:pPr>
        <w:widowControl w:val="0"/>
        <w:rPr>
          <w:szCs w:val="22"/>
        </w:rPr>
      </w:pPr>
    </w:p>
    <w:p w14:paraId="68950B58" w14:textId="77777777" w:rsidR="00EB5CB9" w:rsidRDefault="00EB5CB9">
      <w:pPr>
        <w:widowControl w:val="0"/>
        <w:rPr>
          <w:szCs w:val="22"/>
        </w:rPr>
      </w:pPr>
    </w:p>
    <w:p w14:paraId="6E8C0F4D" w14:textId="77777777" w:rsidR="00EB5CB9" w:rsidRDefault="00EB5CB9">
      <w:pPr>
        <w:widowControl w:val="0"/>
        <w:rPr>
          <w:szCs w:val="22"/>
        </w:rPr>
      </w:pPr>
    </w:p>
    <w:p w14:paraId="01299F78" w14:textId="77777777" w:rsidR="00EB5CB9" w:rsidRDefault="00EB5CB9">
      <w:pPr>
        <w:widowControl w:val="0"/>
        <w:rPr>
          <w:szCs w:val="22"/>
        </w:rPr>
      </w:pPr>
    </w:p>
    <w:p w14:paraId="01F52D9B" w14:textId="77777777" w:rsidR="00EB5CB9" w:rsidRDefault="00EB5CB9">
      <w:pPr>
        <w:widowControl w:val="0"/>
        <w:rPr>
          <w:szCs w:val="22"/>
        </w:rPr>
      </w:pPr>
    </w:p>
    <w:p w14:paraId="7A57F39A" w14:textId="77777777" w:rsidR="00EB5CB9" w:rsidRDefault="00EB5CB9">
      <w:pPr>
        <w:widowControl w:val="0"/>
        <w:rPr>
          <w:szCs w:val="22"/>
        </w:rPr>
      </w:pPr>
    </w:p>
    <w:p w14:paraId="27AC9B1A" w14:textId="77777777" w:rsidR="00EB5CB9" w:rsidRDefault="00EB5CB9">
      <w:pPr>
        <w:widowControl w:val="0"/>
        <w:rPr>
          <w:szCs w:val="22"/>
        </w:rPr>
      </w:pPr>
    </w:p>
    <w:p w14:paraId="7E6B45E7" w14:textId="77777777" w:rsidR="00EB5CB9" w:rsidRDefault="00EB5CB9">
      <w:pPr>
        <w:widowControl w:val="0"/>
        <w:rPr>
          <w:szCs w:val="22"/>
        </w:rPr>
      </w:pPr>
    </w:p>
    <w:p w14:paraId="6BFA3A28" w14:textId="77777777" w:rsidR="00EB5CB9" w:rsidRDefault="00EB5CB9">
      <w:pPr>
        <w:widowControl w:val="0"/>
        <w:rPr>
          <w:szCs w:val="22"/>
        </w:rPr>
      </w:pPr>
    </w:p>
    <w:p w14:paraId="4E64D05F" w14:textId="77777777" w:rsidR="00EB5CB9" w:rsidRDefault="00EB5CB9">
      <w:pPr>
        <w:widowControl w:val="0"/>
        <w:rPr>
          <w:szCs w:val="22"/>
        </w:rPr>
      </w:pPr>
    </w:p>
    <w:p w14:paraId="320FE94E" w14:textId="77777777" w:rsidR="00EB5CB9" w:rsidRDefault="00EB5CB9">
      <w:pPr>
        <w:widowControl w:val="0"/>
        <w:rPr>
          <w:szCs w:val="22"/>
        </w:rPr>
      </w:pPr>
    </w:p>
    <w:p w14:paraId="37393053" w14:textId="77777777" w:rsidR="00EB5CB9" w:rsidRDefault="00EB5CB9">
      <w:pPr>
        <w:widowControl w:val="0"/>
        <w:rPr>
          <w:szCs w:val="22"/>
        </w:rPr>
      </w:pPr>
    </w:p>
    <w:p w14:paraId="52450361" w14:textId="77777777" w:rsidR="00EB5CB9" w:rsidRDefault="00EB5CB9">
      <w:pPr>
        <w:widowControl w:val="0"/>
        <w:rPr>
          <w:szCs w:val="22"/>
        </w:rPr>
      </w:pPr>
    </w:p>
    <w:p w14:paraId="02A824A9" w14:textId="77777777" w:rsidR="00EB5CB9" w:rsidRDefault="00EB5CB9">
      <w:pPr>
        <w:widowControl w:val="0"/>
        <w:rPr>
          <w:szCs w:val="22"/>
        </w:rPr>
      </w:pPr>
    </w:p>
    <w:p w14:paraId="199BA99D" w14:textId="77777777" w:rsidR="00EB5CB9" w:rsidRDefault="00EB5CB9">
      <w:pPr>
        <w:widowControl w:val="0"/>
        <w:rPr>
          <w:szCs w:val="22"/>
        </w:rPr>
      </w:pPr>
    </w:p>
    <w:p w14:paraId="779B50BA" w14:textId="77777777" w:rsidR="00EB5CB9" w:rsidRDefault="00EB5CB9">
      <w:pPr>
        <w:widowControl w:val="0"/>
        <w:rPr>
          <w:szCs w:val="22"/>
        </w:rPr>
      </w:pPr>
    </w:p>
    <w:p w14:paraId="2084C37D" w14:textId="77777777" w:rsidR="00EB5CB9" w:rsidRDefault="00EB5CB9">
      <w:pPr>
        <w:widowControl w:val="0"/>
        <w:rPr>
          <w:szCs w:val="22"/>
        </w:rPr>
      </w:pPr>
    </w:p>
    <w:p w14:paraId="24AF9AAD" w14:textId="77777777" w:rsidR="00EB5CB9" w:rsidRDefault="00EB5CB9">
      <w:pPr>
        <w:widowControl w:val="0"/>
        <w:rPr>
          <w:szCs w:val="22"/>
        </w:rPr>
      </w:pPr>
    </w:p>
    <w:p w14:paraId="5B6AE66B" w14:textId="77777777" w:rsidR="00EB5CB9" w:rsidRDefault="00EB5CB9">
      <w:pPr>
        <w:widowControl w:val="0"/>
        <w:rPr>
          <w:szCs w:val="22"/>
        </w:rPr>
      </w:pPr>
    </w:p>
    <w:p w14:paraId="151722DB" w14:textId="77777777" w:rsidR="00EB5CB9" w:rsidRDefault="00EB5CB9">
      <w:pPr>
        <w:widowControl w:val="0"/>
        <w:rPr>
          <w:szCs w:val="22"/>
        </w:rPr>
      </w:pPr>
    </w:p>
    <w:p w14:paraId="43F28281" w14:textId="77777777" w:rsidR="00EB5CB9" w:rsidRDefault="00EB5CB9">
      <w:pPr>
        <w:widowControl w:val="0"/>
        <w:rPr>
          <w:szCs w:val="22"/>
        </w:rPr>
      </w:pPr>
    </w:p>
    <w:p w14:paraId="66F9732D" w14:textId="77777777" w:rsidR="00EB5CB9" w:rsidRDefault="00EB5CB9">
      <w:pPr>
        <w:widowControl w:val="0"/>
        <w:rPr>
          <w:szCs w:val="22"/>
        </w:rPr>
      </w:pPr>
    </w:p>
    <w:p w14:paraId="33D9A1D6" w14:textId="77777777" w:rsidR="00EB5CB9" w:rsidRPr="00B86130" w:rsidRDefault="00EB5CB9">
      <w:pPr>
        <w:widowControl w:val="0"/>
        <w:rPr>
          <w:szCs w:val="22"/>
        </w:rPr>
      </w:pPr>
    </w:p>
    <w:p w14:paraId="32342FEF" w14:textId="77777777" w:rsidR="00717A16" w:rsidRPr="00B86130" w:rsidRDefault="00717A16">
      <w:pPr>
        <w:widowControl w:val="0"/>
        <w:rPr>
          <w:szCs w:val="22"/>
        </w:rPr>
      </w:pPr>
    </w:p>
    <w:p w14:paraId="171F9FFF" w14:textId="77777777" w:rsidR="00717A16" w:rsidRPr="00B86130" w:rsidRDefault="00717A16">
      <w:pPr>
        <w:widowControl w:val="0"/>
        <w:rPr>
          <w:szCs w:val="22"/>
        </w:rPr>
      </w:pPr>
    </w:p>
    <w:p w14:paraId="3349A7A5" w14:textId="77777777" w:rsidR="00717A16" w:rsidRPr="00B86130" w:rsidRDefault="00717A16">
      <w:pPr>
        <w:widowControl w:val="0"/>
        <w:rPr>
          <w:szCs w:val="22"/>
        </w:rPr>
      </w:pPr>
    </w:p>
    <w:p w14:paraId="2BB12CA6" w14:textId="77777777" w:rsidR="00717A16" w:rsidRPr="00B86130" w:rsidRDefault="00717A16">
      <w:pPr>
        <w:widowControl w:val="0"/>
        <w:rPr>
          <w:szCs w:val="22"/>
        </w:rPr>
      </w:pPr>
    </w:p>
    <w:p w14:paraId="470AAFA0" w14:textId="77777777" w:rsidR="00717A16" w:rsidRPr="00B86130" w:rsidRDefault="00717A16">
      <w:pPr>
        <w:widowControl w:val="0"/>
        <w:rPr>
          <w:szCs w:val="22"/>
        </w:rPr>
      </w:pPr>
    </w:p>
    <w:p w14:paraId="0000665E" w14:textId="77777777" w:rsidR="00717A16" w:rsidRPr="00B86130" w:rsidRDefault="00717A16">
      <w:pPr>
        <w:widowControl w:val="0"/>
        <w:rPr>
          <w:szCs w:val="22"/>
        </w:rPr>
      </w:pPr>
    </w:p>
    <w:p w14:paraId="2A63E470" w14:textId="77777777" w:rsidR="00717A16" w:rsidRPr="00B86130" w:rsidRDefault="00717A16">
      <w:pPr>
        <w:widowControl w:val="0"/>
        <w:rPr>
          <w:szCs w:val="22"/>
        </w:rPr>
      </w:pPr>
    </w:p>
    <w:p w14:paraId="553F70AF" w14:textId="77777777" w:rsidR="00717A16" w:rsidRPr="00B86130" w:rsidRDefault="00717A16">
      <w:pPr>
        <w:widowControl w:val="0"/>
        <w:rPr>
          <w:szCs w:val="22"/>
        </w:rPr>
      </w:pPr>
    </w:p>
    <w:p w14:paraId="7DD2C296" w14:textId="6FC7D978" w:rsidR="00717A16" w:rsidRPr="00B86130" w:rsidRDefault="00717A16">
      <w:pPr>
        <w:widowControl w:val="0"/>
        <w:rPr>
          <w:szCs w:val="22"/>
        </w:rPr>
      </w:pPr>
    </w:p>
    <w:p w14:paraId="60EEB512" w14:textId="77777777" w:rsidR="00431420" w:rsidRPr="00B86130" w:rsidRDefault="00431420">
      <w:pPr>
        <w:widowControl w:val="0"/>
        <w:rPr>
          <w:szCs w:val="22"/>
        </w:rPr>
      </w:pPr>
    </w:p>
    <w:p w14:paraId="197FEC9B" w14:textId="77777777" w:rsidR="00717A16" w:rsidRPr="00B86130" w:rsidRDefault="00717A16">
      <w:pPr>
        <w:widowControl w:val="0"/>
        <w:jc w:val="center"/>
        <w:rPr>
          <w:b/>
          <w:szCs w:val="22"/>
        </w:rPr>
      </w:pPr>
    </w:p>
    <w:p w14:paraId="5BA4B060" w14:textId="77777777" w:rsidR="00717A16" w:rsidRPr="00B86130" w:rsidRDefault="00157A56">
      <w:pPr>
        <w:widowControl w:val="0"/>
        <w:jc w:val="center"/>
        <w:rPr>
          <w:b/>
          <w:szCs w:val="22"/>
        </w:rPr>
      </w:pPr>
      <w:r w:rsidRPr="00B86130">
        <w:rPr>
          <w:b/>
          <w:szCs w:val="22"/>
        </w:rPr>
        <w:t>ALLEGATO II</w:t>
      </w:r>
    </w:p>
    <w:p w14:paraId="580F4A4F" w14:textId="77777777" w:rsidR="00717A16" w:rsidRPr="00B86130" w:rsidRDefault="00717A16">
      <w:pPr>
        <w:widowControl w:val="0"/>
        <w:rPr>
          <w:szCs w:val="22"/>
        </w:rPr>
      </w:pPr>
    </w:p>
    <w:p w14:paraId="5DA2A711" w14:textId="77777777" w:rsidR="00717A16" w:rsidRPr="00B86130" w:rsidRDefault="00157A56">
      <w:pPr>
        <w:widowControl w:val="0"/>
        <w:ind w:left="1701" w:right="1416" w:hanging="708"/>
        <w:rPr>
          <w:b/>
          <w:szCs w:val="22"/>
        </w:rPr>
      </w:pPr>
      <w:r w:rsidRPr="00B86130">
        <w:rPr>
          <w:b/>
          <w:szCs w:val="22"/>
        </w:rPr>
        <w:t>A.</w:t>
      </w:r>
      <w:r w:rsidRPr="00B86130">
        <w:rPr>
          <w:b/>
          <w:szCs w:val="22"/>
        </w:rPr>
        <w:tab/>
        <w:t>PRODUTTORE(I) RESPONSABILE(I) DEL RILASCIO DEI LOTTI</w:t>
      </w:r>
    </w:p>
    <w:p w14:paraId="43F0265F" w14:textId="77777777" w:rsidR="00717A16" w:rsidRPr="00B86130" w:rsidRDefault="00717A16">
      <w:pPr>
        <w:widowControl w:val="0"/>
        <w:rPr>
          <w:szCs w:val="22"/>
        </w:rPr>
      </w:pPr>
    </w:p>
    <w:p w14:paraId="6EFCD344" w14:textId="77777777" w:rsidR="00717A16" w:rsidRPr="00B86130" w:rsidRDefault="00157A56">
      <w:pPr>
        <w:widowControl w:val="0"/>
        <w:ind w:left="1701" w:right="1416" w:hanging="708"/>
        <w:rPr>
          <w:b/>
          <w:szCs w:val="22"/>
        </w:rPr>
      </w:pPr>
      <w:r w:rsidRPr="00B86130">
        <w:rPr>
          <w:b/>
          <w:szCs w:val="22"/>
        </w:rPr>
        <w:t>B.</w:t>
      </w:r>
      <w:r w:rsidRPr="00B86130">
        <w:rPr>
          <w:b/>
          <w:szCs w:val="22"/>
        </w:rPr>
        <w:tab/>
        <w:t>CONDIZIONI O LIMITAZIONI DI FORNITURA E UTILIZZO</w:t>
      </w:r>
    </w:p>
    <w:p w14:paraId="7441BFDA" w14:textId="77777777" w:rsidR="00717A16" w:rsidRPr="00B86130" w:rsidRDefault="00717A16">
      <w:pPr>
        <w:widowControl w:val="0"/>
        <w:rPr>
          <w:szCs w:val="22"/>
        </w:rPr>
      </w:pPr>
    </w:p>
    <w:p w14:paraId="1969FA9F" w14:textId="77777777" w:rsidR="00717A16" w:rsidRPr="00B86130" w:rsidRDefault="00157A56">
      <w:pPr>
        <w:widowControl w:val="0"/>
        <w:ind w:left="1701" w:right="1416" w:hanging="708"/>
        <w:rPr>
          <w:b/>
          <w:szCs w:val="22"/>
        </w:rPr>
      </w:pPr>
      <w:r w:rsidRPr="00B86130">
        <w:rPr>
          <w:b/>
          <w:szCs w:val="22"/>
        </w:rPr>
        <w:t>C.</w:t>
      </w:r>
      <w:r w:rsidRPr="00B86130">
        <w:rPr>
          <w:b/>
          <w:szCs w:val="22"/>
        </w:rPr>
        <w:tab/>
        <w:t>ALTRE CONDIZIONI E REQUISITI DELL’AUTORIZZAZIONE ALL’IMMISSIONE IN COMMERCIO</w:t>
      </w:r>
    </w:p>
    <w:p w14:paraId="11C052F2" w14:textId="77777777" w:rsidR="00717A16" w:rsidRPr="00B86130" w:rsidRDefault="00717A16">
      <w:pPr>
        <w:widowControl w:val="0"/>
        <w:ind w:left="1701" w:right="1416" w:hanging="708"/>
        <w:rPr>
          <w:b/>
          <w:szCs w:val="22"/>
        </w:rPr>
      </w:pPr>
    </w:p>
    <w:p w14:paraId="1A3AD5B3" w14:textId="77777777" w:rsidR="00717A16" w:rsidRPr="00B86130" w:rsidRDefault="00157A56">
      <w:pPr>
        <w:tabs>
          <w:tab w:val="left" w:pos="-720"/>
        </w:tabs>
        <w:ind w:left="1701" w:right="567" w:hanging="693"/>
        <w:rPr>
          <w:b/>
        </w:rPr>
      </w:pPr>
      <w:r w:rsidRPr="00B86130">
        <w:rPr>
          <w:b/>
        </w:rPr>
        <w:t>D.</w:t>
      </w:r>
      <w:r w:rsidRPr="00B86130">
        <w:rPr>
          <w:b/>
        </w:rPr>
        <w:tab/>
        <w:t>CONDIZIONI O LIMITAZIONI PER QUANTO RIGUARDA L’USO SICURO ED EFFICACE DEL MEDICINALE</w:t>
      </w:r>
    </w:p>
    <w:p w14:paraId="5E24E7F3" w14:textId="77777777" w:rsidR="00717A16" w:rsidRPr="00B86130" w:rsidRDefault="00717A16">
      <w:pPr>
        <w:tabs>
          <w:tab w:val="left" w:pos="-720"/>
        </w:tabs>
        <w:ind w:left="1701" w:right="567" w:hanging="693"/>
        <w:rPr>
          <w:b/>
        </w:rPr>
      </w:pPr>
    </w:p>
    <w:p w14:paraId="48E350C2" w14:textId="77777777" w:rsidR="00717A16" w:rsidRPr="00B86130" w:rsidRDefault="00717A16">
      <w:pPr>
        <w:tabs>
          <w:tab w:val="left" w:pos="-720"/>
        </w:tabs>
        <w:ind w:left="1701" w:right="567" w:hanging="693"/>
        <w:rPr>
          <w:b/>
        </w:rPr>
      </w:pPr>
    </w:p>
    <w:p w14:paraId="539E0981" w14:textId="77777777" w:rsidR="00717A16" w:rsidRPr="00B86130" w:rsidRDefault="00157A56">
      <w:pPr>
        <w:widowControl w:val="0"/>
        <w:ind w:right="1416"/>
        <w:rPr>
          <w:b/>
          <w:szCs w:val="22"/>
        </w:rPr>
      </w:pPr>
      <w:r w:rsidRPr="00B86130">
        <w:rPr>
          <w:szCs w:val="22"/>
        </w:rPr>
        <w:br w:type="page"/>
      </w:r>
    </w:p>
    <w:p w14:paraId="70DF6A55" w14:textId="77777777" w:rsidR="00717A16" w:rsidRPr="00B86130" w:rsidRDefault="00157A56">
      <w:pPr>
        <w:pStyle w:val="TitleB"/>
      </w:pPr>
      <w:r w:rsidRPr="00B86130">
        <w:lastRenderedPageBreak/>
        <w:t>PRODUTTORE(I) RESPONSABILE(I) DEL RILASCIO DEI LOTTI</w:t>
      </w:r>
    </w:p>
    <w:p w14:paraId="45FF423A" w14:textId="77777777" w:rsidR="00717A16" w:rsidRPr="00B86130" w:rsidRDefault="00157A56">
      <w:pPr>
        <w:spacing w:line="260" w:lineRule="exact"/>
        <w:rPr>
          <w:szCs w:val="22"/>
          <w:lang w:eastAsia="en-US"/>
        </w:rPr>
      </w:pPr>
      <w:r w:rsidRPr="00B86130">
        <w:rPr>
          <w:szCs w:val="22"/>
          <w:u w:val="single"/>
          <w:lang w:eastAsia="en-US"/>
        </w:rPr>
        <w:t>Nome e indirizzo del produttore responsabile del rilascio dei lotti</w:t>
      </w:r>
    </w:p>
    <w:p w14:paraId="6C9C94F1" w14:textId="77777777" w:rsidR="00717A16" w:rsidRPr="00B86130" w:rsidRDefault="00717A16">
      <w:pPr>
        <w:widowControl w:val="0"/>
        <w:suppressAutoHyphens w:val="0"/>
        <w:autoSpaceDE w:val="0"/>
        <w:autoSpaceDN w:val="0"/>
        <w:adjustRightInd w:val="0"/>
        <w:rPr>
          <w:szCs w:val="22"/>
          <w:lang w:eastAsia="en-US"/>
        </w:rPr>
      </w:pPr>
    </w:p>
    <w:p w14:paraId="06D97341" w14:textId="77777777" w:rsidR="00D60AD6" w:rsidRPr="00A61F9B" w:rsidRDefault="00D60AD6" w:rsidP="00D60AD6">
      <w:pPr>
        <w:widowControl w:val="0"/>
        <w:autoSpaceDE w:val="0"/>
        <w:autoSpaceDN w:val="0"/>
        <w:adjustRightInd w:val="0"/>
        <w:contextualSpacing/>
        <w:rPr>
          <w:lang w:val="en-GB"/>
        </w:rPr>
      </w:pPr>
      <w:r w:rsidRPr="00A61F9B">
        <w:rPr>
          <w:lang w:val="en-GB"/>
        </w:rPr>
        <w:t xml:space="preserve">Accord Healthcare Polska Sp. </w:t>
      </w:r>
      <w:proofErr w:type="spellStart"/>
      <w:r w:rsidRPr="00A61F9B">
        <w:rPr>
          <w:lang w:val="en-GB"/>
        </w:rPr>
        <w:t>z.o.o</w:t>
      </w:r>
      <w:proofErr w:type="spellEnd"/>
      <w:r w:rsidRPr="00A61F9B">
        <w:rPr>
          <w:lang w:val="en-GB"/>
        </w:rPr>
        <w:t>.</w:t>
      </w:r>
    </w:p>
    <w:p w14:paraId="5F273371" w14:textId="77777777" w:rsidR="00D60AD6" w:rsidRPr="00A61F9B" w:rsidRDefault="00D60AD6" w:rsidP="00D60AD6">
      <w:pPr>
        <w:widowControl w:val="0"/>
        <w:autoSpaceDE w:val="0"/>
        <w:autoSpaceDN w:val="0"/>
        <w:adjustRightInd w:val="0"/>
        <w:contextualSpacing/>
        <w:rPr>
          <w:lang w:val="en-GB"/>
        </w:rPr>
      </w:pPr>
      <w:proofErr w:type="spellStart"/>
      <w:proofErr w:type="gramStart"/>
      <w:r w:rsidRPr="00A61F9B">
        <w:rPr>
          <w:lang w:val="en-GB"/>
        </w:rPr>
        <w:t>ul.Lutomierska</w:t>
      </w:r>
      <w:proofErr w:type="spellEnd"/>
      <w:proofErr w:type="gramEnd"/>
      <w:r w:rsidRPr="00A61F9B">
        <w:rPr>
          <w:lang w:val="en-GB"/>
        </w:rPr>
        <w:t xml:space="preserve"> 50,</w:t>
      </w:r>
    </w:p>
    <w:p w14:paraId="7DED640B" w14:textId="10887927" w:rsidR="00D60AD6" w:rsidRPr="00A61F9B" w:rsidRDefault="00D60AD6" w:rsidP="00D60AD6">
      <w:pPr>
        <w:widowControl w:val="0"/>
        <w:autoSpaceDE w:val="0"/>
        <w:autoSpaceDN w:val="0"/>
        <w:adjustRightInd w:val="0"/>
        <w:contextualSpacing/>
        <w:rPr>
          <w:lang w:val="en-GB"/>
        </w:rPr>
      </w:pPr>
      <w:r w:rsidRPr="00A61F9B">
        <w:rPr>
          <w:lang w:val="en-GB"/>
        </w:rPr>
        <w:t xml:space="preserve">95-200, </w:t>
      </w:r>
      <w:proofErr w:type="spellStart"/>
      <w:r w:rsidRPr="00A61F9B">
        <w:rPr>
          <w:lang w:val="en-GB"/>
        </w:rPr>
        <w:t>Pabianice</w:t>
      </w:r>
      <w:proofErr w:type="spellEnd"/>
      <w:r w:rsidRPr="00A61F9B">
        <w:rPr>
          <w:lang w:val="en-GB"/>
        </w:rPr>
        <w:t>, Polonia</w:t>
      </w:r>
    </w:p>
    <w:p w14:paraId="1723ECB7" w14:textId="77777777" w:rsidR="00D60AD6" w:rsidRPr="00A61F9B" w:rsidRDefault="00D60AD6" w:rsidP="00D60AD6">
      <w:pPr>
        <w:widowControl w:val="0"/>
        <w:autoSpaceDE w:val="0"/>
        <w:autoSpaceDN w:val="0"/>
        <w:adjustRightInd w:val="0"/>
        <w:contextualSpacing/>
        <w:rPr>
          <w:lang w:val="en-GB"/>
        </w:rPr>
      </w:pPr>
    </w:p>
    <w:p w14:paraId="583CDF8D" w14:textId="77777777" w:rsidR="00D60AD6" w:rsidRPr="00A61F9B" w:rsidRDefault="00D60AD6" w:rsidP="00D60AD6">
      <w:pPr>
        <w:widowControl w:val="0"/>
        <w:autoSpaceDE w:val="0"/>
        <w:autoSpaceDN w:val="0"/>
        <w:adjustRightInd w:val="0"/>
        <w:contextualSpacing/>
        <w:rPr>
          <w:lang w:val="en-GB"/>
        </w:rPr>
      </w:pPr>
      <w:proofErr w:type="spellStart"/>
      <w:r w:rsidRPr="00A61F9B">
        <w:rPr>
          <w:lang w:val="en-GB"/>
        </w:rPr>
        <w:t>Pharmadox</w:t>
      </w:r>
      <w:proofErr w:type="spellEnd"/>
      <w:r w:rsidRPr="00A61F9B">
        <w:rPr>
          <w:lang w:val="en-GB"/>
        </w:rPr>
        <w:t xml:space="preserve"> Healthcare Limited</w:t>
      </w:r>
    </w:p>
    <w:p w14:paraId="32591178" w14:textId="77777777" w:rsidR="00D60AD6" w:rsidRPr="00A61F9B" w:rsidRDefault="00D60AD6" w:rsidP="00D60AD6">
      <w:pPr>
        <w:widowControl w:val="0"/>
        <w:autoSpaceDE w:val="0"/>
        <w:autoSpaceDN w:val="0"/>
        <w:adjustRightInd w:val="0"/>
        <w:contextualSpacing/>
        <w:rPr>
          <w:lang w:val="en-GB"/>
        </w:rPr>
      </w:pPr>
      <w:r w:rsidRPr="00A61F9B">
        <w:rPr>
          <w:lang w:val="en-GB"/>
        </w:rPr>
        <w:t>KW20A Kordin Industrial Park,</w:t>
      </w:r>
    </w:p>
    <w:p w14:paraId="1DFFFBFE" w14:textId="77777777" w:rsidR="00D60AD6" w:rsidRPr="00A61F9B" w:rsidRDefault="00D60AD6" w:rsidP="00D60AD6">
      <w:pPr>
        <w:widowControl w:val="0"/>
        <w:rPr>
          <w:lang w:val="en-GB"/>
        </w:rPr>
      </w:pPr>
      <w:r w:rsidRPr="00A61F9B">
        <w:rPr>
          <w:lang w:val="en-GB"/>
        </w:rPr>
        <w:t>Paola PLA 3000, Malta</w:t>
      </w:r>
    </w:p>
    <w:p w14:paraId="0072F91F" w14:textId="77777777" w:rsidR="00D60AD6" w:rsidRPr="00A61F9B" w:rsidRDefault="00D60AD6" w:rsidP="00D60AD6">
      <w:pPr>
        <w:widowControl w:val="0"/>
        <w:rPr>
          <w:lang w:val="en-GB"/>
        </w:rPr>
      </w:pPr>
    </w:p>
    <w:p w14:paraId="55CBD66E" w14:textId="77777777" w:rsidR="00D60AD6" w:rsidRPr="00A61F9B" w:rsidRDefault="00D60AD6" w:rsidP="00D60AD6">
      <w:pPr>
        <w:widowControl w:val="0"/>
        <w:rPr>
          <w:lang w:val="en-GB"/>
        </w:rPr>
      </w:pPr>
      <w:r w:rsidRPr="00A61F9B">
        <w:rPr>
          <w:lang w:val="en-GB"/>
        </w:rPr>
        <w:t>Accord Healthcare B.V.</w:t>
      </w:r>
    </w:p>
    <w:p w14:paraId="07EE0E56" w14:textId="77777777" w:rsidR="00D60AD6" w:rsidRPr="00A61F9B" w:rsidRDefault="00D60AD6" w:rsidP="00D60AD6">
      <w:pPr>
        <w:widowControl w:val="0"/>
        <w:rPr>
          <w:lang w:val="en-GB"/>
        </w:rPr>
      </w:pPr>
      <w:proofErr w:type="spellStart"/>
      <w:r w:rsidRPr="00A61F9B">
        <w:rPr>
          <w:lang w:val="en-GB"/>
        </w:rPr>
        <w:t>Winthontlaan</w:t>
      </w:r>
      <w:proofErr w:type="spellEnd"/>
      <w:r w:rsidRPr="00A61F9B">
        <w:rPr>
          <w:lang w:val="en-GB"/>
        </w:rPr>
        <w:t xml:space="preserve"> 200, </w:t>
      </w:r>
    </w:p>
    <w:p w14:paraId="47ABD4C2" w14:textId="7E0E8B03" w:rsidR="00D50C00" w:rsidRPr="00A61F9B" w:rsidRDefault="00D60AD6" w:rsidP="00B43793">
      <w:pPr>
        <w:keepNext/>
        <w:rPr>
          <w:lang w:val="en-GB"/>
        </w:rPr>
      </w:pPr>
      <w:r w:rsidRPr="00A61F9B">
        <w:rPr>
          <w:lang w:val="en-GB"/>
        </w:rPr>
        <w:t>3526 KV Utrecht</w:t>
      </w:r>
    </w:p>
    <w:p w14:paraId="260DF8B6" w14:textId="681FAEF3" w:rsidR="00D50C00" w:rsidRDefault="00D50C00" w:rsidP="00D50C00">
      <w:pPr>
        <w:tabs>
          <w:tab w:val="clear" w:pos="567"/>
        </w:tabs>
      </w:pPr>
      <w:r w:rsidRPr="00B86130">
        <w:t>Paesi bassi</w:t>
      </w:r>
    </w:p>
    <w:p w14:paraId="66D21B70" w14:textId="77777777" w:rsidR="00190C7E" w:rsidRDefault="00190C7E" w:rsidP="00D50C00">
      <w:pPr>
        <w:tabs>
          <w:tab w:val="clear" w:pos="567"/>
        </w:tabs>
      </w:pPr>
    </w:p>
    <w:p w14:paraId="7692F50F" w14:textId="77777777" w:rsidR="00190C7E" w:rsidRDefault="00190C7E" w:rsidP="00190C7E">
      <w:pPr>
        <w:widowControl w:val="0"/>
        <w:rPr>
          <w:ins w:id="15" w:author="Daniela Rocca" w:date="2025-08-04T16:48:00Z" w16du:dateUtc="2025-08-04T14:48:00Z"/>
        </w:rPr>
      </w:pPr>
      <w:ins w:id="16" w:author="Daniela Rocca" w:date="2025-08-04T16:48:00Z" w16du:dateUtc="2025-08-04T14:48:00Z">
        <w:r>
          <w:t>Accord Healthcare single member S.A.</w:t>
        </w:r>
      </w:ins>
    </w:p>
    <w:p w14:paraId="7ED0369C" w14:textId="77777777" w:rsidR="00190C7E" w:rsidRDefault="00190C7E" w:rsidP="00190C7E">
      <w:pPr>
        <w:widowControl w:val="0"/>
        <w:rPr>
          <w:ins w:id="17" w:author="Daniela Rocca" w:date="2025-08-04T16:48:00Z" w16du:dateUtc="2025-08-04T14:48:00Z"/>
        </w:rPr>
      </w:pPr>
      <w:ins w:id="18" w:author="Daniela Rocca" w:date="2025-08-04T16:48:00Z" w16du:dateUtc="2025-08-04T14:48:00Z">
        <w:r>
          <w:t xml:space="preserve">64th Km National Road Athens </w:t>
        </w:r>
      </w:ins>
    </w:p>
    <w:p w14:paraId="520F4854" w14:textId="77777777" w:rsidR="00190C7E" w:rsidRDefault="00190C7E" w:rsidP="00190C7E">
      <w:pPr>
        <w:tabs>
          <w:tab w:val="clear" w:pos="567"/>
        </w:tabs>
        <w:rPr>
          <w:ins w:id="19" w:author="Daniela Rocca" w:date="2025-08-04T16:48:00Z" w16du:dateUtc="2025-08-04T14:48:00Z"/>
        </w:rPr>
      </w:pPr>
      <w:ins w:id="20" w:author="Daniela Rocca" w:date="2025-08-04T16:48:00Z" w16du:dateUtc="2025-08-04T14:48:00Z">
        <w:r>
          <w:t xml:space="preserve">Lamia, Schimatari, 32009, </w:t>
        </w:r>
      </w:ins>
    </w:p>
    <w:p w14:paraId="5C46B224" w14:textId="21B3D23B" w:rsidR="00190C7E" w:rsidRPr="00B86130" w:rsidRDefault="00190C7E" w:rsidP="00190C7E">
      <w:pPr>
        <w:tabs>
          <w:tab w:val="clear" w:pos="567"/>
        </w:tabs>
      </w:pPr>
      <w:ins w:id="21" w:author="Daniela Rocca" w:date="2025-08-04T16:48:00Z" w16du:dateUtc="2025-08-04T14:48:00Z">
        <w:r>
          <w:t>Grecia</w:t>
        </w:r>
      </w:ins>
    </w:p>
    <w:p w14:paraId="22878DF9" w14:textId="77777777" w:rsidR="005B2AB9" w:rsidRPr="00B86130" w:rsidRDefault="005B2AB9" w:rsidP="00D50C00">
      <w:pPr>
        <w:tabs>
          <w:tab w:val="clear" w:pos="567"/>
        </w:tabs>
      </w:pPr>
    </w:p>
    <w:p w14:paraId="76E7E78A" w14:textId="69319583" w:rsidR="00717A16" w:rsidRPr="00B86130" w:rsidRDefault="00D60AD6">
      <w:pPr>
        <w:widowControl w:val="0"/>
        <w:suppressAutoHyphens w:val="0"/>
        <w:autoSpaceDE w:val="0"/>
        <w:autoSpaceDN w:val="0"/>
        <w:adjustRightInd w:val="0"/>
      </w:pPr>
      <w:r w:rsidRPr="00B86130">
        <w:t>Il foglio illustrativo del medicinale deve riportare il nome e l’indirizzo del produttore responsabile del rilascio dei lotti in questione.</w:t>
      </w:r>
    </w:p>
    <w:p w14:paraId="0EEB0528" w14:textId="7C5C7514" w:rsidR="00D60AD6" w:rsidRPr="00B86130" w:rsidRDefault="00D60AD6">
      <w:pPr>
        <w:widowControl w:val="0"/>
        <w:suppressAutoHyphens w:val="0"/>
        <w:autoSpaceDE w:val="0"/>
        <w:autoSpaceDN w:val="0"/>
        <w:adjustRightInd w:val="0"/>
        <w:rPr>
          <w:szCs w:val="22"/>
          <w:lang w:eastAsia="en-US"/>
        </w:rPr>
      </w:pPr>
    </w:p>
    <w:p w14:paraId="02048CE9" w14:textId="77777777" w:rsidR="00100121" w:rsidRPr="00B86130" w:rsidRDefault="00100121">
      <w:pPr>
        <w:widowControl w:val="0"/>
        <w:suppressAutoHyphens w:val="0"/>
        <w:autoSpaceDE w:val="0"/>
        <w:autoSpaceDN w:val="0"/>
        <w:adjustRightInd w:val="0"/>
        <w:rPr>
          <w:szCs w:val="22"/>
          <w:lang w:eastAsia="en-US"/>
        </w:rPr>
      </w:pPr>
    </w:p>
    <w:p w14:paraId="39AA98E3" w14:textId="77777777" w:rsidR="00717A16" w:rsidRPr="00B86130" w:rsidRDefault="00157A56">
      <w:pPr>
        <w:pStyle w:val="TitleB"/>
      </w:pPr>
      <w:r w:rsidRPr="00B86130">
        <w:t>CONDIZIONI O LIMITAZIONI DI FORNITURA E UTILIZZO</w:t>
      </w:r>
    </w:p>
    <w:p w14:paraId="60B80AC3" w14:textId="53F55758" w:rsidR="00717A16" w:rsidRPr="00B86130" w:rsidRDefault="00157A56">
      <w:pPr>
        <w:numPr>
          <w:ilvl w:val="12"/>
          <w:numId w:val="0"/>
        </w:numPr>
        <w:spacing w:line="260" w:lineRule="exact"/>
        <w:rPr>
          <w:szCs w:val="22"/>
          <w:lang w:eastAsia="en-US"/>
        </w:rPr>
      </w:pPr>
      <w:r w:rsidRPr="00B86130">
        <w:rPr>
          <w:szCs w:val="22"/>
          <w:lang w:eastAsia="en-US"/>
        </w:rPr>
        <w:t>Medicinale soggetto a prescrizione medica limitativa (vedere allegato I: riassunto delle caratteristiche del prodotto, paragrafo</w:t>
      </w:r>
      <w:r w:rsidR="002F72CD" w:rsidRPr="00B86130">
        <w:rPr>
          <w:szCs w:val="22"/>
          <w:lang w:eastAsia="en-US"/>
        </w:rPr>
        <w:t> </w:t>
      </w:r>
      <w:r w:rsidRPr="00B86130">
        <w:rPr>
          <w:szCs w:val="22"/>
          <w:lang w:eastAsia="en-US"/>
        </w:rPr>
        <w:t>4.2).</w:t>
      </w:r>
    </w:p>
    <w:p w14:paraId="0F81D3ED" w14:textId="77777777" w:rsidR="00717A16" w:rsidRPr="00B86130" w:rsidRDefault="00717A16">
      <w:pPr>
        <w:numPr>
          <w:ilvl w:val="12"/>
          <w:numId w:val="0"/>
        </w:numPr>
        <w:suppressLineNumbers/>
        <w:suppressAutoHyphens w:val="0"/>
        <w:rPr>
          <w:b/>
          <w:szCs w:val="22"/>
          <w:lang w:eastAsia="en-GB"/>
        </w:rPr>
      </w:pPr>
    </w:p>
    <w:p w14:paraId="02ABF2F5" w14:textId="77777777" w:rsidR="00717A16" w:rsidRPr="00B86130" w:rsidRDefault="00717A16">
      <w:pPr>
        <w:numPr>
          <w:ilvl w:val="12"/>
          <w:numId w:val="0"/>
        </w:numPr>
        <w:suppressLineNumbers/>
        <w:suppressAutoHyphens w:val="0"/>
        <w:rPr>
          <w:b/>
          <w:szCs w:val="22"/>
          <w:lang w:eastAsia="en-GB"/>
        </w:rPr>
      </w:pPr>
    </w:p>
    <w:p w14:paraId="19945BE6" w14:textId="77777777" w:rsidR="00717A16" w:rsidRPr="00B86130" w:rsidRDefault="00157A56">
      <w:pPr>
        <w:pStyle w:val="TitleB"/>
      </w:pPr>
      <w:r w:rsidRPr="00B86130">
        <w:t>ALTRE CONDIZIONI E REQUISITI DELL’AUTORIZZAZIONE ALL’IMMISSIONE IN COMMERCIO</w:t>
      </w:r>
    </w:p>
    <w:p w14:paraId="6B96578D" w14:textId="21D11EEA" w:rsidR="00717A16" w:rsidRPr="00B86130" w:rsidRDefault="00157A56">
      <w:pPr>
        <w:widowControl w:val="0"/>
        <w:numPr>
          <w:ilvl w:val="0"/>
          <w:numId w:val="9"/>
        </w:numPr>
        <w:tabs>
          <w:tab w:val="clear" w:pos="0"/>
          <w:tab w:val="clear" w:pos="567"/>
          <w:tab w:val="num" w:pos="468"/>
        </w:tabs>
        <w:suppressAutoHyphens w:val="0"/>
        <w:autoSpaceDE w:val="0"/>
        <w:autoSpaceDN w:val="0"/>
        <w:adjustRightInd w:val="0"/>
        <w:spacing w:after="200" w:line="276" w:lineRule="auto"/>
        <w:rPr>
          <w:b/>
          <w:szCs w:val="22"/>
          <w:lang w:eastAsia="en-US"/>
        </w:rPr>
      </w:pPr>
      <w:r w:rsidRPr="00B86130">
        <w:rPr>
          <w:b/>
          <w:szCs w:val="22"/>
          <w:lang w:eastAsia="en-US"/>
        </w:rPr>
        <w:t>Rapporti periodici di aggiornamento sulla sicurezza (PSUR)</w:t>
      </w:r>
    </w:p>
    <w:p w14:paraId="01A9BAA1" w14:textId="2149B27F" w:rsidR="00717A16" w:rsidRPr="00B86130" w:rsidRDefault="00157A56">
      <w:pPr>
        <w:suppressAutoHyphens w:val="0"/>
        <w:spacing w:line="260" w:lineRule="exact"/>
        <w:ind w:right="-1"/>
        <w:rPr>
          <w:szCs w:val="22"/>
          <w:lang w:eastAsia="en-US"/>
        </w:rPr>
      </w:pPr>
      <w:r w:rsidRPr="00B86130">
        <w:rPr>
          <w:szCs w:val="22"/>
          <w:lang w:eastAsia="en-US"/>
        </w:rPr>
        <w:t xml:space="preserve">I requisiti per la presentazione </w:t>
      </w:r>
      <w:r w:rsidR="00ED17CD" w:rsidRPr="00B86130">
        <w:rPr>
          <w:szCs w:val="22"/>
          <w:lang w:eastAsia="en-US"/>
        </w:rPr>
        <w:t>degli PSUR</w:t>
      </w:r>
      <w:r w:rsidRPr="00B86130">
        <w:rPr>
          <w:szCs w:val="22"/>
          <w:lang w:eastAsia="en-US"/>
        </w:rPr>
        <w:t xml:space="preserve"> per questo medicinale sono definiti nell’elenco delle date di riferimento per l’Unione europea (elenco EURD) di cui all’articolo</w:t>
      </w:r>
      <w:r w:rsidR="002F72CD" w:rsidRPr="00B86130">
        <w:rPr>
          <w:szCs w:val="22"/>
          <w:lang w:eastAsia="en-US"/>
        </w:rPr>
        <w:t> </w:t>
      </w:r>
      <w:r w:rsidRPr="00B86130">
        <w:rPr>
          <w:szCs w:val="22"/>
          <w:lang w:eastAsia="en-US"/>
        </w:rPr>
        <w:t xml:space="preserve">107 </w:t>
      </w:r>
      <w:r w:rsidRPr="00B86130">
        <w:rPr>
          <w:i/>
          <w:szCs w:val="22"/>
          <w:lang w:eastAsia="en-US"/>
        </w:rPr>
        <w:t>quater</w:t>
      </w:r>
      <w:r w:rsidRPr="00B86130">
        <w:rPr>
          <w:szCs w:val="22"/>
          <w:lang w:eastAsia="en-US"/>
        </w:rPr>
        <w:t>, paragrafo</w:t>
      </w:r>
      <w:r w:rsidR="002F72CD" w:rsidRPr="00B86130">
        <w:rPr>
          <w:szCs w:val="22"/>
          <w:lang w:eastAsia="en-US"/>
        </w:rPr>
        <w:t> </w:t>
      </w:r>
      <w:r w:rsidRPr="00B86130">
        <w:rPr>
          <w:szCs w:val="22"/>
          <w:lang w:eastAsia="en-US"/>
        </w:rPr>
        <w:t xml:space="preserve">7, della </w:t>
      </w:r>
      <w:r w:rsidR="00ED17CD" w:rsidRPr="00B86130">
        <w:rPr>
          <w:szCs w:val="22"/>
          <w:lang w:eastAsia="en-US"/>
        </w:rPr>
        <w:t>direttiva </w:t>
      </w:r>
      <w:r w:rsidRPr="00B86130">
        <w:rPr>
          <w:szCs w:val="22"/>
          <w:lang w:eastAsia="en-US"/>
        </w:rPr>
        <w:t xml:space="preserve">2001/83/CE e successive modifiche, pubblicato sul sito web </w:t>
      </w:r>
      <w:r w:rsidRPr="00B86130">
        <w:rPr>
          <w:szCs w:val="22"/>
          <w:lang w:eastAsia="en-US" w:bidi="it-IT"/>
        </w:rPr>
        <w:t xml:space="preserve">dell'Agenzia europea </w:t>
      </w:r>
      <w:r w:rsidR="00ED17CD" w:rsidRPr="00B86130">
        <w:rPr>
          <w:szCs w:val="22"/>
          <w:lang w:eastAsia="en-US" w:bidi="it-IT"/>
        </w:rPr>
        <w:t xml:space="preserve">per i </w:t>
      </w:r>
      <w:r w:rsidRPr="00B86130">
        <w:rPr>
          <w:szCs w:val="22"/>
          <w:lang w:eastAsia="en-US" w:bidi="it-IT"/>
        </w:rPr>
        <w:t>medicinali</w:t>
      </w:r>
      <w:r w:rsidRPr="00B86130">
        <w:rPr>
          <w:szCs w:val="22"/>
          <w:lang w:eastAsia="en-US"/>
        </w:rPr>
        <w:t>.</w:t>
      </w:r>
    </w:p>
    <w:p w14:paraId="67697672" w14:textId="77777777" w:rsidR="00717A16" w:rsidRPr="00B86130" w:rsidRDefault="00717A16">
      <w:pPr>
        <w:widowControl w:val="0"/>
        <w:suppressAutoHyphens w:val="0"/>
        <w:autoSpaceDE w:val="0"/>
        <w:autoSpaceDN w:val="0"/>
        <w:adjustRightInd w:val="0"/>
        <w:rPr>
          <w:szCs w:val="22"/>
          <w:lang w:eastAsia="en-US"/>
        </w:rPr>
      </w:pPr>
    </w:p>
    <w:p w14:paraId="53F1E9F3" w14:textId="77777777" w:rsidR="00717A16" w:rsidRPr="00B86130" w:rsidRDefault="00717A16">
      <w:pPr>
        <w:widowControl w:val="0"/>
        <w:suppressAutoHyphens w:val="0"/>
        <w:autoSpaceDE w:val="0"/>
        <w:autoSpaceDN w:val="0"/>
        <w:adjustRightInd w:val="0"/>
        <w:rPr>
          <w:szCs w:val="22"/>
          <w:lang w:eastAsia="en-US"/>
        </w:rPr>
      </w:pPr>
    </w:p>
    <w:p w14:paraId="02A90239" w14:textId="77777777" w:rsidR="00717A16" w:rsidRPr="00B86130" w:rsidRDefault="00157A56">
      <w:pPr>
        <w:pStyle w:val="TitleB"/>
      </w:pPr>
      <w:r w:rsidRPr="00B86130">
        <w:t>CONDIZIONI O LIMITAZIONI PER QUANTO RIGUARDA L’USO SICURO ED EFFICACE DEL MEDICINALE</w:t>
      </w:r>
    </w:p>
    <w:p w14:paraId="28C6EA3F" w14:textId="77777777" w:rsidR="00717A16" w:rsidRPr="00B86130" w:rsidRDefault="00157A56">
      <w:pPr>
        <w:widowControl w:val="0"/>
        <w:numPr>
          <w:ilvl w:val="0"/>
          <w:numId w:val="9"/>
        </w:numPr>
        <w:tabs>
          <w:tab w:val="clear" w:pos="0"/>
          <w:tab w:val="clear" w:pos="567"/>
          <w:tab w:val="num" w:pos="468"/>
        </w:tabs>
        <w:suppressAutoHyphens w:val="0"/>
        <w:autoSpaceDE w:val="0"/>
        <w:autoSpaceDN w:val="0"/>
        <w:adjustRightInd w:val="0"/>
        <w:spacing w:after="200" w:line="276" w:lineRule="auto"/>
        <w:rPr>
          <w:b/>
          <w:szCs w:val="22"/>
          <w:lang w:eastAsia="en-US"/>
        </w:rPr>
      </w:pPr>
      <w:r w:rsidRPr="00B86130">
        <w:rPr>
          <w:b/>
          <w:szCs w:val="22"/>
          <w:lang w:eastAsia="en-US"/>
        </w:rPr>
        <w:t>Piano di gestione del rischio (RMP)</w:t>
      </w:r>
    </w:p>
    <w:p w14:paraId="72154CCD" w14:textId="235166D0" w:rsidR="00717A16" w:rsidRPr="00B86130" w:rsidRDefault="00157A56">
      <w:pPr>
        <w:tabs>
          <w:tab w:val="clear" w:pos="567"/>
        </w:tabs>
        <w:suppressAutoHyphens w:val="0"/>
        <w:snapToGrid w:val="0"/>
        <w:rPr>
          <w:szCs w:val="22"/>
          <w:lang w:eastAsia="zh-CN"/>
        </w:rPr>
      </w:pPr>
      <w:r w:rsidRPr="00B86130">
        <w:rPr>
          <w:szCs w:val="22"/>
          <w:lang w:eastAsia="zh-CN"/>
        </w:rPr>
        <w:t xml:space="preserve">Il titolare dell’autorizzazione all'immissione in commercio </w:t>
      </w:r>
      <w:r w:rsidRPr="00B86130">
        <w:rPr>
          <w:szCs w:val="22"/>
          <w:lang w:eastAsia="it-IT"/>
        </w:rPr>
        <w:t xml:space="preserve">deve effettuare </w:t>
      </w:r>
      <w:r w:rsidRPr="00B86130">
        <w:rPr>
          <w:szCs w:val="22"/>
          <w:lang w:eastAsia="zh-CN"/>
        </w:rPr>
        <w:t>le attività e le azioni di farmacovigilanza richieste e dettagliate nel RMP approvato e presentato nel modulo</w:t>
      </w:r>
      <w:r w:rsidR="0086307D" w:rsidRPr="00B86130">
        <w:rPr>
          <w:szCs w:val="22"/>
          <w:lang w:eastAsia="zh-CN"/>
        </w:rPr>
        <w:t> </w:t>
      </w:r>
      <w:r w:rsidRPr="00B86130">
        <w:rPr>
          <w:szCs w:val="22"/>
          <w:lang w:eastAsia="zh-CN"/>
        </w:rPr>
        <w:t>1.8.2 dell’autorizzazione all'immissione in commercio e in ogni successivo aggiornamento approvato del RMP.</w:t>
      </w:r>
    </w:p>
    <w:p w14:paraId="3630441E" w14:textId="77777777" w:rsidR="00717A16" w:rsidRPr="00B86130" w:rsidRDefault="00717A16">
      <w:pPr>
        <w:suppressAutoHyphens w:val="0"/>
        <w:spacing w:line="260" w:lineRule="exact"/>
        <w:ind w:right="-1"/>
        <w:rPr>
          <w:i/>
          <w:szCs w:val="22"/>
          <w:u w:val="single"/>
          <w:lang w:eastAsia="en-US"/>
        </w:rPr>
      </w:pPr>
    </w:p>
    <w:p w14:paraId="74B1FF3F" w14:textId="77777777" w:rsidR="00717A16" w:rsidRPr="00B86130" w:rsidRDefault="00157A56">
      <w:pPr>
        <w:tabs>
          <w:tab w:val="clear" w:pos="567"/>
        </w:tabs>
        <w:suppressAutoHyphens w:val="0"/>
        <w:snapToGrid w:val="0"/>
        <w:rPr>
          <w:szCs w:val="22"/>
          <w:lang w:eastAsia="zh-CN"/>
        </w:rPr>
      </w:pPr>
      <w:r w:rsidRPr="00B86130">
        <w:rPr>
          <w:szCs w:val="22"/>
          <w:lang w:eastAsia="zh-CN"/>
        </w:rPr>
        <w:t>Il RMP aggiornato deve essere presentato:</w:t>
      </w:r>
    </w:p>
    <w:p w14:paraId="6B9A179C" w14:textId="04E207A4" w:rsidR="00717A16" w:rsidRPr="00B86130" w:rsidRDefault="00157A56">
      <w:pPr>
        <w:widowControl w:val="0"/>
        <w:numPr>
          <w:ilvl w:val="0"/>
          <w:numId w:val="11"/>
        </w:numPr>
        <w:tabs>
          <w:tab w:val="clear" w:pos="720"/>
        </w:tabs>
        <w:suppressAutoHyphens w:val="0"/>
        <w:autoSpaceDE w:val="0"/>
        <w:autoSpaceDN w:val="0"/>
        <w:adjustRightInd w:val="0"/>
        <w:ind w:left="0" w:firstLine="0"/>
        <w:rPr>
          <w:szCs w:val="22"/>
          <w:lang w:eastAsia="en-US"/>
        </w:rPr>
      </w:pPr>
      <w:r w:rsidRPr="00B86130">
        <w:rPr>
          <w:szCs w:val="22"/>
          <w:lang w:eastAsia="en-US"/>
        </w:rPr>
        <w:t xml:space="preserve">su richiesta dell’Agenzia europea </w:t>
      </w:r>
      <w:r w:rsidR="00ED17CD" w:rsidRPr="00B86130">
        <w:rPr>
          <w:szCs w:val="22"/>
          <w:lang w:eastAsia="en-US"/>
        </w:rPr>
        <w:t xml:space="preserve">per i </w:t>
      </w:r>
      <w:r w:rsidRPr="00B86130">
        <w:rPr>
          <w:szCs w:val="22"/>
          <w:lang w:eastAsia="en-US"/>
        </w:rPr>
        <w:t>medicinali;</w:t>
      </w:r>
    </w:p>
    <w:p w14:paraId="1188A21A" w14:textId="77777777" w:rsidR="00717A16" w:rsidRPr="00B86130" w:rsidRDefault="00157A56">
      <w:pPr>
        <w:widowControl w:val="0"/>
        <w:numPr>
          <w:ilvl w:val="0"/>
          <w:numId w:val="11"/>
        </w:numPr>
        <w:tabs>
          <w:tab w:val="clear" w:pos="720"/>
          <w:tab w:val="num" w:pos="567"/>
        </w:tabs>
        <w:suppressAutoHyphens w:val="0"/>
        <w:autoSpaceDE w:val="0"/>
        <w:autoSpaceDN w:val="0"/>
        <w:adjustRightInd w:val="0"/>
        <w:ind w:left="567" w:hanging="567"/>
        <w:rPr>
          <w:szCs w:val="22"/>
          <w:lang w:eastAsia="en-US"/>
        </w:rPr>
      </w:pPr>
      <w:r w:rsidRPr="00B86130">
        <w:rPr>
          <w:szCs w:val="22"/>
          <w:lang w:eastAsia="en-US"/>
        </w:rPr>
        <w:t xml:space="preserve">ogni volta che il sistema di gestione del rischio è modificato, in particolare a seguito del </w:t>
      </w:r>
      <w:r w:rsidRPr="00B86130">
        <w:rPr>
          <w:szCs w:val="22"/>
          <w:lang w:eastAsia="en-US"/>
        </w:rPr>
        <w:lastRenderedPageBreak/>
        <w:t>ricevimento di nuove informazioni che possono portare a un cambiamento significativo del profilo beneficio/rischio o a seguito del raggiungimento di un importante obiettivo (di farmacovigilanza o di minimizzazione del rischio).</w:t>
      </w:r>
    </w:p>
    <w:p w14:paraId="41BF7E9C" w14:textId="77777777" w:rsidR="00717A16" w:rsidRPr="00B86130" w:rsidRDefault="00717A16">
      <w:pPr>
        <w:suppressLineNumbers/>
        <w:suppressAutoHyphens w:val="0"/>
        <w:spacing w:line="260" w:lineRule="exact"/>
        <w:ind w:right="-1"/>
        <w:rPr>
          <w:szCs w:val="22"/>
          <w:lang w:eastAsia="en-US"/>
        </w:rPr>
      </w:pPr>
    </w:p>
    <w:p w14:paraId="6A69053B" w14:textId="77777777" w:rsidR="00717A16" w:rsidRPr="00B86130" w:rsidRDefault="00717A16">
      <w:pPr>
        <w:suppressLineNumbers/>
        <w:suppressAutoHyphens w:val="0"/>
        <w:spacing w:line="260" w:lineRule="exact"/>
        <w:ind w:right="-1"/>
        <w:rPr>
          <w:szCs w:val="22"/>
          <w:lang w:eastAsia="en-US"/>
        </w:rPr>
      </w:pPr>
    </w:p>
    <w:p w14:paraId="526152EF" w14:textId="0EF7FF09" w:rsidR="00717A16" w:rsidRPr="00B86130" w:rsidRDefault="00717A16">
      <w:pPr>
        <w:widowControl w:val="0"/>
        <w:rPr>
          <w:szCs w:val="22"/>
        </w:rPr>
      </w:pPr>
    </w:p>
    <w:p w14:paraId="7AB76EF7" w14:textId="77777777" w:rsidR="00717A16" w:rsidRPr="00B86130" w:rsidRDefault="00717A16">
      <w:pPr>
        <w:widowControl w:val="0"/>
        <w:rPr>
          <w:szCs w:val="22"/>
        </w:rPr>
      </w:pPr>
    </w:p>
    <w:p w14:paraId="6A28F942" w14:textId="77777777" w:rsidR="00717A16" w:rsidRPr="00B86130" w:rsidRDefault="00717A16">
      <w:pPr>
        <w:widowControl w:val="0"/>
        <w:rPr>
          <w:szCs w:val="22"/>
        </w:rPr>
      </w:pPr>
    </w:p>
    <w:p w14:paraId="40EF38CF" w14:textId="77777777" w:rsidR="00717A16" w:rsidRPr="00B86130" w:rsidRDefault="00717A16">
      <w:pPr>
        <w:widowControl w:val="0"/>
        <w:rPr>
          <w:szCs w:val="22"/>
        </w:rPr>
      </w:pPr>
    </w:p>
    <w:p w14:paraId="34634341" w14:textId="77777777" w:rsidR="00717A16" w:rsidRPr="00B86130" w:rsidRDefault="00717A16">
      <w:pPr>
        <w:widowControl w:val="0"/>
        <w:rPr>
          <w:szCs w:val="22"/>
        </w:rPr>
      </w:pPr>
    </w:p>
    <w:p w14:paraId="5F17D739" w14:textId="77777777" w:rsidR="00717A16" w:rsidRPr="00B86130" w:rsidRDefault="00717A16">
      <w:pPr>
        <w:widowControl w:val="0"/>
        <w:rPr>
          <w:szCs w:val="22"/>
        </w:rPr>
      </w:pPr>
    </w:p>
    <w:p w14:paraId="30A891E8" w14:textId="77777777" w:rsidR="00717A16" w:rsidRPr="00B86130" w:rsidRDefault="00717A16">
      <w:pPr>
        <w:widowControl w:val="0"/>
        <w:rPr>
          <w:szCs w:val="22"/>
        </w:rPr>
      </w:pPr>
    </w:p>
    <w:p w14:paraId="4DF22FD9" w14:textId="77777777" w:rsidR="00717A16" w:rsidRPr="00B86130" w:rsidRDefault="00717A16">
      <w:pPr>
        <w:widowControl w:val="0"/>
        <w:rPr>
          <w:szCs w:val="22"/>
        </w:rPr>
      </w:pPr>
    </w:p>
    <w:p w14:paraId="5F226502" w14:textId="77777777" w:rsidR="00717A16" w:rsidRPr="00B86130" w:rsidRDefault="00717A16">
      <w:pPr>
        <w:widowControl w:val="0"/>
        <w:rPr>
          <w:szCs w:val="22"/>
        </w:rPr>
      </w:pPr>
    </w:p>
    <w:p w14:paraId="4589DB03" w14:textId="77777777" w:rsidR="00717A16" w:rsidRPr="00B86130" w:rsidRDefault="00717A16">
      <w:pPr>
        <w:widowControl w:val="0"/>
        <w:rPr>
          <w:szCs w:val="22"/>
        </w:rPr>
      </w:pPr>
    </w:p>
    <w:p w14:paraId="54A3E166" w14:textId="77777777" w:rsidR="00717A16" w:rsidRPr="00B86130" w:rsidRDefault="00717A16">
      <w:pPr>
        <w:widowControl w:val="0"/>
        <w:rPr>
          <w:szCs w:val="22"/>
        </w:rPr>
      </w:pPr>
    </w:p>
    <w:p w14:paraId="2E0AE1B2" w14:textId="77777777" w:rsidR="00717A16" w:rsidRPr="00B86130" w:rsidRDefault="00717A16">
      <w:pPr>
        <w:widowControl w:val="0"/>
        <w:rPr>
          <w:szCs w:val="22"/>
        </w:rPr>
      </w:pPr>
    </w:p>
    <w:p w14:paraId="728122C2" w14:textId="77777777" w:rsidR="00717A16" w:rsidRPr="00B86130" w:rsidRDefault="00717A16">
      <w:pPr>
        <w:widowControl w:val="0"/>
        <w:rPr>
          <w:szCs w:val="22"/>
        </w:rPr>
      </w:pPr>
    </w:p>
    <w:p w14:paraId="5F1F560D" w14:textId="77777777" w:rsidR="00717A16" w:rsidRPr="00B86130" w:rsidRDefault="00717A16">
      <w:pPr>
        <w:widowControl w:val="0"/>
        <w:rPr>
          <w:szCs w:val="22"/>
        </w:rPr>
      </w:pPr>
    </w:p>
    <w:p w14:paraId="50350803" w14:textId="77777777" w:rsidR="00717A16" w:rsidRPr="00B86130" w:rsidRDefault="00717A16">
      <w:pPr>
        <w:widowControl w:val="0"/>
        <w:rPr>
          <w:szCs w:val="22"/>
        </w:rPr>
      </w:pPr>
    </w:p>
    <w:p w14:paraId="1D814C62" w14:textId="77777777" w:rsidR="00717A16" w:rsidRPr="00B86130" w:rsidRDefault="00717A16">
      <w:pPr>
        <w:widowControl w:val="0"/>
        <w:rPr>
          <w:szCs w:val="22"/>
        </w:rPr>
      </w:pPr>
    </w:p>
    <w:p w14:paraId="045C17A8" w14:textId="77777777" w:rsidR="00717A16" w:rsidRPr="00B86130" w:rsidRDefault="00717A16">
      <w:pPr>
        <w:widowControl w:val="0"/>
        <w:rPr>
          <w:szCs w:val="22"/>
        </w:rPr>
      </w:pPr>
    </w:p>
    <w:p w14:paraId="2B8543B7" w14:textId="77777777" w:rsidR="00717A16" w:rsidRPr="00B86130" w:rsidRDefault="00717A16">
      <w:pPr>
        <w:widowControl w:val="0"/>
        <w:rPr>
          <w:b/>
          <w:szCs w:val="22"/>
        </w:rPr>
      </w:pPr>
    </w:p>
    <w:p w14:paraId="32839980" w14:textId="77777777" w:rsidR="00717A16" w:rsidRPr="00B86130" w:rsidRDefault="00717A16">
      <w:pPr>
        <w:widowControl w:val="0"/>
        <w:rPr>
          <w:b/>
          <w:szCs w:val="22"/>
        </w:rPr>
      </w:pPr>
    </w:p>
    <w:p w14:paraId="7DA48B0E" w14:textId="77777777" w:rsidR="00717A16" w:rsidRPr="00B86130" w:rsidRDefault="00717A16">
      <w:pPr>
        <w:widowControl w:val="0"/>
        <w:rPr>
          <w:b/>
          <w:szCs w:val="22"/>
        </w:rPr>
      </w:pPr>
    </w:p>
    <w:p w14:paraId="2C7783D6" w14:textId="77777777" w:rsidR="00717A16" w:rsidRPr="00B86130" w:rsidRDefault="00717A16">
      <w:pPr>
        <w:widowControl w:val="0"/>
        <w:rPr>
          <w:b/>
          <w:szCs w:val="22"/>
        </w:rPr>
      </w:pPr>
    </w:p>
    <w:p w14:paraId="00096404" w14:textId="79710F41" w:rsidR="00717A16" w:rsidRPr="00B86130" w:rsidRDefault="00717A16">
      <w:pPr>
        <w:widowControl w:val="0"/>
        <w:rPr>
          <w:b/>
          <w:szCs w:val="22"/>
        </w:rPr>
      </w:pPr>
    </w:p>
    <w:p w14:paraId="01633B3C" w14:textId="77777777" w:rsidR="00431420" w:rsidRPr="00B86130" w:rsidRDefault="00431420">
      <w:pPr>
        <w:widowControl w:val="0"/>
        <w:rPr>
          <w:b/>
          <w:szCs w:val="22"/>
        </w:rPr>
      </w:pPr>
    </w:p>
    <w:p w14:paraId="034E9492" w14:textId="77777777" w:rsidR="00717A16" w:rsidRPr="00B86130" w:rsidRDefault="00157A56">
      <w:pPr>
        <w:widowControl w:val="0"/>
        <w:jc w:val="center"/>
        <w:rPr>
          <w:b/>
          <w:szCs w:val="22"/>
        </w:rPr>
      </w:pPr>
      <w:r w:rsidRPr="00B86130">
        <w:rPr>
          <w:b/>
          <w:szCs w:val="22"/>
        </w:rPr>
        <w:t>ALLEGATO III</w:t>
      </w:r>
    </w:p>
    <w:p w14:paraId="78A65178" w14:textId="77777777" w:rsidR="00717A16" w:rsidRPr="00B86130" w:rsidRDefault="00717A16">
      <w:pPr>
        <w:widowControl w:val="0"/>
        <w:rPr>
          <w:szCs w:val="22"/>
        </w:rPr>
      </w:pPr>
    </w:p>
    <w:p w14:paraId="1F906B71" w14:textId="77777777" w:rsidR="00717A16" w:rsidRPr="00B86130" w:rsidRDefault="00157A56">
      <w:pPr>
        <w:widowControl w:val="0"/>
        <w:jc w:val="center"/>
        <w:rPr>
          <w:b/>
          <w:szCs w:val="22"/>
        </w:rPr>
      </w:pPr>
      <w:r w:rsidRPr="00B86130">
        <w:rPr>
          <w:b/>
          <w:szCs w:val="22"/>
        </w:rPr>
        <w:t>ETICHETTATURA E FOGLIO ILLUSTRATIVO</w:t>
      </w:r>
    </w:p>
    <w:p w14:paraId="02767F48" w14:textId="77777777" w:rsidR="00717A16" w:rsidRPr="00B86130" w:rsidRDefault="00717A16">
      <w:pPr>
        <w:widowControl w:val="0"/>
        <w:rPr>
          <w:szCs w:val="22"/>
        </w:rPr>
      </w:pPr>
    </w:p>
    <w:p w14:paraId="16FDAD99" w14:textId="77777777" w:rsidR="00717A16" w:rsidRPr="00B86130" w:rsidRDefault="00717A16">
      <w:pPr>
        <w:widowControl w:val="0"/>
        <w:rPr>
          <w:szCs w:val="22"/>
        </w:rPr>
      </w:pPr>
    </w:p>
    <w:p w14:paraId="1CF98228" w14:textId="77777777" w:rsidR="00717A16" w:rsidRPr="00B86130" w:rsidRDefault="00157A56">
      <w:pPr>
        <w:widowControl w:val="0"/>
        <w:rPr>
          <w:szCs w:val="22"/>
        </w:rPr>
      </w:pPr>
      <w:r w:rsidRPr="00B86130">
        <w:rPr>
          <w:szCs w:val="22"/>
        </w:rPr>
        <w:br w:type="page"/>
      </w:r>
    </w:p>
    <w:p w14:paraId="2B02EC29" w14:textId="77777777" w:rsidR="00717A16" w:rsidRPr="00B86130" w:rsidRDefault="00717A16">
      <w:pPr>
        <w:widowControl w:val="0"/>
        <w:rPr>
          <w:szCs w:val="22"/>
        </w:rPr>
      </w:pPr>
    </w:p>
    <w:p w14:paraId="2A2A9A24" w14:textId="77777777" w:rsidR="00717A16" w:rsidRPr="00B86130" w:rsidRDefault="00717A16">
      <w:pPr>
        <w:widowControl w:val="0"/>
        <w:rPr>
          <w:szCs w:val="22"/>
        </w:rPr>
      </w:pPr>
    </w:p>
    <w:p w14:paraId="3F68283A" w14:textId="77777777" w:rsidR="00717A16" w:rsidRPr="00B86130" w:rsidRDefault="00717A16">
      <w:pPr>
        <w:widowControl w:val="0"/>
        <w:rPr>
          <w:szCs w:val="22"/>
        </w:rPr>
      </w:pPr>
    </w:p>
    <w:p w14:paraId="19DC080C" w14:textId="77777777" w:rsidR="00717A16" w:rsidRPr="00B86130" w:rsidRDefault="00717A16">
      <w:pPr>
        <w:widowControl w:val="0"/>
        <w:rPr>
          <w:szCs w:val="22"/>
        </w:rPr>
      </w:pPr>
    </w:p>
    <w:p w14:paraId="292D7912" w14:textId="77777777" w:rsidR="00717A16" w:rsidRPr="00B86130" w:rsidRDefault="00717A16">
      <w:pPr>
        <w:widowControl w:val="0"/>
        <w:rPr>
          <w:szCs w:val="22"/>
        </w:rPr>
      </w:pPr>
    </w:p>
    <w:p w14:paraId="508A70AB" w14:textId="77777777" w:rsidR="00717A16" w:rsidRPr="00B86130" w:rsidRDefault="00717A16">
      <w:pPr>
        <w:widowControl w:val="0"/>
        <w:rPr>
          <w:szCs w:val="22"/>
        </w:rPr>
      </w:pPr>
    </w:p>
    <w:p w14:paraId="6A1134BF" w14:textId="77777777" w:rsidR="00717A16" w:rsidRPr="00B86130" w:rsidRDefault="00717A16">
      <w:pPr>
        <w:widowControl w:val="0"/>
        <w:rPr>
          <w:szCs w:val="22"/>
        </w:rPr>
      </w:pPr>
    </w:p>
    <w:p w14:paraId="3121816B" w14:textId="77777777" w:rsidR="00717A16" w:rsidRPr="00B86130" w:rsidRDefault="00717A16">
      <w:pPr>
        <w:widowControl w:val="0"/>
        <w:rPr>
          <w:szCs w:val="22"/>
        </w:rPr>
      </w:pPr>
    </w:p>
    <w:p w14:paraId="6D6EAD46" w14:textId="77777777" w:rsidR="00717A16" w:rsidRPr="00B86130" w:rsidRDefault="00717A16">
      <w:pPr>
        <w:widowControl w:val="0"/>
        <w:rPr>
          <w:szCs w:val="22"/>
        </w:rPr>
      </w:pPr>
    </w:p>
    <w:p w14:paraId="49FA5A9A" w14:textId="77777777" w:rsidR="00717A16" w:rsidRPr="00B86130" w:rsidRDefault="00717A16">
      <w:pPr>
        <w:widowControl w:val="0"/>
        <w:rPr>
          <w:szCs w:val="22"/>
        </w:rPr>
      </w:pPr>
    </w:p>
    <w:p w14:paraId="2472AFAC" w14:textId="77777777" w:rsidR="00717A16" w:rsidRPr="00B86130" w:rsidRDefault="00717A16">
      <w:pPr>
        <w:widowControl w:val="0"/>
        <w:rPr>
          <w:szCs w:val="22"/>
        </w:rPr>
      </w:pPr>
    </w:p>
    <w:p w14:paraId="5ECA1846" w14:textId="77777777" w:rsidR="00717A16" w:rsidRPr="00B86130" w:rsidRDefault="00717A16">
      <w:pPr>
        <w:widowControl w:val="0"/>
        <w:rPr>
          <w:szCs w:val="22"/>
        </w:rPr>
      </w:pPr>
    </w:p>
    <w:p w14:paraId="0A121784" w14:textId="77777777" w:rsidR="00717A16" w:rsidRPr="00B86130" w:rsidRDefault="00717A16">
      <w:pPr>
        <w:widowControl w:val="0"/>
        <w:rPr>
          <w:szCs w:val="22"/>
        </w:rPr>
      </w:pPr>
    </w:p>
    <w:p w14:paraId="731CCD82" w14:textId="7F78CC02" w:rsidR="00717A16" w:rsidRPr="00B86130" w:rsidRDefault="00717A16">
      <w:pPr>
        <w:widowControl w:val="0"/>
        <w:rPr>
          <w:szCs w:val="22"/>
        </w:rPr>
      </w:pPr>
    </w:p>
    <w:p w14:paraId="58376D20" w14:textId="77777777" w:rsidR="00431420" w:rsidRPr="00B86130" w:rsidRDefault="00431420">
      <w:pPr>
        <w:widowControl w:val="0"/>
        <w:rPr>
          <w:szCs w:val="22"/>
        </w:rPr>
      </w:pPr>
    </w:p>
    <w:p w14:paraId="3304FB06" w14:textId="77777777" w:rsidR="00717A16" w:rsidRPr="00B86130" w:rsidRDefault="00717A16">
      <w:pPr>
        <w:widowControl w:val="0"/>
        <w:rPr>
          <w:szCs w:val="22"/>
        </w:rPr>
      </w:pPr>
    </w:p>
    <w:p w14:paraId="611EE653" w14:textId="77777777" w:rsidR="00717A16" w:rsidRPr="00B86130" w:rsidRDefault="00717A16">
      <w:pPr>
        <w:widowControl w:val="0"/>
        <w:rPr>
          <w:szCs w:val="22"/>
        </w:rPr>
      </w:pPr>
    </w:p>
    <w:p w14:paraId="7976F37D" w14:textId="77777777" w:rsidR="00717A16" w:rsidRPr="00B86130" w:rsidRDefault="00717A16">
      <w:pPr>
        <w:widowControl w:val="0"/>
        <w:rPr>
          <w:szCs w:val="22"/>
        </w:rPr>
      </w:pPr>
    </w:p>
    <w:p w14:paraId="6367ED7B" w14:textId="77777777" w:rsidR="00717A16" w:rsidRPr="00B86130" w:rsidRDefault="00717A16">
      <w:pPr>
        <w:widowControl w:val="0"/>
        <w:rPr>
          <w:szCs w:val="22"/>
        </w:rPr>
      </w:pPr>
    </w:p>
    <w:p w14:paraId="250E7741" w14:textId="77777777" w:rsidR="00717A16" w:rsidRPr="00B86130" w:rsidRDefault="00717A16">
      <w:pPr>
        <w:widowControl w:val="0"/>
        <w:rPr>
          <w:szCs w:val="22"/>
        </w:rPr>
      </w:pPr>
    </w:p>
    <w:p w14:paraId="3701BDD9" w14:textId="77777777" w:rsidR="00717A16" w:rsidRPr="00B86130" w:rsidRDefault="00717A16">
      <w:pPr>
        <w:widowControl w:val="0"/>
        <w:rPr>
          <w:szCs w:val="22"/>
        </w:rPr>
      </w:pPr>
    </w:p>
    <w:p w14:paraId="58DD0160" w14:textId="77777777" w:rsidR="00717A16" w:rsidRPr="00B86130" w:rsidRDefault="00717A16">
      <w:pPr>
        <w:widowControl w:val="0"/>
        <w:rPr>
          <w:szCs w:val="22"/>
        </w:rPr>
      </w:pPr>
    </w:p>
    <w:p w14:paraId="318AAE05" w14:textId="77777777" w:rsidR="00717A16" w:rsidRPr="00B86130" w:rsidRDefault="00717A16">
      <w:pPr>
        <w:widowControl w:val="0"/>
        <w:rPr>
          <w:szCs w:val="22"/>
        </w:rPr>
      </w:pPr>
    </w:p>
    <w:p w14:paraId="3042D01B" w14:textId="77777777" w:rsidR="00717A16" w:rsidRPr="00B86130" w:rsidRDefault="00157A56">
      <w:pPr>
        <w:pStyle w:val="TitleA"/>
        <w:rPr>
          <w:lang w:val="it-IT"/>
        </w:rPr>
      </w:pPr>
      <w:r w:rsidRPr="00B86130">
        <w:rPr>
          <w:lang w:val="it-IT"/>
        </w:rPr>
        <w:t>A. ETICHETTATURA</w:t>
      </w:r>
    </w:p>
    <w:p w14:paraId="0E3670EE" w14:textId="77777777" w:rsidR="00717A16" w:rsidRPr="00B86130" w:rsidRDefault="00717A16">
      <w:pPr>
        <w:pStyle w:val="TitleA"/>
        <w:numPr>
          <w:ilvl w:val="0"/>
          <w:numId w:val="0"/>
        </w:numPr>
        <w:ind w:left="432" w:hanging="432"/>
        <w:jc w:val="left"/>
        <w:rPr>
          <w:lang w:val="it-IT"/>
        </w:rPr>
      </w:pPr>
    </w:p>
    <w:p w14:paraId="59971B1F" w14:textId="77777777" w:rsidR="00717A16" w:rsidRPr="00B86130" w:rsidRDefault="00717A16">
      <w:pPr>
        <w:pStyle w:val="TitleA"/>
        <w:numPr>
          <w:ilvl w:val="0"/>
          <w:numId w:val="0"/>
        </w:numPr>
        <w:ind w:left="432" w:hanging="432"/>
        <w:jc w:val="left"/>
        <w:rPr>
          <w:lang w:val="it-IT"/>
        </w:rPr>
      </w:pPr>
    </w:p>
    <w:p w14:paraId="14F86B1A" w14:textId="77777777" w:rsidR="00717A16" w:rsidRPr="00B86130" w:rsidRDefault="00157A56">
      <w:pPr>
        <w:pStyle w:val="TitleA"/>
        <w:numPr>
          <w:ilvl w:val="0"/>
          <w:numId w:val="0"/>
        </w:numPr>
        <w:ind w:left="432" w:hanging="432"/>
        <w:jc w:val="left"/>
        <w:rPr>
          <w:lang w:val="it-IT"/>
        </w:rPr>
      </w:pPr>
      <w:r w:rsidRPr="00B86130">
        <w:rPr>
          <w:lang w:val="it-IT"/>
        </w:rPr>
        <w:br w:type="page"/>
      </w:r>
    </w:p>
    <w:p w14:paraId="19317B12"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lastRenderedPageBreak/>
        <w:t>INFORMAZIONI DA APPORRE SUL CONFEZIONAMENTO SECONDARIO</w:t>
      </w:r>
    </w:p>
    <w:p w14:paraId="1A4B24FA" w14:textId="77777777" w:rsidR="00717A16" w:rsidRPr="00B86130" w:rsidRDefault="00717A16">
      <w:pPr>
        <w:widowControl w:val="0"/>
        <w:pBdr>
          <w:top w:val="single" w:sz="4" w:space="1" w:color="000000"/>
          <w:left w:val="single" w:sz="4" w:space="4" w:color="000000"/>
          <w:bottom w:val="single" w:sz="4" w:space="1" w:color="000000"/>
          <w:right w:val="single" w:sz="4" w:space="4" w:color="000000"/>
        </w:pBdr>
        <w:ind w:left="567" w:hanging="567"/>
        <w:rPr>
          <w:szCs w:val="22"/>
        </w:rPr>
      </w:pPr>
    </w:p>
    <w:p w14:paraId="4FD65094" w14:textId="6F52E2E9" w:rsidR="00717A16" w:rsidRPr="00B86130" w:rsidRDefault="00ED17CD">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 xml:space="preserve">SCATOLA </w:t>
      </w:r>
      <w:r w:rsidR="00157A56" w:rsidRPr="00B86130">
        <w:rPr>
          <w:b/>
          <w:szCs w:val="22"/>
        </w:rPr>
        <w:t>ESTERN</w:t>
      </w:r>
      <w:r w:rsidRPr="00B86130">
        <w:rPr>
          <w:b/>
          <w:szCs w:val="22"/>
        </w:rPr>
        <w:t>A</w:t>
      </w:r>
    </w:p>
    <w:p w14:paraId="6BDE1BB9" w14:textId="77777777" w:rsidR="00717A16" w:rsidRPr="00B86130" w:rsidRDefault="00717A16">
      <w:pPr>
        <w:widowControl w:val="0"/>
        <w:rPr>
          <w:szCs w:val="22"/>
        </w:rPr>
      </w:pPr>
    </w:p>
    <w:p w14:paraId="42DA7FDE" w14:textId="77777777" w:rsidR="00717A16" w:rsidRPr="00B86130" w:rsidRDefault="00717A16">
      <w:pPr>
        <w:widowControl w:val="0"/>
        <w:rPr>
          <w:szCs w:val="22"/>
        </w:rPr>
      </w:pPr>
    </w:p>
    <w:p w14:paraId="536844A2"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w:t>
      </w:r>
      <w:r w:rsidRPr="00B86130">
        <w:rPr>
          <w:b/>
          <w:szCs w:val="22"/>
        </w:rPr>
        <w:tab/>
        <w:t>DENOMINAZIONE DEL MEDICINALE</w:t>
      </w:r>
    </w:p>
    <w:p w14:paraId="621DE4A6" w14:textId="77777777" w:rsidR="00717A16" w:rsidRPr="00B86130" w:rsidRDefault="00717A16">
      <w:pPr>
        <w:widowControl w:val="0"/>
        <w:rPr>
          <w:szCs w:val="22"/>
        </w:rPr>
      </w:pPr>
    </w:p>
    <w:p w14:paraId="2FD9A06D" w14:textId="59D7E4C7" w:rsidR="00717A16" w:rsidRPr="00B86130" w:rsidRDefault="00C934D8">
      <w:pPr>
        <w:widowControl w:val="0"/>
        <w:rPr>
          <w:szCs w:val="22"/>
        </w:rPr>
      </w:pPr>
      <w:r w:rsidRPr="00B86130">
        <w:rPr>
          <w:szCs w:val="22"/>
        </w:rPr>
        <w:t>Dimetilfumarato</w:t>
      </w:r>
      <w:r w:rsidRPr="00B86130" w:rsidDel="00C934D8">
        <w:rPr>
          <w:szCs w:val="22"/>
        </w:rPr>
        <w:t xml:space="preserve"> </w:t>
      </w:r>
      <w:r w:rsidR="00F03990" w:rsidRPr="00B86130">
        <w:rPr>
          <w:szCs w:val="22"/>
        </w:rPr>
        <w:t>Accord</w:t>
      </w:r>
      <w:r w:rsidR="00157A56" w:rsidRPr="00B86130">
        <w:rPr>
          <w:szCs w:val="22"/>
        </w:rPr>
        <w:t xml:space="preserve"> 120</w:t>
      </w:r>
      <w:r w:rsidR="0086307D" w:rsidRPr="00B86130">
        <w:rPr>
          <w:szCs w:val="22"/>
        </w:rPr>
        <w:t> </w:t>
      </w:r>
      <w:r w:rsidR="00157A56" w:rsidRPr="00B86130">
        <w:rPr>
          <w:szCs w:val="22"/>
        </w:rPr>
        <w:t>mg capsule rigide gastroresistenti</w:t>
      </w:r>
    </w:p>
    <w:p w14:paraId="4AEC538F" w14:textId="731A0970" w:rsidR="00717A16" w:rsidRPr="00B86130" w:rsidRDefault="00157A56">
      <w:pPr>
        <w:widowControl w:val="0"/>
        <w:rPr>
          <w:szCs w:val="22"/>
        </w:rPr>
      </w:pPr>
      <w:r w:rsidRPr="00B86130">
        <w:rPr>
          <w:szCs w:val="22"/>
        </w:rPr>
        <w:t>dimetilfumarato</w:t>
      </w:r>
    </w:p>
    <w:p w14:paraId="674E663F" w14:textId="77777777" w:rsidR="00717A16" w:rsidRPr="00B86130" w:rsidRDefault="00717A16">
      <w:pPr>
        <w:widowControl w:val="0"/>
        <w:rPr>
          <w:szCs w:val="22"/>
        </w:rPr>
      </w:pPr>
    </w:p>
    <w:p w14:paraId="45B55BCC" w14:textId="77777777" w:rsidR="00717A16" w:rsidRPr="00B86130" w:rsidRDefault="00717A16">
      <w:pPr>
        <w:widowControl w:val="0"/>
        <w:rPr>
          <w:szCs w:val="22"/>
        </w:rPr>
      </w:pPr>
    </w:p>
    <w:p w14:paraId="598F83F0"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2.</w:t>
      </w:r>
      <w:r w:rsidRPr="00B86130">
        <w:rPr>
          <w:b/>
          <w:szCs w:val="22"/>
        </w:rPr>
        <w:tab/>
        <w:t>COMPOSIZIONE QUALITATIVA E QUANTITATIVA IN TERMINI DI PRINCIPIO(I) ATTIVO(I)</w:t>
      </w:r>
    </w:p>
    <w:p w14:paraId="71C57E6D" w14:textId="77777777" w:rsidR="00717A16" w:rsidRPr="00B86130" w:rsidRDefault="00717A16">
      <w:pPr>
        <w:widowControl w:val="0"/>
        <w:rPr>
          <w:szCs w:val="22"/>
        </w:rPr>
      </w:pPr>
    </w:p>
    <w:p w14:paraId="40901F8C" w14:textId="77777777" w:rsidR="00717A16" w:rsidRPr="00B86130" w:rsidRDefault="00157A56">
      <w:pPr>
        <w:widowControl w:val="0"/>
        <w:rPr>
          <w:szCs w:val="22"/>
        </w:rPr>
      </w:pPr>
      <w:r w:rsidRPr="00B86130">
        <w:rPr>
          <w:szCs w:val="22"/>
        </w:rPr>
        <w:t>Ogni capsula rigida gastroresistente contiene 120 mg di dimetilfumarato</w:t>
      </w:r>
    </w:p>
    <w:p w14:paraId="741712C0" w14:textId="77777777" w:rsidR="00717A16" w:rsidRPr="00B86130" w:rsidRDefault="00717A16">
      <w:pPr>
        <w:widowControl w:val="0"/>
        <w:rPr>
          <w:szCs w:val="22"/>
        </w:rPr>
      </w:pPr>
    </w:p>
    <w:p w14:paraId="3437483C" w14:textId="77777777" w:rsidR="00717A16" w:rsidRPr="00B86130" w:rsidRDefault="00717A16">
      <w:pPr>
        <w:widowControl w:val="0"/>
        <w:rPr>
          <w:szCs w:val="22"/>
        </w:rPr>
      </w:pPr>
    </w:p>
    <w:p w14:paraId="47DB02A2"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3.</w:t>
      </w:r>
      <w:r w:rsidRPr="00B86130">
        <w:rPr>
          <w:b/>
          <w:szCs w:val="22"/>
        </w:rPr>
        <w:tab/>
        <w:t>ELENCO DEGLI ECCIPIENTI</w:t>
      </w:r>
    </w:p>
    <w:p w14:paraId="3800DCB7" w14:textId="77777777" w:rsidR="00717A16" w:rsidRPr="00B86130" w:rsidRDefault="00717A16">
      <w:pPr>
        <w:widowControl w:val="0"/>
        <w:rPr>
          <w:szCs w:val="22"/>
        </w:rPr>
      </w:pPr>
    </w:p>
    <w:p w14:paraId="1420267C" w14:textId="77777777" w:rsidR="00717A16" w:rsidRPr="00B86130" w:rsidRDefault="00717A16">
      <w:pPr>
        <w:widowControl w:val="0"/>
        <w:rPr>
          <w:szCs w:val="22"/>
        </w:rPr>
      </w:pPr>
    </w:p>
    <w:p w14:paraId="307119E5"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4.</w:t>
      </w:r>
      <w:r w:rsidRPr="00B86130">
        <w:rPr>
          <w:b/>
          <w:szCs w:val="22"/>
        </w:rPr>
        <w:tab/>
        <w:t>FORMA FARMACEUTICA E CONTENUTO</w:t>
      </w:r>
    </w:p>
    <w:p w14:paraId="7DFB3E87" w14:textId="77777777" w:rsidR="00717A16" w:rsidRPr="00B86130" w:rsidRDefault="00717A16">
      <w:pPr>
        <w:widowControl w:val="0"/>
        <w:rPr>
          <w:szCs w:val="22"/>
        </w:rPr>
      </w:pPr>
    </w:p>
    <w:p w14:paraId="0D14DBB5" w14:textId="45421701" w:rsidR="00F03990" w:rsidRPr="00B86130" w:rsidRDefault="00F03990">
      <w:pPr>
        <w:widowControl w:val="0"/>
        <w:rPr>
          <w:szCs w:val="22"/>
        </w:rPr>
      </w:pPr>
      <w:r w:rsidRPr="00B86130">
        <w:rPr>
          <w:szCs w:val="22"/>
          <w:highlight w:val="lightGray"/>
        </w:rPr>
        <w:t>Capsula rigida gastroresistente</w:t>
      </w:r>
    </w:p>
    <w:p w14:paraId="743D5557" w14:textId="77777777" w:rsidR="00F03990" w:rsidRPr="00B86130" w:rsidRDefault="00F03990">
      <w:pPr>
        <w:widowControl w:val="0"/>
        <w:rPr>
          <w:szCs w:val="22"/>
        </w:rPr>
      </w:pPr>
    </w:p>
    <w:p w14:paraId="2A9AC72B" w14:textId="77777777" w:rsidR="00717A16" w:rsidRPr="00B86130" w:rsidRDefault="00157A56">
      <w:pPr>
        <w:widowControl w:val="0"/>
        <w:rPr>
          <w:szCs w:val="22"/>
        </w:rPr>
      </w:pPr>
      <w:r w:rsidRPr="00B86130">
        <w:rPr>
          <w:szCs w:val="22"/>
        </w:rPr>
        <w:t>14 capsule rigide gastroresistenti</w:t>
      </w:r>
    </w:p>
    <w:p w14:paraId="0ED7757F" w14:textId="5B34E24B" w:rsidR="00717A16" w:rsidRPr="00B86130" w:rsidRDefault="009A76FB">
      <w:pPr>
        <w:widowControl w:val="0"/>
        <w:rPr>
          <w:szCs w:val="22"/>
          <w:shd w:val="clear" w:color="auto" w:fill="C0C0C0"/>
        </w:rPr>
      </w:pPr>
      <w:r>
        <w:rPr>
          <w:szCs w:val="22"/>
          <w:shd w:val="clear" w:color="auto" w:fill="C0C0C0"/>
        </w:rPr>
        <w:t>14x1 capsule rigide gastroresistenti</w:t>
      </w:r>
    </w:p>
    <w:p w14:paraId="7AC33770" w14:textId="77777777" w:rsidR="00717A16" w:rsidRPr="00B86130" w:rsidRDefault="00717A16">
      <w:pPr>
        <w:widowControl w:val="0"/>
        <w:rPr>
          <w:szCs w:val="22"/>
        </w:rPr>
      </w:pPr>
    </w:p>
    <w:p w14:paraId="2E32CDA2"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5.</w:t>
      </w:r>
      <w:r w:rsidRPr="00B86130">
        <w:rPr>
          <w:b/>
          <w:szCs w:val="22"/>
        </w:rPr>
        <w:tab/>
        <w:t>MODO E VIA(E) DI SOMMINISTRAZIONE</w:t>
      </w:r>
    </w:p>
    <w:p w14:paraId="6E0782C3" w14:textId="77777777" w:rsidR="00717A16" w:rsidRPr="00B86130" w:rsidRDefault="00717A16">
      <w:pPr>
        <w:widowControl w:val="0"/>
        <w:rPr>
          <w:szCs w:val="22"/>
        </w:rPr>
      </w:pPr>
    </w:p>
    <w:p w14:paraId="2E7FE977" w14:textId="7C2C4D19" w:rsidR="009F7F4F" w:rsidRPr="00B86130" w:rsidRDefault="009F7F4F" w:rsidP="009F7F4F">
      <w:pPr>
        <w:widowControl w:val="0"/>
        <w:rPr>
          <w:szCs w:val="22"/>
        </w:rPr>
      </w:pPr>
      <w:r w:rsidRPr="00B86130">
        <w:rPr>
          <w:szCs w:val="22"/>
        </w:rPr>
        <w:t>Uso orale.</w:t>
      </w:r>
    </w:p>
    <w:p w14:paraId="2628534E" w14:textId="1C1D5A0C" w:rsidR="00717A16" w:rsidRPr="00B86130" w:rsidRDefault="00157A56">
      <w:pPr>
        <w:widowControl w:val="0"/>
        <w:rPr>
          <w:szCs w:val="22"/>
        </w:rPr>
      </w:pPr>
      <w:r w:rsidRPr="00B86130">
        <w:rPr>
          <w:szCs w:val="22"/>
        </w:rPr>
        <w:t>Leggere il foglio illustrativo prima dell’uso.</w:t>
      </w:r>
    </w:p>
    <w:p w14:paraId="3DBD904A" w14:textId="128D6141" w:rsidR="00717A16" w:rsidRPr="00B86130" w:rsidRDefault="009F7F4F">
      <w:pPr>
        <w:widowControl w:val="0"/>
        <w:rPr>
          <w:szCs w:val="22"/>
        </w:rPr>
      </w:pPr>
      <w:r w:rsidRPr="00B86130">
        <w:rPr>
          <w:szCs w:val="22"/>
        </w:rPr>
        <w:t>Ingoiare la capsula intera.</w:t>
      </w:r>
    </w:p>
    <w:p w14:paraId="2C554093" w14:textId="341E2B4F" w:rsidR="00717A16" w:rsidRPr="00B86130" w:rsidRDefault="00717A16">
      <w:pPr>
        <w:widowControl w:val="0"/>
        <w:rPr>
          <w:szCs w:val="22"/>
        </w:rPr>
      </w:pPr>
    </w:p>
    <w:p w14:paraId="047055D6" w14:textId="77777777" w:rsidR="00100121" w:rsidRPr="00B86130" w:rsidRDefault="00100121">
      <w:pPr>
        <w:widowControl w:val="0"/>
        <w:rPr>
          <w:szCs w:val="22"/>
        </w:rPr>
      </w:pPr>
    </w:p>
    <w:p w14:paraId="5D9B0B23"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6.</w:t>
      </w:r>
      <w:r w:rsidRPr="00B86130">
        <w:rPr>
          <w:b/>
          <w:szCs w:val="22"/>
        </w:rPr>
        <w:tab/>
        <w:t>AVVERTENZA PARTICOLARE CHE PRESCRIVA DI TENERE IL MEDICINALE FUORI DALLA VISTA E DALLA PORTATA DEI BAMBINI</w:t>
      </w:r>
    </w:p>
    <w:p w14:paraId="20071F59" w14:textId="77777777" w:rsidR="00717A16" w:rsidRPr="00B86130" w:rsidRDefault="00717A16">
      <w:pPr>
        <w:widowControl w:val="0"/>
        <w:rPr>
          <w:szCs w:val="22"/>
        </w:rPr>
      </w:pPr>
    </w:p>
    <w:p w14:paraId="4C4A66CF" w14:textId="77777777" w:rsidR="00717A16" w:rsidRPr="00B86130" w:rsidRDefault="00157A56">
      <w:pPr>
        <w:widowControl w:val="0"/>
        <w:rPr>
          <w:szCs w:val="22"/>
        </w:rPr>
      </w:pPr>
      <w:r w:rsidRPr="00B86130">
        <w:rPr>
          <w:szCs w:val="22"/>
        </w:rPr>
        <w:t>Tenere fuori dalla vista e dalla portata dei bambini.</w:t>
      </w:r>
    </w:p>
    <w:p w14:paraId="5D56E5FE" w14:textId="77777777" w:rsidR="00717A16" w:rsidRPr="00B86130" w:rsidRDefault="00717A16">
      <w:pPr>
        <w:widowControl w:val="0"/>
        <w:rPr>
          <w:szCs w:val="22"/>
        </w:rPr>
      </w:pPr>
    </w:p>
    <w:p w14:paraId="69C23676" w14:textId="77777777" w:rsidR="00717A16" w:rsidRPr="00B86130" w:rsidRDefault="00717A16">
      <w:pPr>
        <w:widowControl w:val="0"/>
        <w:rPr>
          <w:szCs w:val="22"/>
        </w:rPr>
      </w:pPr>
    </w:p>
    <w:p w14:paraId="5AB02A00"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7.</w:t>
      </w:r>
      <w:r w:rsidRPr="00B86130">
        <w:rPr>
          <w:b/>
          <w:szCs w:val="22"/>
        </w:rPr>
        <w:tab/>
        <w:t>ALTRA(E) AVVERTENZA(E) PARTICOLARE(I), SE NECESSARIO</w:t>
      </w:r>
    </w:p>
    <w:p w14:paraId="334839BD" w14:textId="77777777" w:rsidR="00717A16" w:rsidRPr="00B86130" w:rsidRDefault="00157A56">
      <w:pPr>
        <w:widowControl w:val="0"/>
        <w:rPr>
          <w:szCs w:val="22"/>
        </w:rPr>
      </w:pPr>
      <w:r w:rsidRPr="00B86130">
        <w:rPr>
          <w:szCs w:val="22"/>
        </w:rPr>
        <w:tab/>
      </w:r>
    </w:p>
    <w:p w14:paraId="74DBC52C" w14:textId="77777777" w:rsidR="00717A16" w:rsidRPr="00B86130" w:rsidRDefault="00717A16">
      <w:pPr>
        <w:widowControl w:val="0"/>
        <w:rPr>
          <w:szCs w:val="22"/>
        </w:rPr>
      </w:pPr>
    </w:p>
    <w:p w14:paraId="2E282E0F"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8.</w:t>
      </w:r>
      <w:r w:rsidRPr="00B86130">
        <w:rPr>
          <w:b/>
          <w:szCs w:val="22"/>
        </w:rPr>
        <w:tab/>
        <w:t>DATA DI SCADENZA</w:t>
      </w:r>
    </w:p>
    <w:p w14:paraId="567BBFB4" w14:textId="77777777" w:rsidR="00717A16" w:rsidRPr="00B86130" w:rsidRDefault="00717A16">
      <w:pPr>
        <w:widowControl w:val="0"/>
        <w:rPr>
          <w:szCs w:val="22"/>
        </w:rPr>
      </w:pPr>
    </w:p>
    <w:p w14:paraId="64763674" w14:textId="77777777" w:rsidR="00717A16" w:rsidRPr="00B86130" w:rsidRDefault="00157A56">
      <w:pPr>
        <w:widowControl w:val="0"/>
        <w:rPr>
          <w:szCs w:val="22"/>
        </w:rPr>
      </w:pPr>
      <w:r w:rsidRPr="00B86130">
        <w:rPr>
          <w:szCs w:val="22"/>
        </w:rPr>
        <w:t>Scad.</w:t>
      </w:r>
    </w:p>
    <w:p w14:paraId="2613E6B8" w14:textId="77777777" w:rsidR="00717A16" w:rsidRPr="00B86130" w:rsidRDefault="00717A16">
      <w:pPr>
        <w:widowControl w:val="0"/>
        <w:rPr>
          <w:szCs w:val="22"/>
        </w:rPr>
      </w:pPr>
    </w:p>
    <w:p w14:paraId="6486EDDE" w14:textId="77777777" w:rsidR="00717A16" w:rsidRPr="00B86130" w:rsidRDefault="00717A16">
      <w:pPr>
        <w:widowControl w:val="0"/>
        <w:rPr>
          <w:szCs w:val="22"/>
        </w:rPr>
      </w:pPr>
    </w:p>
    <w:p w14:paraId="2760535D"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9.</w:t>
      </w:r>
      <w:r w:rsidRPr="00B86130">
        <w:rPr>
          <w:b/>
          <w:szCs w:val="22"/>
        </w:rPr>
        <w:tab/>
        <w:t>PRECAUZIONI PARTICOLARI PER LA CONSERVAZIONE</w:t>
      </w:r>
    </w:p>
    <w:p w14:paraId="356AD7F9" w14:textId="77777777" w:rsidR="00717A16" w:rsidRPr="00B86130" w:rsidRDefault="00717A16">
      <w:pPr>
        <w:widowControl w:val="0"/>
        <w:rPr>
          <w:szCs w:val="22"/>
        </w:rPr>
      </w:pPr>
    </w:p>
    <w:p w14:paraId="040DDC05" w14:textId="77777777" w:rsidR="00717A16" w:rsidRPr="00B86130" w:rsidRDefault="00717A16">
      <w:pPr>
        <w:widowControl w:val="0"/>
        <w:rPr>
          <w:szCs w:val="22"/>
        </w:rPr>
      </w:pPr>
    </w:p>
    <w:p w14:paraId="22BE58ED" w14:textId="77777777" w:rsidR="00717A16" w:rsidRPr="00B86130" w:rsidRDefault="00717A16">
      <w:pPr>
        <w:widowControl w:val="0"/>
        <w:rPr>
          <w:szCs w:val="22"/>
        </w:rPr>
      </w:pPr>
    </w:p>
    <w:p w14:paraId="7B663CE8" w14:textId="77777777" w:rsidR="00717A16" w:rsidRPr="00B86130" w:rsidRDefault="00157A56">
      <w:pPr>
        <w:keepNext/>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lastRenderedPageBreak/>
        <w:t>10.</w:t>
      </w:r>
      <w:r w:rsidRPr="00B86130">
        <w:rPr>
          <w:b/>
          <w:szCs w:val="22"/>
        </w:rPr>
        <w:tab/>
        <w:t>PRECAUZIONI PARTICOLARI PER LO SMALTIMENTO DEL MEDICINALE NON UTILIZZATO O DEI RIFIUTI DERIVATI DA TALE MEDICINALE, SE NECESSARIO</w:t>
      </w:r>
    </w:p>
    <w:p w14:paraId="1C3B950F" w14:textId="77777777" w:rsidR="00717A16" w:rsidRPr="00B86130" w:rsidRDefault="00717A16">
      <w:pPr>
        <w:widowControl w:val="0"/>
        <w:rPr>
          <w:szCs w:val="22"/>
        </w:rPr>
      </w:pPr>
    </w:p>
    <w:p w14:paraId="34D20ED5" w14:textId="77777777" w:rsidR="00717A16" w:rsidRPr="00B86130" w:rsidRDefault="00717A16">
      <w:pPr>
        <w:widowControl w:val="0"/>
        <w:rPr>
          <w:szCs w:val="22"/>
        </w:rPr>
      </w:pPr>
    </w:p>
    <w:p w14:paraId="798FC58F"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11.</w:t>
      </w:r>
      <w:r w:rsidRPr="00B86130">
        <w:rPr>
          <w:b/>
          <w:szCs w:val="22"/>
        </w:rPr>
        <w:tab/>
        <w:t>NOME E INDIRIZZO DEL TITOLARE DELL’AUTORIZZAZIONE ALL’IMMISSIONE IN COMMERCIO</w:t>
      </w:r>
    </w:p>
    <w:p w14:paraId="1B9B0A65" w14:textId="77777777" w:rsidR="00717A16" w:rsidRPr="00B86130" w:rsidRDefault="00717A16">
      <w:pPr>
        <w:widowControl w:val="0"/>
        <w:rPr>
          <w:szCs w:val="22"/>
        </w:rPr>
      </w:pPr>
    </w:p>
    <w:p w14:paraId="54957727" w14:textId="77777777" w:rsidR="009F7F4F" w:rsidRPr="00A61F9B" w:rsidRDefault="009F7F4F" w:rsidP="009F7F4F">
      <w:pPr>
        <w:keepNext/>
        <w:rPr>
          <w:szCs w:val="22"/>
          <w:lang w:val="en-GB"/>
        </w:rPr>
      </w:pPr>
      <w:r w:rsidRPr="00A61F9B">
        <w:rPr>
          <w:szCs w:val="22"/>
          <w:lang w:val="en-GB"/>
        </w:rPr>
        <w:t>Accord Healthcare S.L.U.</w:t>
      </w:r>
    </w:p>
    <w:p w14:paraId="05090104" w14:textId="77777777" w:rsidR="009F7F4F" w:rsidRPr="00E91670" w:rsidRDefault="009F7F4F" w:rsidP="009F7F4F">
      <w:pPr>
        <w:rPr>
          <w:szCs w:val="22"/>
          <w:lang w:val="es-ES_tradnl"/>
        </w:rPr>
      </w:pPr>
      <w:r w:rsidRPr="00E91670">
        <w:rPr>
          <w:szCs w:val="22"/>
          <w:lang w:val="es-ES_tradnl"/>
        </w:rPr>
        <w:t>World Trade Center, Moll de Barcelona, s/n,</w:t>
      </w:r>
    </w:p>
    <w:p w14:paraId="4578B4DE" w14:textId="77777777" w:rsidR="009F7F4F" w:rsidRPr="00E91670" w:rsidRDefault="009F7F4F" w:rsidP="009F7F4F">
      <w:pPr>
        <w:rPr>
          <w:szCs w:val="22"/>
          <w:lang w:val="es-ES_tradnl"/>
        </w:rPr>
      </w:pPr>
      <w:r w:rsidRPr="00E91670">
        <w:rPr>
          <w:szCs w:val="22"/>
          <w:lang w:val="es-ES_tradnl"/>
        </w:rPr>
        <w:t>Edifici Est, 6</w:t>
      </w:r>
      <w:r w:rsidRPr="00E91670">
        <w:rPr>
          <w:szCs w:val="22"/>
          <w:vertAlign w:val="superscript"/>
          <w:lang w:val="es-ES_tradnl"/>
        </w:rPr>
        <w:t>a</w:t>
      </w:r>
      <w:r w:rsidRPr="00E91670">
        <w:rPr>
          <w:szCs w:val="22"/>
          <w:lang w:val="es-ES_tradnl"/>
        </w:rPr>
        <w:t xml:space="preserve"> Planta,</w:t>
      </w:r>
    </w:p>
    <w:p w14:paraId="42BF8E40" w14:textId="2128970A" w:rsidR="009F7F4F" w:rsidRPr="00E91670" w:rsidRDefault="009F7F4F" w:rsidP="009F7F4F">
      <w:pPr>
        <w:rPr>
          <w:szCs w:val="22"/>
          <w:lang w:val="es-ES_tradnl"/>
        </w:rPr>
      </w:pPr>
      <w:r w:rsidRPr="00E91670">
        <w:rPr>
          <w:szCs w:val="22"/>
          <w:lang w:val="es-ES_tradnl"/>
        </w:rPr>
        <w:t>08039 Barcellona,</w:t>
      </w:r>
    </w:p>
    <w:p w14:paraId="49C112C7" w14:textId="02F236AF" w:rsidR="009F7F4F" w:rsidRPr="00B86130" w:rsidRDefault="009F7F4F" w:rsidP="009F7F4F">
      <w:pPr>
        <w:rPr>
          <w:szCs w:val="22"/>
        </w:rPr>
      </w:pPr>
      <w:r w:rsidRPr="00B86130">
        <w:rPr>
          <w:szCs w:val="22"/>
        </w:rPr>
        <w:t>Spagna</w:t>
      </w:r>
    </w:p>
    <w:p w14:paraId="0548DB99" w14:textId="77777777" w:rsidR="00717A16" w:rsidRPr="00B86130" w:rsidRDefault="00717A16">
      <w:pPr>
        <w:widowControl w:val="0"/>
        <w:rPr>
          <w:szCs w:val="22"/>
        </w:rPr>
      </w:pPr>
    </w:p>
    <w:p w14:paraId="571D3CDF" w14:textId="77777777" w:rsidR="00717A16" w:rsidRPr="00B86130" w:rsidRDefault="00717A16">
      <w:pPr>
        <w:widowControl w:val="0"/>
        <w:rPr>
          <w:szCs w:val="22"/>
        </w:rPr>
      </w:pPr>
    </w:p>
    <w:p w14:paraId="17B50B02"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12.</w:t>
      </w:r>
      <w:r w:rsidRPr="00B86130">
        <w:rPr>
          <w:b/>
          <w:szCs w:val="22"/>
        </w:rPr>
        <w:tab/>
        <w:t>NUMERO(I) DELL’AUTORIZZAZIONE ALL’IMMISSIONE IN COMMERCIO</w:t>
      </w:r>
    </w:p>
    <w:p w14:paraId="177416F5" w14:textId="77777777" w:rsidR="00717A16" w:rsidRPr="00B86130" w:rsidRDefault="00717A16">
      <w:pPr>
        <w:widowControl w:val="0"/>
        <w:rPr>
          <w:szCs w:val="22"/>
        </w:rPr>
      </w:pPr>
    </w:p>
    <w:p w14:paraId="5C4E700A" w14:textId="121FD6D3" w:rsidR="00717A16" w:rsidRDefault="00100121" w:rsidP="00E91670">
      <w:pPr>
        <w:rPr>
          <w:szCs w:val="22"/>
        </w:rPr>
      </w:pPr>
      <w:r w:rsidRPr="00B86130">
        <w:t>EU/1/</w:t>
      </w:r>
      <w:r w:rsidR="009A76FB">
        <w:t>24/1811/</w:t>
      </w:r>
      <w:r w:rsidRPr="00B86130">
        <w:t>001</w:t>
      </w:r>
    </w:p>
    <w:p w14:paraId="76B221F4" w14:textId="7A9CA008" w:rsidR="009A76FB" w:rsidRPr="00B86130" w:rsidRDefault="009A76FB">
      <w:pPr>
        <w:widowControl w:val="0"/>
        <w:rPr>
          <w:szCs w:val="22"/>
        </w:rPr>
      </w:pPr>
      <w:r w:rsidRPr="009A76FB">
        <w:rPr>
          <w:szCs w:val="22"/>
        </w:rPr>
        <w:t>EU/1/24/1811/002</w:t>
      </w:r>
    </w:p>
    <w:p w14:paraId="482D27E4" w14:textId="77777777" w:rsidR="00717A16" w:rsidRPr="00B86130" w:rsidRDefault="00717A16">
      <w:pPr>
        <w:widowControl w:val="0"/>
        <w:rPr>
          <w:szCs w:val="22"/>
        </w:rPr>
      </w:pPr>
    </w:p>
    <w:p w14:paraId="07604420"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13.</w:t>
      </w:r>
      <w:r w:rsidRPr="00B86130">
        <w:rPr>
          <w:b/>
          <w:szCs w:val="22"/>
        </w:rPr>
        <w:tab/>
        <w:t>NUMERO DI LOTTO</w:t>
      </w:r>
    </w:p>
    <w:p w14:paraId="1322417D" w14:textId="77777777" w:rsidR="00717A16" w:rsidRPr="00B86130" w:rsidRDefault="00717A16">
      <w:pPr>
        <w:widowControl w:val="0"/>
        <w:rPr>
          <w:szCs w:val="22"/>
        </w:rPr>
      </w:pPr>
    </w:p>
    <w:p w14:paraId="2437254A" w14:textId="77777777" w:rsidR="00717A16" w:rsidRPr="00B86130" w:rsidRDefault="00157A56">
      <w:pPr>
        <w:widowControl w:val="0"/>
        <w:rPr>
          <w:szCs w:val="22"/>
        </w:rPr>
      </w:pPr>
      <w:r w:rsidRPr="00B86130">
        <w:rPr>
          <w:szCs w:val="22"/>
        </w:rPr>
        <w:t>Lotto</w:t>
      </w:r>
    </w:p>
    <w:p w14:paraId="729E494B" w14:textId="77777777" w:rsidR="00717A16" w:rsidRPr="00B86130" w:rsidRDefault="00717A16">
      <w:pPr>
        <w:widowControl w:val="0"/>
        <w:rPr>
          <w:szCs w:val="22"/>
        </w:rPr>
      </w:pPr>
    </w:p>
    <w:p w14:paraId="3D6EB20A" w14:textId="77777777" w:rsidR="00717A16" w:rsidRPr="00B86130" w:rsidRDefault="00717A16">
      <w:pPr>
        <w:widowControl w:val="0"/>
        <w:rPr>
          <w:szCs w:val="22"/>
        </w:rPr>
      </w:pPr>
    </w:p>
    <w:p w14:paraId="5AB103C5"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14.</w:t>
      </w:r>
      <w:r w:rsidRPr="00B86130">
        <w:rPr>
          <w:b/>
          <w:szCs w:val="22"/>
        </w:rPr>
        <w:tab/>
        <w:t>CONDIZIONE GENERALE DI FORNITURA</w:t>
      </w:r>
    </w:p>
    <w:p w14:paraId="53EA8A1C" w14:textId="77777777" w:rsidR="00717A16" w:rsidRPr="00B86130" w:rsidRDefault="00717A16">
      <w:pPr>
        <w:widowControl w:val="0"/>
        <w:rPr>
          <w:szCs w:val="22"/>
        </w:rPr>
      </w:pPr>
    </w:p>
    <w:p w14:paraId="67C14370" w14:textId="77777777" w:rsidR="00717A16" w:rsidRPr="00B86130" w:rsidRDefault="00717A16">
      <w:pPr>
        <w:widowControl w:val="0"/>
        <w:rPr>
          <w:szCs w:val="22"/>
        </w:rPr>
      </w:pPr>
    </w:p>
    <w:p w14:paraId="7C4515C5"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15.</w:t>
      </w:r>
      <w:r w:rsidRPr="00B86130">
        <w:rPr>
          <w:b/>
          <w:szCs w:val="22"/>
        </w:rPr>
        <w:tab/>
        <w:t>ISTRUZIONI PER L’USO</w:t>
      </w:r>
    </w:p>
    <w:p w14:paraId="016130F7" w14:textId="77777777" w:rsidR="00717A16" w:rsidRPr="00B86130" w:rsidRDefault="00717A16">
      <w:pPr>
        <w:widowControl w:val="0"/>
        <w:rPr>
          <w:szCs w:val="22"/>
        </w:rPr>
      </w:pPr>
    </w:p>
    <w:p w14:paraId="08A013BB" w14:textId="77777777" w:rsidR="00717A16" w:rsidRPr="00B86130" w:rsidRDefault="00717A16">
      <w:pPr>
        <w:widowControl w:val="0"/>
        <w:rPr>
          <w:szCs w:val="22"/>
        </w:rPr>
      </w:pPr>
    </w:p>
    <w:p w14:paraId="00218F8E"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16.</w:t>
      </w:r>
      <w:r w:rsidRPr="00B86130">
        <w:rPr>
          <w:b/>
          <w:szCs w:val="22"/>
        </w:rPr>
        <w:tab/>
        <w:t>INFORMAZIONI IN BRAILLE</w:t>
      </w:r>
    </w:p>
    <w:p w14:paraId="228CF66B" w14:textId="77777777" w:rsidR="00717A16" w:rsidRPr="00B86130" w:rsidRDefault="00717A16">
      <w:pPr>
        <w:widowControl w:val="0"/>
        <w:rPr>
          <w:szCs w:val="22"/>
        </w:rPr>
      </w:pPr>
    </w:p>
    <w:p w14:paraId="14D62F12" w14:textId="4A7081EE" w:rsidR="00717A16" w:rsidRPr="00B86130" w:rsidRDefault="00C934D8">
      <w:pPr>
        <w:widowControl w:val="0"/>
        <w:rPr>
          <w:szCs w:val="22"/>
        </w:rPr>
      </w:pPr>
      <w:r w:rsidRPr="00B86130">
        <w:rPr>
          <w:szCs w:val="22"/>
        </w:rPr>
        <w:t>Dimetilfumarato</w:t>
      </w:r>
      <w:r w:rsidRPr="00B86130" w:rsidDel="00C934D8">
        <w:rPr>
          <w:szCs w:val="22"/>
        </w:rPr>
        <w:t xml:space="preserve"> </w:t>
      </w:r>
      <w:r w:rsidR="00B43793" w:rsidRPr="00B86130">
        <w:rPr>
          <w:szCs w:val="22"/>
        </w:rPr>
        <w:t>Accord</w:t>
      </w:r>
      <w:r w:rsidR="00157A56" w:rsidRPr="00B86130">
        <w:rPr>
          <w:szCs w:val="22"/>
        </w:rPr>
        <w:t xml:space="preserve"> 120 mg</w:t>
      </w:r>
    </w:p>
    <w:p w14:paraId="77D874A1" w14:textId="77777777" w:rsidR="00717A16" w:rsidRPr="00B86130" w:rsidRDefault="00717A16">
      <w:pPr>
        <w:widowControl w:val="0"/>
        <w:rPr>
          <w:szCs w:val="22"/>
          <w:shd w:val="clear" w:color="auto" w:fill="CCCCCC"/>
        </w:rPr>
      </w:pPr>
    </w:p>
    <w:p w14:paraId="45FF37B1" w14:textId="77777777" w:rsidR="00717A16" w:rsidRPr="00B86130" w:rsidRDefault="00717A16">
      <w:pPr>
        <w:rPr>
          <w:color w:val="000000"/>
          <w:szCs w:val="22"/>
          <w:shd w:val="clear" w:color="auto" w:fill="CCCCCC"/>
        </w:rPr>
      </w:pPr>
    </w:p>
    <w:p w14:paraId="6B085272" w14:textId="77777777" w:rsidR="00717A16" w:rsidRPr="00B86130" w:rsidRDefault="00157A56">
      <w:pPr>
        <w:keepNext/>
        <w:pBdr>
          <w:top w:val="single" w:sz="4" w:space="1" w:color="auto"/>
          <w:left w:val="single" w:sz="4" w:space="4" w:color="auto"/>
          <w:bottom w:val="single" w:sz="4" w:space="0" w:color="auto"/>
          <w:right w:val="single" w:sz="4" w:space="4" w:color="auto"/>
        </w:pBdr>
        <w:tabs>
          <w:tab w:val="clear" w:pos="567"/>
        </w:tabs>
        <w:rPr>
          <w:i/>
          <w:color w:val="000000"/>
          <w:szCs w:val="22"/>
        </w:rPr>
      </w:pPr>
      <w:r w:rsidRPr="00B86130">
        <w:rPr>
          <w:b/>
          <w:color w:val="000000"/>
          <w:szCs w:val="22"/>
        </w:rPr>
        <w:t>17.</w:t>
      </w:r>
      <w:r w:rsidRPr="00B86130">
        <w:rPr>
          <w:b/>
          <w:color w:val="000000"/>
          <w:szCs w:val="22"/>
        </w:rPr>
        <w:tab/>
        <w:t>IDENTIFICATIVO UNICO – CODICE A BARRE BIDIMENSIONALE</w:t>
      </w:r>
    </w:p>
    <w:p w14:paraId="394FD4C1" w14:textId="77777777" w:rsidR="00717A16" w:rsidRPr="00B86130" w:rsidRDefault="00717A16">
      <w:pPr>
        <w:keepNext/>
        <w:tabs>
          <w:tab w:val="clear" w:pos="567"/>
        </w:tabs>
        <w:rPr>
          <w:color w:val="000000"/>
          <w:szCs w:val="22"/>
        </w:rPr>
      </w:pPr>
    </w:p>
    <w:p w14:paraId="46A1B4F9" w14:textId="77777777" w:rsidR="00717A16" w:rsidRPr="00B86130" w:rsidRDefault="00157A56">
      <w:pPr>
        <w:rPr>
          <w:color w:val="000000"/>
          <w:szCs w:val="22"/>
          <w:shd w:val="clear" w:color="auto" w:fill="CCCCCC"/>
        </w:rPr>
      </w:pPr>
      <w:r w:rsidRPr="00B86130">
        <w:rPr>
          <w:color w:val="000000"/>
          <w:szCs w:val="22"/>
          <w:highlight w:val="lightGray"/>
        </w:rPr>
        <w:t>Codice a barre bidimensionale con identificativo unico incluso.</w:t>
      </w:r>
    </w:p>
    <w:p w14:paraId="44A88B86" w14:textId="77777777" w:rsidR="00717A16" w:rsidRPr="00B86130" w:rsidRDefault="00717A16">
      <w:pPr>
        <w:rPr>
          <w:color w:val="000000"/>
          <w:szCs w:val="22"/>
          <w:shd w:val="clear" w:color="auto" w:fill="CCCCCC"/>
        </w:rPr>
      </w:pPr>
    </w:p>
    <w:p w14:paraId="10FD7012" w14:textId="77777777" w:rsidR="00717A16" w:rsidRPr="00B86130" w:rsidRDefault="00717A16">
      <w:pPr>
        <w:tabs>
          <w:tab w:val="clear" w:pos="567"/>
        </w:tabs>
        <w:rPr>
          <w:vanish/>
          <w:color w:val="000000"/>
          <w:szCs w:val="22"/>
        </w:rPr>
      </w:pPr>
    </w:p>
    <w:p w14:paraId="65C11497" w14:textId="77777777" w:rsidR="00717A16" w:rsidRPr="00B86130" w:rsidRDefault="00157A56">
      <w:pPr>
        <w:keepNext/>
        <w:pBdr>
          <w:top w:val="single" w:sz="4" w:space="1" w:color="auto"/>
          <w:left w:val="single" w:sz="4" w:space="4" w:color="auto"/>
          <w:bottom w:val="single" w:sz="4" w:space="0" w:color="auto"/>
          <w:right w:val="single" w:sz="4" w:space="4" w:color="auto"/>
        </w:pBdr>
        <w:tabs>
          <w:tab w:val="clear" w:pos="567"/>
        </w:tabs>
        <w:rPr>
          <w:i/>
          <w:color w:val="000000"/>
          <w:szCs w:val="22"/>
        </w:rPr>
      </w:pPr>
      <w:r w:rsidRPr="00B86130">
        <w:rPr>
          <w:b/>
          <w:color w:val="000000"/>
          <w:szCs w:val="22"/>
        </w:rPr>
        <w:t>18.</w:t>
      </w:r>
      <w:r w:rsidRPr="00B86130">
        <w:rPr>
          <w:b/>
          <w:color w:val="000000"/>
          <w:szCs w:val="22"/>
        </w:rPr>
        <w:tab/>
        <w:t>IDENTIFICATIVO UNICO – DATI LEGGIBILI</w:t>
      </w:r>
    </w:p>
    <w:p w14:paraId="3B3FCB95" w14:textId="77777777" w:rsidR="00717A16" w:rsidRPr="00B86130" w:rsidRDefault="00717A16">
      <w:pPr>
        <w:keepNext/>
        <w:tabs>
          <w:tab w:val="clear" w:pos="567"/>
        </w:tabs>
        <w:rPr>
          <w:color w:val="000000"/>
          <w:szCs w:val="22"/>
        </w:rPr>
      </w:pPr>
    </w:p>
    <w:p w14:paraId="1971EE18" w14:textId="24567D2F" w:rsidR="00717A16" w:rsidRPr="00B86130" w:rsidRDefault="00157A56">
      <w:pPr>
        <w:keepNext/>
        <w:rPr>
          <w:color w:val="000000"/>
          <w:szCs w:val="22"/>
        </w:rPr>
      </w:pPr>
      <w:r w:rsidRPr="00B86130">
        <w:rPr>
          <w:color w:val="000000"/>
          <w:szCs w:val="22"/>
        </w:rPr>
        <w:t>PC</w:t>
      </w:r>
    </w:p>
    <w:p w14:paraId="42C7D5D3" w14:textId="250D33FE" w:rsidR="00717A16" w:rsidRPr="00B86130" w:rsidRDefault="00157A56">
      <w:pPr>
        <w:keepNext/>
        <w:rPr>
          <w:color w:val="000000"/>
          <w:szCs w:val="22"/>
        </w:rPr>
      </w:pPr>
      <w:r w:rsidRPr="00B86130">
        <w:rPr>
          <w:color w:val="000000"/>
          <w:szCs w:val="22"/>
        </w:rPr>
        <w:t>SN</w:t>
      </w:r>
    </w:p>
    <w:p w14:paraId="0762E7F5" w14:textId="06905638" w:rsidR="00717A16" w:rsidRPr="00B86130" w:rsidRDefault="00157A56">
      <w:pPr>
        <w:rPr>
          <w:color w:val="000000"/>
          <w:szCs w:val="22"/>
        </w:rPr>
      </w:pPr>
      <w:r w:rsidRPr="00B86130">
        <w:rPr>
          <w:color w:val="000000"/>
          <w:szCs w:val="22"/>
          <w:highlight w:val="lightGray"/>
        </w:rPr>
        <w:t>NN</w:t>
      </w:r>
    </w:p>
    <w:p w14:paraId="78694F7B" w14:textId="77777777" w:rsidR="00717A16" w:rsidRPr="00B86130" w:rsidRDefault="00717A16">
      <w:pPr>
        <w:tabs>
          <w:tab w:val="clear" w:pos="567"/>
        </w:tabs>
        <w:rPr>
          <w:vanish/>
          <w:color w:val="000000"/>
          <w:szCs w:val="22"/>
        </w:rPr>
      </w:pPr>
    </w:p>
    <w:p w14:paraId="7B1B2BB3" w14:textId="77777777" w:rsidR="00717A16" w:rsidRPr="00B86130" w:rsidRDefault="00717A16">
      <w:pPr>
        <w:widowControl w:val="0"/>
        <w:rPr>
          <w:szCs w:val="22"/>
          <w:shd w:val="clear" w:color="auto" w:fill="CCCCCC"/>
        </w:rPr>
      </w:pPr>
    </w:p>
    <w:p w14:paraId="5C686258" w14:textId="77777777" w:rsidR="00717A16" w:rsidRPr="00B86130" w:rsidRDefault="00157A56">
      <w:pPr>
        <w:widowControl w:val="0"/>
        <w:rPr>
          <w:b/>
          <w:szCs w:val="22"/>
          <w:shd w:val="clear" w:color="auto" w:fill="CCCCCC"/>
        </w:rPr>
      </w:pPr>
      <w:r w:rsidRPr="00B86130">
        <w:rPr>
          <w:szCs w:val="22"/>
          <w:shd w:val="clear" w:color="auto" w:fill="CCCCCC"/>
        </w:rPr>
        <w:br w:type="page"/>
      </w:r>
    </w:p>
    <w:p w14:paraId="2B91AE99" w14:textId="77777777" w:rsidR="00717A16" w:rsidRPr="00B86130" w:rsidRDefault="00157A56">
      <w:pPr>
        <w:widowControl w:val="0"/>
        <w:pBdr>
          <w:top w:val="single" w:sz="4" w:space="1" w:color="000000"/>
          <w:left w:val="single" w:sz="4" w:space="4" w:color="000000"/>
          <w:right w:val="single" w:sz="4" w:space="4" w:color="000000"/>
        </w:pBdr>
        <w:ind w:left="567" w:hanging="567"/>
        <w:rPr>
          <w:b/>
          <w:szCs w:val="22"/>
        </w:rPr>
      </w:pPr>
      <w:r w:rsidRPr="00B86130">
        <w:rPr>
          <w:b/>
          <w:szCs w:val="22"/>
        </w:rPr>
        <w:lastRenderedPageBreak/>
        <w:t>INFORMAZIONI MINIME DA APPORRE SU BLISTER O STRIP</w:t>
      </w:r>
    </w:p>
    <w:p w14:paraId="0EE3FB40" w14:textId="77777777" w:rsidR="00717A16" w:rsidRPr="00B86130" w:rsidRDefault="00717A16">
      <w:pPr>
        <w:widowControl w:val="0"/>
        <w:pBdr>
          <w:left w:val="single" w:sz="4" w:space="4" w:color="000000"/>
          <w:bottom w:val="single" w:sz="4" w:space="1" w:color="000000"/>
          <w:right w:val="single" w:sz="4" w:space="4" w:color="000000"/>
        </w:pBdr>
        <w:ind w:left="567" w:hanging="567"/>
        <w:rPr>
          <w:b/>
          <w:szCs w:val="22"/>
        </w:rPr>
      </w:pPr>
    </w:p>
    <w:p w14:paraId="5B2A8DA8" w14:textId="76537668" w:rsidR="00717A16" w:rsidRPr="00B86130" w:rsidRDefault="00157A56">
      <w:pPr>
        <w:widowControl w:val="0"/>
        <w:pBdr>
          <w:left w:val="single" w:sz="4" w:space="4" w:color="000000"/>
          <w:bottom w:val="single" w:sz="4" w:space="1" w:color="000000"/>
          <w:right w:val="single" w:sz="4" w:space="4" w:color="000000"/>
        </w:pBdr>
        <w:ind w:left="567" w:hanging="567"/>
        <w:rPr>
          <w:b/>
          <w:szCs w:val="22"/>
        </w:rPr>
      </w:pPr>
      <w:r w:rsidRPr="00B86130">
        <w:rPr>
          <w:b/>
          <w:szCs w:val="22"/>
        </w:rPr>
        <w:t xml:space="preserve">BLISTER </w:t>
      </w:r>
      <w:r w:rsidR="00B43793" w:rsidRPr="00B86130">
        <w:rPr>
          <w:b/>
          <w:szCs w:val="22"/>
        </w:rPr>
        <w:t>PVC/PE/PVDC-ALU</w:t>
      </w:r>
    </w:p>
    <w:p w14:paraId="0A8943D8" w14:textId="77777777" w:rsidR="00717A16" w:rsidRPr="00B86130" w:rsidRDefault="00717A16">
      <w:pPr>
        <w:widowControl w:val="0"/>
        <w:rPr>
          <w:szCs w:val="22"/>
        </w:rPr>
      </w:pPr>
    </w:p>
    <w:p w14:paraId="4EFC78D4" w14:textId="77777777" w:rsidR="00717A16" w:rsidRPr="00B86130" w:rsidRDefault="00717A16">
      <w:pPr>
        <w:widowControl w:val="0"/>
        <w:rPr>
          <w:szCs w:val="22"/>
        </w:rPr>
      </w:pPr>
    </w:p>
    <w:p w14:paraId="46B4422B"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1.</w:t>
      </w:r>
      <w:r w:rsidRPr="00B86130">
        <w:rPr>
          <w:b/>
          <w:szCs w:val="22"/>
        </w:rPr>
        <w:tab/>
        <w:t>DENOMINAZIONE DEL MEDICINALE</w:t>
      </w:r>
    </w:p>
    <w:p w14:paraId="0C5B4DB5" w14:textId="77777777" w:rsidR="00717A16" w:rsidRPr="00B86130" w:rsidRDefault="00717A16">
      <w:pPr>
        <w:widowControl w:val="0"/>
        <w:rPr>
          <w:szCs w:val="22"/>
        </w:rPr>
      </w:pPr>
    </w:p>
    <w:p w14:paraId="25C0C351" w14:textId="593566EB" w:rsidR="00717A16" w:rsidRPr="00B86130" w:rsidRDefault="00C934D8">
      <w:pPr>
        <w:widowControl w:val="0"/>
        <w:rPr>
          <w:szCs w:val="22"/>
        </w:rPr>
      </w:pPr>
      <w:r w:rsidRPr="00B86130">
        <w:rPr>
          <w:szCs w:val="22"/>
        </w:rPr>
        <w:t>Dimetilfumarato</w:t>
      </w:r>
      <w:r w:rsidRPr="00B86130" w:rsidDel="00C934D8">
        <w:rPr>
          <w:szCs w:val="22"/>
        </w:rPr>
        <w:t xml:space="preserve"> </w:t>
      </w:r>
      <w:r w:rsidR="00AA30FA" w:rsidRPr="00B86130">
        <w:rPr>
          <w:szCs w:val="22"/>
        </w:rPr>
        <w:t xml:space="preserve">Accord </w:t>
      </w:r>
      <w:r w:rsidR="00157A56" w:rsidRPr="00B86130">
        <w:rPr>
          <w:szCs w:val="22"/>
        </w:rPr>
        <w:t>120</w:t>
      </w:r>
      <w:r w:rsidR="0086307D" w:rsidRPr="00B86130">
        <w:rPr>
          <w:szCs w:val="22"/>
        </w:rPr>
        <w:t> </w:t>
      </w:r>
      <w:r w:rsidR="00157A56" w:rsidRPr="00B86130">
        <w:rPr>
          <w:szCs w:val="22"/>
        </w:rPr>
        <w:t>mg capsule gastroresistenti</w:t>
      </w:r>
    </w:p>
    <w:p w14:paraId="3DC939B1" w14:textId="77777777" w:rsidR="00100121" w:rsidRPr="00B86130" w:rsidRDefault="00100121">
      <w:pPr>
        <w:widowControl w:val="0"/>
        <w:rPr>
          <w:szCs w:val="22"/>
        </w:rPr>
      </w:pPr>
    </w:p>
    <w:p w14:paraId="6F11B47E" w14:textId="34911B18" w:rsidR="00717A16" w:rsidRPr="00B86130" w:rsidRDefault="00157A56">
      <w:pPr>
        <w:widowControl w:val="0"/>
        <w:rPr>
          <w:szCs w:val="22"/>
        </w:rPr>
      </w:pPr>
      <w:r w:rsidRPr="00246B12">
        <w:rPr>
          <w:szCs w:val="22"/>
          <w:highlight w:val="lightGray"/>
        </w:rPr>
        <w:t>dimetilfumarato</w:t>
      </w:r>
    </w:p>
    <w:p w14:paraId="15463D36" w14:textId="77777777" w:rsidR="00717A16" w:rsidRPr="00B86130" w:rsidRDefault="00717A16">
      <w:pPr>
        <w:widowControl w:val="0"/>
        <w:rPr>
          <w:szCs w:val="22"/>
        </w:rPr>
      </w:pPr>
    </w:p>
    <w:p w14:paraId="42A708C6" w14:textId="77777777" w:rsidR="00717A16" w:rsidRPr="00B86130" w:rsidRDefault="00717A16">
      <w:pPr>
        <w:widowControl w:val="0"/>
        <w:rPr>
          <w:szCs w:val="22"/>
        </w:rPr>
      </w:pPr>
    </w:p>
    <w:p w14:paraId="1D086AB3"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2.</w:t>
      </w:r>
      <w:r w:rsidRPr="00B86130">
        <w:rPr>
          <w:b/>
          <w:szCs w:val="22"/>
        </w:rPr>
        <w:tab/>
        <w:t>NOME DEL TITOLARE DELL’AUTORIZZAZIONE ALL’IMMISSIONE IN COMMERCIO</w:t>
      </w:r>
    </w:p>
    <w:p w14:paraId="66F2158A" w14:textId="77777777" w:rsidR="00717A16" w:rsidRPr="00B86130" w:rsidRDefault="00717A16">
      <w:pPr>
        <w:widowControl w:val="0"/>
        <w:rPr>
          <w:szCs w:val="22"/>
        </w:rPr>
      </w:pPr>
    </w:p>
    <w:p w14:paraId="2B3F7023" w14:textId="3F755E92" w:rsidR="00717A16" w:rsidRPr="00B86130" w:rsidRDefault="00AA30FA">
      <w:pPr>
        <w:widowControl w:val="0"/>
        <w:rPr>
          <w:szCs w:val="22"/>
        </w:rPr>
      </w:pPr>
      <w:r w:rsidRPr="00B86130">
        <w:rPr>
          <w:szCs w:val="22"/>
          <w:highlight w:val="lightGray"/>
        </w:rPr>
        <w:t>Accord</w:t>
      </w:r>
    </w:p>
    <w:p w14:paraId="3BBDB17A" w14:textId="39617C3D" w:rsidR="00717A16" w:rsidRPr="00B86130" w:rsidRDefault="00717A16">
      <w:pPr>
        <w:widowControl w:val="0"/>
        <w:rPr>
          <w:szCs w:val="22"/>
        </w:rPr>
      </w:pPr>
    </w:p>
    <w:p w14:paraId="6BE7F637" w14:textId="77777777" w:rsidR="00100121" w:rsidRPr="00B86130" w:rsidRDefault="00100121">
      <w:pPr>
        <w:widowControl w:val="0"/>
        <w:rPr>
          <w:szCs w:val="22"/>
        </w:rPr>
      </w:pPr>
    </w:p>
    <w:p w14:paraId="774E6916"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3.</w:t>
      </w:r>
      <w:r w:rsidRPr="00B86130">
        <w:rPr>
          <w:b/>
          <w:szCs w:val="22"/>
        </w:rPr>
        <w:tab/>
        <w:t>DATA DI SCADENZA</w:t>
      </w:r>
    </w:p>
    <w:p w14:paraId="1622740B" w14:textId="77777777" w:rsidR="00717A16" w:rsidRPr="00B86130" w:rsidRDefault="00717A16">
      <w:pPr>
        <w:widowControl w:val="0"/>
        <w:rPr>
          <w:szCs w:val="22"/>
        </w:rPr>
      </w:pPr>
    </w:p>
    <w:p w14:paraId="42CA97FF" w14:textId="77777777" w:rsidR="00717A16" w:rsidRPr="00B86130" w:rsidRDefault="00157A56">
      <w:pPr>
        <w:widowControl w:val="0"/>
        <w:rPr>
          <w:szCs w:val="22"/>
        </w:rPr>
      </w:pPr>
      <w:r w:rsidRPr="00B86130">
        <w:rPr>
          <w:szCs w:val="22"/>
        </w:rPr>
        <w:t>EXP</w:t>
      </w:r>
    </w:p>
    <w:p w14:paraId="7135EED8" w14:textId="77777777" w:rsidR="00717A16" w:rsidRPr="00B86130" w:rsidRDefault="00717A16">
      <w:pPr>
        <w:widowControl w:val="0"/>
        <w:rPr>
          <w:szCs w:val="22"/>
        </w:rPr>
      </w:pPr>
    </w:p>
    <w:p w14:paraId="3D18D32C" w14:textId="77777777" w:rsidR="00717A16" w:rsidRPr="00B86130" w:rsidRDefault="00717A16">
      <w:pPr>
        <w:widowControl w:val="0"/>
        <w:rPr>
          <w:szCs w:val="22"/>
        </w:rPr>
      </w:pPr>
    </w:p>
    <w:p w14:paraId="7C6A1ED0"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4.</w:t>
      </w:r>
      <w:r w:rsidRPr="00B86130">
        <w:rPr>
          <w:b/>
          <w:szCs w:val="22"/>
        </w:rPr>
        <w:tab/>
        <w:t>NUMERO DI LOTTO</w:t>
      </w:r>
    </w:p>
    <w:p w14:paraId="0E2D1DFB" w14:textId="77777777" w:rsidR="00717A16" w:rsidRPr="00B86130" w:rsidRDefault="00717A16">
      <w:pPr>
        <w:widowControl w:val="0"/>
        <w:rPr>
          <w:szCs w:val="22"/>
        </w:rPr>
      </w:pPr>
    </w:p>
    <w:p w14:paraId="73E3E8F1" w14:textId="77777777" w:rsidR="00717A16" w:rsidRPr="00B86130" w:rsidRDefault="00157A56">
      <w:pPr>
        <w:widowControl w:val="0"/>
        <w:rPr>
          <w:szCs w:val="22"/>
        </w:rPr>
      </w:pPr>
      <w:r w:rsidRPr="00B86130">
        <w:rPr>
          <w:szCs w:val="22"/>
        </w:rPr>
        <w:t>Lot</w:t>
      </w:r>
    </w:p>
    <w:p w14:paraId="096C5FB0" w14:textId="77777777" w:rsidR="00717A16" w:rsidRPr="00B86130" w:rsidRDefault="00717A16">
      <w:pPr>
        <w:widowControl w:val="0"/>
        <w:rPr>
          <w:szCs w:val="22"/>
        </w:rPr>
      </w:pPr>
    </w:p>
    <w:p w14:paraId="1D9F996A" w14:textId="77777777" w:rsidR="00717A16" w:rsidRPr="00B86130" w:rsidRDefault="00717A16">
      <w:pPr>
        <w:widowControl w:val="0"/>
        <w:rPr>
          <w:szCs w:val="22"/>
        </w:rPr>
      </w:pPr>
    </w:p>
    <w:p w14:paraId="0ECD2D03"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5.</w:t>
      </w:r>
      <w:r w:rsidRPr="00B86130">
        <w:rPr>
          <w:b/>
          <w:szCs w:val="22"/>
        </w:rPr>
        <w:tab/>
        <w:t>ALTRO</w:t>
      </w:r>
    </w:p>
    <w:p w14:paraId="704473B9" w14:textId="77777777" w:rsidR="00717A16" w:rsidRPr="00B86130" w:rsidRDefault="00717A16">
      <w:pPr>
        <w:widowControl w:val="0"/>
        <w:rPr>
          <w:szCs w:val="22"/>
        </w:rPr>
      </w:pPr>
    </w:p>
    <w:p w14:paraId="6CF1E8D3" w14:textId="6AA6B301" w:rsidR="00717A16" w:rsidRPr="00E91670" w:rsidRDefault="00226E1D">
      <w:pPr>
        <w:widowControl w:val="0"/>
        <w:rPr>
          <w:szCs w:val="22"/>
          <w:highlight w:val="lightGray"/>
        </w:rPr>
      </w:pPr>
      <w:r w:rsidRPr="00E91670">
        <w:rPr>
          <w:szCs w:val="22"/>
          <w:highlight w:val="lightGray"/>
        </w:rPr>
        <w:t>Uso orale</w:t>
      </w:r>
    </w:p>
    <w:p w14:paraId="177DC7FD" w14:textId="77777777" w:rsidR="00717A16" w:rsidRPr="00B86130" w:rsidRDefault="00717A16">
      <w:pPr>
        <w:widowControl w:val="0"/>
        <w:rPr>
          <w:szCs w:val="22"/>
        </w:rPr>
      </w:pPr>
    </w:p>
    <w:p w14:paraId="4F6DE696" w14:textId="0BC59738" w:rsidR="00717A16" w:rsidRPr="00B86130" w:rsidRDefault="00717A16">
      <w:pPr>
        <w:widowControl w:val="0"/>
        <w:rPr>
          <w:vanish/>
          <w:szCs w:val="22"/>
        </w:rPr>
      </w:pPr>
    </w:p>
    <w:p w14:paraId="455BCDB4" w14:textId="77777777" w:rsidR="00100121"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br w:type="page"/>
      </w:r>
    </w:p>
    <w:p w14:paraId="1B4B4DA0" w14:textId="46BFC0FF"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lastRenderedPageBreak/>
        <w:t>INFORMAZIONI DA APPORRE SUL CONFEZIONAMENTO SECONDARIO</w:t>
      </w:r>
    </w:p>
    <w:p w14:paraId="32EDA57A" w14:textId="77777777" w:rsidR="00717A16" w:rsidRPr="00B86130" w:rsidRDefault="00717A16">
      <w:pPr>
        <w:widowControl w:val="0"/>
        <w:pBdr>
          <w:top w:val="single" w:sz="4" w:space="1" w:color="000000"/>
          <w:left w:val="single" w:sz="4" w:space="4" w:color="000000"/>
          <w:bottom w:val="single" w:sz="4" w:space="1" w:color="000000"/>
          <w:right w:val="single" w:sz="4" w:space="4" w:color="000000"/>
        </w:pBdr>
        <w:ind w:left="567" w:hanging="567"/>
        <w:rPr>
          <w:szCs w:val="22"/>
        </w:rPr>
      </w:pPr>
    </w:p>
    <w:p w14:paraId="61F2158E" w14:textId="31A7D122" w:rsidR="00717A16" w:rsidRPr="00B86130" w:rsidRDefault="00ED17CD">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SCATOLA ESTERNA</w:t>
      </w:r>
    </w:p>
    <w:p w14:paraId="1F31D96E" w14:textId="77777777" w:rsidR="00717A16" w:rsidRPr="00B86130" w:rsidRDefault="00717A16">
      <w:pPr>
        <w:widowControl w:val="0"/>
        <w:rPr>
          <w:szCs w:val="22"/>
        </w:rPr>
      </w:pPr>
    </w:p>
    <w:p w14:paraId="566F1991" w14:textId="77777777" w:rsidR="00717A16" w:rsidRPr="00B86130" w:rsidRDefault="00717A16">
      <w:pPr>
        <w:widowControl w:val="0"/>
        <w:rPr>
          <w:szCs w:val="22"/>
        </w:rPr>
      </w:pPr>
    </w:p>
    <w:p w14:paraId="7F34A9E3"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w:t>
      </w:r>
      <w:r w:rsidRPr="00B86130">
        <w:rPr>
          <w:b/>
          <w:szCs w:val="22"/>
        </w:rPr>
        <w:tab/>
        <w:t>DENOMINAZIONE DEL MEDICINALE</w:t>
      </w:r>
    </w:p>
    <w:p w14:paraId="22665DFB" w14:textId="77777777" w:rsidR="00717A16" w:rsidRPr="00B86130" w:rsidRDefault="00717A16">
      <w:pPr>
        <w:widowControl w:val="0"/>
        <w:rPr>
          <w:szCs w:val="22"/>
        </w:rPr>
      </w:pPr>
    </w:p>
    <w:p w14:paraId="4C302B0B" w14:textId="0E0EC951" w:rsidR="00717A16" w:rsidRPr="00B86130" w:rsidRDefault="00C934D8">
      <w:r w:rsidRPr="00B86130">
        <w:t>Dimetilfumarato</w:t>
      </w:r>
      <w:r w:rsidRPr="00B86130" w:rsidDel="00C934D8">
        <w:t xml:space="preserve"> </w:t>
      </w:r>
      <w:r w:rsidR="00AA30FA" w:rsidRPr="00B86130">
        <w:t>Accord</w:t>
      </w:r>
      <w:r w:rsidR="00157A56" w:rsidRPr="00B86130">
        <w:t xml:space="preserve"> 240</w:t>
      </w:r>
      <w:r w:rsidR="0086307D" w:rsidRPr="00B86130">
        <w:t> </w:t>
      </w:r>
      <w:r w:rsidR="00157A56" w:rsidRPr="00B86130">
        <w:t>mg capsule rigide gastroresistenti</w:t>
      </w:r>
    </w:p>
    <w:p w14:paraId="6EF01C0F" w14:textId="7861A763" w:rsidR="00717A16" w:rsidRPr="00B86130" w:rsidRDefault="00157A56">
      <w:pPr>
        <w:widowControl w:val="0"/>
        <w:rPr>
          <w:szCs w:val="22"/>
        </w:rPr>
      </w:pPr>
      <w:r w:rsidRPr="00B86130">
        <w:rPr>
          <w:szCs w:val="22"/>
        </w:rPr>
        <w:t>dimetilfumarato</w:t>
      </w:r>
    </w:p>
    <w:p w14:paraId="0C716E34" w14:textId="77777777" w:rsidR="00717A16" w:rsidRPr="00B86130" w:rsidRDefault="00717A16">
      <w:pPr>
        <w:widowControl w:val="0"/>
        <w:rPr>
          <w:szCs w:val="22"/>
        </w:rPr>
      </w:pPr>
    </w:p>
    <w:p w14:paraId="769D7304" w14:textId="77777777" w:rsidR="00717A16" w:rsidRPr="00B86130" w:rsidRDefault="00717A16">
      <w:pPr>
        <w:widowControl w:val="0"/>
        <w:rPr>
          <w:szCs w:val="22"/>
        </w:rPr>
      </w:pPr>
    </w:p>
    <w:p w14:paraId="11524E27"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2.</w:t>
      </w:r>
      <w:r w:rsidRPr="00B86130">
        <w:rPr>
          <w:b/>
          <w:szCs w:val="22"/>
        </w:rPr>
        <w:tab/>
        <w:t>COMPOSIZIONE QUALITATIVA E QUANTITATIVA IN TERMINI DI PRINCIPIO(I) ATTIVO(I)</w:t>
      </w:r>
    </w:p>
    <w:p w14:paraId="1D8CDEA6" w14:textId="77777777" w:rsidR="00717A16" w:rsidRPr="00B86130" w:rsidRDefault="00717A16">
      <w:pPr>
        <w:widowControl w:val="0"/>
        <w:rPr>
          <w:szCs w:val="22"/>
        </w:rPr>
      </w:pPr>
    </w:p>
    <w:p w14:paraId="40464DC9" w14:textId="77777777" w:rsidR="00717A16" w:rsidRPr="00B86130" w:rsidRDefault="00157A56">
      <w:r w:rsidRPr="00B86130">
        <w:t>Ogni capsula rigida gastroresistente contiene 240 mg di dimetilfumarato</w:t>
      </w:r>
    </w:p>
    <w:p w14:paraId="6422FCCC" w14:textId="77777777" w:rsidR="00717A16" w:rsidRPr="00B86130" w:rsidRDefault="00717A16">
      <w:pPr>
        <w:widowControl w:val="0"/>
        <w:rPr>
          <w:szCs w:val="22"/>
        </w:rPr>
      </w:pPr>
    </w:p>
    <w:p w14:paraId="2D4903B7" w14:textId="77777777" w:rsidR="00717A16" w:rsidRPr="00B86130" w:rsidRDefault="00717A16">
      <w:pPr>
        <w:widowControl w:val="0"/>
        <w:rPr>
          <w:szCs w:val="22"/>
        </w:rPr>
      </w:pPr>
    </w:p>
    <w:p w14:paraId="652042A5"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3.</w:t>
      </w:r>
      <w:r w:rsidRPr="00B86130">
        <w:rPr>
          <w:b/>
          <w:szCs w:val="22"/>
        </w:rPr>
        <w:tab/>
        <w:t>ELENCO DEGLI ECCIPIENTI</w:t>
      </w:r>
    </w:p>
    <w:p w14:paraId="21A99281" w14:textId="77777777" w:rsidR="00717A16" w:rsidRPr="00B86130" w:rsidRDefault="00717A16">
      <w:pPr>
        <w:widowControl w:val="0"/>
        <w:rPr>
          <w:szCs w:val="22"/>
        </w:rPr>
      </w:pPr>
    </w:p>
    <w:p w14:paraId="01661B2F" w14:textId="77777777" w:rsidR="00717A16" w:rsidRPr="00B86130" w:rsidRDefault="00717A16">
      <w:pPr>
        <w:widowControl w:val="0"/>
        <w:rPr>
          <w:szCs w:val="22"/>
        </w:rPr>
      </w:pPr>
    </w:p>
    <w:p w14:paraId="452D9604"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4.</w:t>
      </w:r>
      <w:r w:rsidRPr="00B86130">
        <w:rPr>
          <w:b/>
          <w:szCs w:val="22"/>
        </w:rPr>
        <w:tab/>
        <w:t>FORMA FARMACEUTICA E CONTENUTO</w:t>
      </w:r>
    </w:p>
    <w:p w14:paraId="00E0FD49" w14:textId="77777777" w:rsidR="00717A16" w:rsidRPr="00B86130" w:rsidRDefault="00717A16">
      <w:pPr>
        <w:widowControl w:val="0"/>
        <w:rPr>
          <w:szCs w:val="22"/>
        </w:rPr>
      </w:pPr>
    </w:p>
    <w:p w14:paraId="526192B0" w14:textId="77777777" w:rsidR="00717A16" w:rsidRPr="00B86130" w:rsidRDefault="00717A16">
      <w:pPr>
        <w:widowControl w:val="0"/>
        <w:rPr>
          <w:szCs w:val="22"/>
          <w:shd w:val="clear" w:color="auto" w:fill="C0C0C0"/>
        </w:rPr>
      </w:pPr>
    </w:p>
    <w:p w14:paraId="04455A7C" w14:textId="49761282" w:rsidR="00717A16" w:rsidRPr="00B86130" w:rsidRDefault="00AA30FA">
      <w:r w:rsidRPr="00B86130">
        <w:rPr>
          <w:highlight w:val="lightGray"/>
        </w:rPr>
        <w:t>C</w:t>
      </w:r>
      <w:r w:rsidR="00157A56" w:rsidRPr="00B86130">
        <w:rPr>
          <w:highlight w:val="lightGray"/>
        </w:rPr>
        <w:t>apsul</w:t>
      </w:r>
      <w:r w:rsidRPr="00B86130">
        <w:rPr>
          <w:highlight w:val="lightGray"/>
        </w:rPr>
        <w:t>a</w:t>
      </w:r>
      <w:r w:rsidR="00157A56" w:rsidRPr="00B86130">
        <w:rPr>
          <w:highlight w:val="lightGray"/>
        </w:rPr>
        <w:t xml:space="preserve"> rigid</w:t>
      </w:r>
      <w:r w:rsidRPr="00B86130">
        <w:rPr>
          <w:highlight w:val="lightGray"/>
        </w:rPr>
        <w:t>a</w:t>
      </w:r>
      <w:r w:rsidR="00157A56" w:rsidRPr="00B86130">
        <w:rPr>
          <w:highlight w:val="lightGray"/>
        </w:rPr>
        <w:t xml:space="preserve"> gastroresistent</w:t>
      </w:r>
      <w:r w:rsidRPr="00B86130">
        <w:rPr>
          <w:highlight w:val="lightGray"/>
        </w:rPr>
        <w:t>e</w:t>
      </w:r>
    </w:p>
    <w:p w14:paraId="79EA52B1" w14:textId="77777777" w:rsidR="00AA30FA" w:rsidRPr="00B86130" w:rsidRDefault="00AA30FA"/>
    <w:p w14:paraId="2D734A23" w14:textId="736BBE22" w:rsidR="00AA30FA" w:rsidRPr="00B86130" w:rsidRDefault="00605A62">
      <w:r w:rsidRPr="00B86130">
        <w:t>5</w:t>
      </w:r>
      <w:r>
        <w:t>6</w:t>
      </w:r>
      <w:r w:rsidRPr="00B86130">
        <w:t xml:space="preserve"> </w:t>
      </w:r>
      <w:r w:rsidR="00AA30FA" w:rsidRPr="00B86130">
        <w:t>capsule rigide gastroresistenti</w:t>
      </w:r>
    </w:p>
    <w:p w14:paraId="73ACFF3E" w14:textId="77777777" w:rsidR="00717A16" w:rsidRPr="00B86130" w:rsidRDefault="00157A56">
      <w:r w:rsidRPr="00B86130">
        <w:rPr>
          <w:highlight w:val="lightGray"/>
        </w:rPr>
        <w:t>168 capsule rigide gastroresistenti</w:t>
      </w:r>
    </w:p>
    <w:p w14:paraId="4EC8D034" w14:textId="6A6D9DD1" w:rsidR="00717A16" w:rsidRPr="00E91670" w:rsidRDefault="00226E1D">
      <w:pPr>
        <w:widowControl w:val="0"/>
        <w:rPr>
          <w:highlight w:val="lightGray"/>
        </w:rPr>
      </w:pPr>
      <w:r w:rsidRPr="00E91670">
        <w:rPr>
          <w:highlight w:val="lightGray"/>
        </w:rPr>
        <w:t>56x1 capsule rigide gastroresistenti</w:t>
      </w:r>
    </w:p>
    <w:p w14:paraId="214EE32B" w14:textId="0A4C59C8" w:rsidR="00226E1D" w:rsidRPr="00E91670" w:rsidRDefault="00226E1D">
      <w:pPr>
        <w:widowControl w:val="0"/>
        <w:rPr>
          <w:highlight w:val="lightGray"/>
        </w:rPr>
      </w:pPr>
      <w:r w:rsidRPr="00E91670">
        <w:rPr>
          <w:highlight w:val="lightGray"/>
        </w:rPr>
        <w:t>168x1 capsule rigide gastroresistenti</w:t>
      </w:r>
    </w:p>
    <w:p w14:paraId="08E83D46" w14:textId="77777777" w:rsidR="00717A16" w:rsidRPr="00B86130" w:rsidRDefault="00717A16">
      <w:pPr>
        <w:widowControl w:val="0"/>
        <w:rPr>
          <w:szCs w:val="22"/>
        </w:rPr>
      </w:pPr>
    </w:p>
    <w:p w14:paraId="50836CDD"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5.</w:t>
      </w:r>
      <w:r w:rsidRPr="00B86130">
        <w:rPr>
          <w:b/>
          <w:szCs w:val="22"/>
        </w:rPr>
        <w:tab/>
        <w:t>MODO E VIA(E) DI SOMMINISTRAZIONE</w:t>
      </w:r>
    </w:p>
    <w:p w14:paraId="5CF42A3B" w14:textId="77777777" w:rsidR="00717A16" w:rsidRPr="00B86130" w:rsidRDefault="00717A16">
      <w:pPr>
        <w:widowControl w:val="0"/>
        <w:rPr>
          <w:szCs w:val="22"/>
        </w:rPr>
      </w:pPr>
    </w:p>
    <w:p w14:paraId="74BB36EE" w14:textId="4D3743DE" w:rsidR="00AA30FA" w:rsidRPr="00B86130" w:rsidRDefault="00AA30FA" w:rsidP="00AA30FA">
      <w:pPr>
        <w:widowControl w:val="0"/>
        <w:rPr>
          <w:szCs w:val="22"/>
        </w:rPr>
      </w:pPr>
      <w:r w:rsidRPr="00B86130">
        <w:rPr>
          <w:szCs w:val="22"/>
        </w:rPr>
        <w:t>Uso orale.</w:t>
      </w:r>
    </w:p>
    <w:p w14:paraId="439E806E" w14:textId="51B0ECDA" w:rsidR="00717A16" w:rsidRPr="00B86130" w:rsidRDefault="00157A56">
      <w:pPr>
        <w:widowControl w:val="0"/>
        <w:rPr>
          <w:szCs w:val="22"/>
        </w:rPr>
      </w:pPr>
      <w:r w:rsidRPr="00B86130">
        <w:rPr>
          <w:szCs w:val="22"/>
        </w:rPr>
        <w:t>Leggere il foglio illustrativo prima dell’uso.</w:t>
      </w:r>
    </w:p>
    <w:p w14:paraId="6DBCB01D" w14:textId="3E208338" w:rsidR="00717A16" w:rsidRPr="00B86130" w:rsidRDefault="00AA30FA">
      <w:pPr>
        <w:widowControl w:val="0"/>
        <w:rPr>
          <w:szCs w:val="22"/>
        </w:rPr>
      </w:pPr>
      <w:r w:rsidRPr="00B86130">
        <w:rPr>
          <w:szCs w:val="22"/>
        </w:rPr>
        <w:t>Ingoiare la capsula intera.</w:t>
      </w:r>
    </w:p>
    <w:p w14:paraId="7ABD36FA" w14:textId="40D1F3C3" w:rsidR="00717A16" w:rsidRPr="00B86130" w:rsidRDefault="00717A16">
      <w:pPr>
        <w:widowControl w:val="0"/>
        <w:rPr>
          <w:szCs w:val="22"/>
        </w:rPr>
      </w:pPr>
    </w:p>
    <w:p w14:paraId="518152A3" w14:textId="77777777" w:rsidR="00100121" w:rsidRPr="00B86130" w:rsidRDefault="00100121">
      <w:pPr>
        <w:widowControl w:val="0"/>
        <w:rPr>
          <w:szCs w:val="22"/>
        </w:rPr>
      </w:pPr>
    </w:p>
    <w:p w14:paraId="47F30B22"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6.</w:t>
      </w:r>
      <w:r w:rsidRPr="00B86130">
        <w:rPr>
          <w:b/>
          <w:szCs w:val="22"/>
        </w:rPr>
        <w:tab/>
        <w:t>AVVERTENZA PARTICOLARE CHE PRESCRIVA DI TENERE IL MEDICINALE FUORI DALLA VISTA E DALLA PORTATA DEI BAMBINI</w:t>
      </w:r>
    </w:p>
    <w:p w14:paraId="51FEE9FF" w14:textId="77777777" w:rsidR="00717A16" w:rsidRPr="00B86130" w:rsidRDefault="00717A16">
      <w:pPr>
        <w:widowControl w:val="0"/>
        <w:rPr>
          <w:szCs w:val="22"/>
        </w:rPr>
      </w:pPr>
    </w:p>
    <w:p w14:paraId="3B63C2E3" w14:textId="77777777" w:rsidR="00717A16" w:rsidRPr="00B86130" w:rsidRDefault="00157A56">
      <w:pPr>
        <w:widowControl w:val="0"/>
        <w:rPr>
          <w:szCs w:val="22"/>
        </w:rPr>
      </w:pPr>
      <w:r w:rsidRPr="00B86130">
        <w:rPr>
          <w:szCs w:val="22"/>
        </w:rPr>
        <w:t>Tenere fuori dalla vista e dalla portata dei bambini.</w:t>
      </w:r>
    </w:p>
    <w:p w14:paraId="7D3863D7" w14:textId="77777777" w:rsidR="00717A16" w:rsidRPr="00B86130" w:rsidRDefault="00717A16">
      <w:pPr>
        <w:widowControl w:val="0"/>
        <w:rPr>
          <w:szCs w:val="22"/>
        </w:rPr>
      </w:pPr>
    </w:p>
    <w:p w14:paraId="775B2617" w14:textId="77777777" w:rsidR="00717A16" w:rsidRPr="00B86130" w:rsidRDefault="00717A16">
      <w:pPr>
        <w:widowControl w:val="0"/>
        <w:rPr>
          <w:szCs w:val="22"/>
        </w:rPr>
      </w:pPr>
    </w:p>
    <w:p w14:paraId="7ED12B46"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7.</w:t>
      </w:r>
      <w:r w:rsidRPr="00B86130">
        <w:rPr>
          <w:b/>
          <w:szCs w:val="22"/>
        </w:rPr>
        <w:tab/>
        <w:t>ALTRA(E) AVVERTENZA(E) PARTICOLARE(I), SE NECESSARIO</w:t>
      </w:r>
    </w:p>
    <w:p w14:paraId="3976246D" w14:textId="77777777" w:rsidR="00717A16" w:rsidRPr="00B86130" w:rsidRDefault="00157A56">
      <w:pPr>
        <w:widowControl w:val="0"/>
        <w:rPr>
          <w:szCs w:val="22"/>
        </w:rPr>
      </w:pPr>
      <w:r w:rsidRPr="00B86130">
        <w:rPr>
          <w:szCs w:val="22"/>
        </w:rPr>
        <w:tab/>
      </w:r>
    </w:p>
    <w:p w14:paraId="04603727" w14:textId="77777777" w:rsidR="00717A16" w:rsidRPr="00B86130" w:rsidRDefault="00717A16">
      <w:pPr>
        <w:widowControl w:val="0"/>
        <w:rPr>
          <w:szCs w:val="22"/>
        </w:rPr>
      </w:pPr>
    </w:p>
    <w:p w14:paraId="7A308691"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8.</w:t>
      </w:r>
      <w:r w:rsidRPr="00B86130">
        <w:rPr>
          <w:b/>
          <w:szCs w:val="22"/>
        </w:rPr>
        <w:tab/>
        <w:t>DATA DI SCADENZA</w:t>
      </w:r>
    </w:p>
    <w:p w14:paraId="32A759BE" w14:textId="77777777" w:rsidR="00717A16" w:rsidRPr="00B86130" w:rsidRDefault="00717A16">
      <w:pPr>
        <w:widowControl w:val="0"/>
        <w:rPr>
          <w:szCs w:val="22"/>
        </w:rPr>
      </w:pPr>
    </w:p>
    <w:p w14:paraId="592AAB9C" w14:textId="77777777" w:rsidR="00717A16" w:rsidRPr="00B86130" w:rsidRDefault="00157A56">
      <w:pPr>
        <w:widowControl w:val="0"/>
        <w:rPr>
          <w:szCs w:val="22"/>
        </w:rPr>
      </w:pPr>
      <w:r w:rsidRPr="00B86130">
        <w:rPr>
          <w:szCs w:val="22"/>
        </w:rPr>
        <w:t>Scad.</w:t>
      </w:r>
    </w:p>
    <w:p w14:paraId="5506547D" w14:textId="77777777" w:rsidR="00717A16" w:rsidRPr="00B86130" w:rsidRDefault="00717A16">
      <w:pPr>
        <w:widowControl w:val="0"/>
        <w:rPr>
          <w:szCs w:val="22"/>
        </w:rPr>
      </w:pPr>
    </w:p>
    <w:p w14:paraId="6EE430ED" w14:textId="77777777" w:rsidR="00717A16" w:rsidRPr="00B86130" w:rsidRDefault="00717A16">
      <w:pPr>
        <w:widowControl w:val="0"/>
        <w:rPr>
          <w:szCs w:val="22"/>
        </w:rPr>
      </w:pPr>
    </w:p>
    <w:p w14:paraId="4335D50E"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9.</w:t>
      </w:r>
      <w:r w:rsidRPr="00B86130">
        <w:rPr>
          <w:b/>
          <w:szCs w:val="22"/>
        </w:rPr>
        <w:tab/>
        <w:t>PRECAUZIONI PARTICOLARI PER LA CONSERVAZIONE</w:t>
      </w:r>
    </w:p>
    <w:p w14:paraId="033B55BA" w14:textId="77777777" w:rsidR="00717A16" w:rsidRPr="00B86130" w:rsidRDefault="00717A16">
      <w:pPr>
        <w:widowControl w:val="0"/>
        <w:rPr>
          <w:szCs w:val="22"/>
        </w:rPr>
      </w:pPr>
    </w:p>
    <w:p w14:paraId="5765A319" w14:textId="77777777" w:rsidR="00717A16" w:rsidRPr="00B86130" w:rsidRDefault="00717A16">
      <w:pPr>
        <w:widowControl w:val="0"/>
        <w:rPr>
          <w:szCs w:val="22"/>
        </w:rPr>
      </w:pPr>
    </w:p>
    <w:p w14:paraId="712ED756" w14:textId="77777777" w:rsidR="00717A16" w:rsidRPr="00B86130" w:rsidRDefault="00717A16">
      <w:pPr>
        <w:widowControl w:val="0"/>
        <w:rPr>
          <w:szCs w:val="22"/>
        </w:rPr>
      </w:pPr>
    </w:p>
    <w:p w14:paraId="2D07F59B" w14:textId="77777777" w:rsidR="00717A16" w:rsidRPr="00B86130" w:rsidRDefault="00157A56">
      <w:pPr>
        <w:keepLines/>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lastRenderedPageBreak/>
        <w:t>10.</w:t>
      </w:r>
      <w:r w:rsidRPr="00B86130">
        <w:rPr>
          <w:b/>
          <w:szCs w:val="22"/>
        </w:rPr>
        <w:tab/>
        <w:t>PRECAUZIONI PARTICOLARI PER LO SMALTIMENTO DEL MEDICINALE NON UTILIZZATO O DEI RIFIUTI DERIVATI DA TALE MEDICINALE, SE NECESSARIO</w:t>
      </w:r>
    </w:p>
    <w:p w14:paraId="2565FC6C" w14:textId="77777777" w:rsidR="00717A16" w:rsidRPr="00B86130" w:rsidRDefault="00717A16">
      <w:pPr>
        <w:widowControl w:val="0"/>
        <w:rPr>
          <w:szCs w:val="22"/>
        </w:rPr>
      </w:pPr>
    </w:p>
    <w:p w14:paraId="54918F27" w14:textId="77777777" w:rsidR="00717A16" w:rsidRPr="00B86130" w:rsidRDefault="00717A16">
      <w:pPr>
        <w:widowControl w:val="0"/>
        <w:rPr>
          <w:szCs w:val="22"/>
        </w:rPr>
      </w:pPr>
    </w:p>
    <w:p w14:paraId="6F2DB5CA"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11.</w:t>
      </w:r>
      <w:r w:rsidRPr="00B86130">
        <w:rPr>
          <w:b/>
          <w:szCs w:val="22"/>
        </w:rPr>
        <w:tab/>
        <w:t>NOME E INDIRIZZO DEL TITOLARE DELL’AUTORIZZAZIONE ALL’IMMISSIONE IN COMMERCIO</w:t>
      </w:r>
    </w:p>
    <w:p w14:paraId="47A3F26E" w14:textId="77777777" w:rsidR="00717A16" w:rsidRPr="00B86130" w:rsidRDefault="00717A16">
      <w:pPr>
        <w:widowControl w:val="0"/>
        <w:rPr>
          <w:szCs w:val="22"/>
        </w:rPr>
      </w:pPr>
    </w:p>
    <w:p w14:paraId="5A85056F" w14:textId="77777777" w:rsidR="006002FB" w:rsidRPr="00A61F9B" w:rsidRDefault="006002FB" w:rsidP="006002FB">
      <w:pPr>
        <w:keepNext/>
        <w:rPr>
          <w:szCs w:val="22"/>
          <w:lang w:val="en-GB"/>
        </w:rPr>
      </w:pPr>
      <w:r w:rsidRPr="00A61F9B">
        <w:rPr>
          <w:szCs w:val="22"/>
          <w:lang w:val="en-GB"/>
        </w:rPr>
        <w:t>Accord Healthcare S.L.U.</w:t>
      </w:r>
    </w:p>
    <w:p w14:paraId="3C2E4BE4" w14:textId="77777777" w:rsidR="006002FB" w:rsidRPr="00E91670" w:rsidRDefault="006002FB" w:rsidP="006002FB">
      <w:pPr>
        <w:rPr>
          <w:szCs w:val="22"/>
          <w:lang w:val="es-ES_tradnl"/>
        </w:rPr>
      </w:pPr>
      <w:r w:rsidRPr="00E91670">
        <w:rPr>
          <w:szCs w:val="22"/>
          <w:lang w:val="es-ES_tradnl"/>
        </w:rPr>
        <w:t>World Trade Center, Moll de Barcelona, s/n,</w:t>
      </w:r>
    </w:p>
    <w:p w14:paraId="57223821" w14:textId="77777777" w:rsidR="006002FB" w:rsidRPr="00E91670" w:rsidRDefault="006002FB" w:rsidP="006002FB">
      <w:pPr>
        <w:rPr>
          <w:szCs w:val="22"/>
          <w:lang w:val="es-ES_tradnl"/>
        </w:rPr>
      </w:pPr>
      <w:r w:rsidRPr="00E91670">
        <w:rPr>
          <w:szCs w:val="22"/>
          <w:lang w:val="es-ES_tradnl"/>
        </w:rPr>
        <w:t>Edifici Est, 6</w:t>
      </w:r>
      <w:r w:rsidRPr="00E91670">
        <w:rPr>
          <w:szCs w:val="22"/>
          <w:vertAlign w:val="superscript"/>
          <w:lang w:val="es-ES_tradnl"/>
        </w:rPr>
        <w:t>a</w:t>
      </w:r>
      <w:r w:rsidRPr="00E91670">
        <w:rPr>
          <w:szCs w:val="22"/>
          <w:lang w:val="es-ES_tradnl"/>
        </w:rPr>
        <w:t xml:space="preserve"> Planta,</w:t>
      </w:r>
    </w:p>
    <w:p w14:paraId="56D01CB5" w14:textId="1CBEE6B7" w:rsidR="006002FB" w:rsidRPr="00E91670" w:rsidRDefault="006002FB" w:rsidP="006002FB">
      <w:pPr>
        <w:rPr>
          <w:szCs w:val="22"/>
          <w:lang w:val="es-ES_tradnl"/>
        </w:rPr>
      </w:pPr>
      <w:r w:rsidRPr="00E91670">
        <w:rPr>
          <w:szCs w:val="22"/>
          <w:lang w:val="es-ES_tradnl"/>
        </w:rPr>
        <w:t>08039 Barcellona,</w:t>
      </w:r>
    </w:p>
    <w:p w14:paraId="08EA39FA" w14:textId="37405E1A" w:rsidR="006002FB" w:rsidRPr="00B86130" w:rsidRDefault="006002FB" w:rsidP="006002FB">
      <w:pPr>
        <w:rPr>
          <w:szCs w:val="22"/>
        </w:rPr>
      </w:pPr>
      <w:r w:rsidRPr="00B86130">
        <w:rPr>
          <w:szCs w:val="22"/>
        </w:rPr>
        <w:t>Spagna</w:t>
      </w:r>
    </w:p>
    <w:p w14:paraId="0B5A6A90" w14:textId="77777777" w:rsidR="00717A16" w:rsidRPr="00B86130" w:rsidRDefault="00717A16">
      <w:pPr>
        <w:widowControl w:val="0"/>
        <w:rPr>
          <w:szCs w:val="22"/>
        </w:rPr>
      </w:pPr>
    </w:p>
    <w:p w14:paraId="26B6C991" w14:textId="77777777" w:rsidR="00717A16" w:rsidRPr="00B86130" w:rsidRDefault="00717A16">
      <w:pPr>
        <w:widowControl w:val="0"/>
        <w:rPr>
          <w:szCs w:val="22"/>
        </w:rPr>
      </w:pPr>
    </w:p>
    <w:p w14:paraId="4D5F7C71"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12.</w:t>
      </w:r>
      <w:r w:rsidRPr="00B86130">
        <w:rPr>
          <w:b/>
          <w:szCs w:val="22"/>
        </w:rPr>
        <w:tab/>
        <w:t>NUMERO(I) DELL’AUTORIZZAZIONE ALL’IMMISSIONE IN COMMERCIO</w:t>
      </w:r>
    </w:p>
    <w:p w14:paraId="6335E0CD" w14:textId="77777777" w:rsidR="00717A16" w:rsidRPr="00B86130" w:rsidRDefault="00717A16">
      <w:pPr>
        <w:widowControl w:val="0"/>
        <w:rPr>
          <w:szCs w:val="22"/>
        </w:rPr>
      </w:pPr>
    </w:p>
    <w:p w14:paraId="031CA6FD" w14:textId="076A12A5" w:rsidR="00100121" w:rsidRPr="00E91670" w:rsidRDefault="00100121" w:rsidP="00100121">
      <w:pPr>
        <w:rPr>
          <w:lang w:val="es-ES_tradnl"/>
        </w:rPr>
      </w:pPr>
      <w:r w:rsidRPr="00E91670">
        <w:rPr>
          <w:lang w:val="es-ES_tradnl"/>
        </w:rPr>
        <w:t>EU/1/</w:t>
      </w:r>
      <w:r w:rsidR="00D6378E" w:rsidRPr="00E91670">
        <w:rPr>
          <w:lang w:val="es-ES_tradnl"/>
        </w:rPr>
        <w:t>24/1811/003</w:t>
      </w:r>
    </w:p>
    <w:p w14:paraId="37764124" w14:textId="14EB9BC1" w:rsidR="00D6378E" w:rsidRPr="00E91670" w:rsidRDefault="00100121" w:rsidP="008262DF">
      <w:pPr>
        <w:rPr>
          <w:lang w:val="es-ES_tradnl"/>
        </w:rPr>
      </w:pPr>
      <w:r w:rsidRPr="00E91670">
        <w:rPr>
          <w:lang w:val="es-ES_tradnl"/>
        </w:rPr>
        <w:t>EU/1/</w:t>
      </w:r>
      <w:r w:rsidR="00D6378E" w:rsidRPr="00E91670">
        <w:rPr>
          <w:lang w:val="es-ES_tradnl"/>
        </w:rPr>
        <w:t>24/1811/004</w:t>
      </w:r>
    </w:p>
    <w:p w14:paraId="4EADE176" w14:textId="77777777" w:rsidR="00D6378E" w:rsidRPr="00E91670" w:rsidRDefault="00D6378E" w:rsidP="00D6378E">
      <w:pPr>
        <w:rPr>
          <w:lang w:val="es-ES_tradnl"/>
        </w:rPr>
      </w:pPr>
      <w:r w:rsidRPr="00E91670">
        <w:rPr>
          <w:lang w:val="es-ES_tradnl"/>
        </w:rPr>
        <w:t>EU/1/24/1811/005</w:t>
      </w:r>
    </w:p>
    <w:p w14:paraId="7D3EEE9B" w14:textId="7FAF4E78" w:rsidR="00100121" w:rsidRPr="00E91670" w:rsidRDefault="00D6378E" w:rsidP="00D6378E">
      <w:pPr>
        <w:rPr>
          <w:lang w:val="es-ES_tradnl"/>
        </w:rPr>
      </w:pPr>
      <w:r w:rsidRPr="00E91670">
        <w:rPr>
          <w:lang w:val="es-ES_tradnl"/>
        </w:rPr>
        <w:t>EU/1/24/1811/006</w:t>
      </w:r>
    </w:p>
    <w:p w14:paraId="08DE544C" w14:textId="77777777" w:rsidR="00717A16" w:rsidRPr="00E91670" w:rsidRDefault="00717A16">
      <w:pPr>
        <w:widowControl w:val="0"/>
        <w:rPr>
          <w:szCs w:val="22"/>
          <w:lang w:val="es-ES_tradnl"/>
        </w:rPr>
      </w:pPr>
    </w:p>
    <w:p w14:paraId="54549C82" w14:textId="77777777" w:rsidR="00717A16" w:rsidRPr="00E91670" w:rsidRDefault="00717A16">
      <w:pPr>
        <w:widowControl w:val="0"/>
        <w:rPr>
          <w:szCs w:val="22"/>
          <w:lang w:val="es-ES_tradnl"/>
        </w:rPr>
      </w:pPr>
    </w:p>
    <w:p w14:paraId="4D050A35" w14:textId="77777777" w:rsidR="00717A16" w:rsidRPr="00E9167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lang w:val="es-ES_tradnl"/>
        </w:rPr>
      </w:pPr>
      <w:r w:rsidRPr="00E91670">
        <w:rPr>
          <w:b/>
          <w:szCs w:val="22"/>
          <w:lang w:val="es-ES_tradnl"/>
        </w:rPr>
        <w:t>13.</w:t>
      </w:r>
      <w:r w:rsidRPr="00E91670">
        <w:rPr>
          <w:b/>
          <w:szCs w:val="22"/>
          <w:lang w:val="es-ES_tradnl"/>
        </w:rPr>
        <w:tab/>
        <w:t>NUMERO DI LOTTO</w:t>
      </w:r>
    </w:p>
    <w:p w14:paraId="55656B12" w14:textId="77777777" w:rsidR="00717A16" w:rsidRPr="00E91670" w:rsidRDefault="00717A16">
      <w:pPr>
        <w:widowControl w:val="0"/>
        <w:rPr>
          <w:szCs w:val="22"/>
          <w:lang w:val="es-ES_tradnl"/>
        </w:rPr>
      </w:pPr>
    </w:p>
    <w:p w14:paraId="2EC966E2" w14:textId="77777777" w:rsidR="00717A16" w:rsidRPr="00B86130" w:rsidRDefault="00157A56">
      <w:pPr>
        <w:widowControl w:val="0"/>
        <w:rPr>
          <w:szCs w:val="22"/>
        </w:rPr>
      </w:pPr>
      <w:r w:rsidRPr="00B86130">
        <w:rPr>
          <w:szCs w:val="22"/>
        </w:rPr>
        <w:t>Lotto</w:t>
      </w:r>
    </w:p>
    <w:p w14:paraId="7F7CC1AB" w14:textId="77777777" w:rsidR="00717A16" w:rsidRPr="00B86130" w:rsidRDefault="00717A16">
      <w:pPr>
        <w:widowControl w:val="0"/>
        <w:rPr>
          <w:szCs w:val="22"/>
        </w:rPr>
      </w:pPr>
    </w:p>
    <w:p w14:paraId="701EA797" w14:textId="77777777" w:rsidR="00717A16" w:rsidRPr="00B86130" w:rsidRDefault="00717A16">
      <w:pPr>
        <w:widowControl w:val="0"/>
        <w:rPr>
          <w:szCs w:val="22"/>
        </w:rPr>
      </w:pPr>
    </w:p>
    <w:p w14:paraId="63105067"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14.</w:t>
      </w:r>
      <w:r w:rsidRPr="00B86130">
        <w:rPr>
          <w:b/>
          <w:szCs w:val="22"/>
        </w:rPr>
        <w:tab/>
        <w:t>CONDIZIONE GENERALE DI FORNITURA</w:t>
      </w:r>
    </w:p>
    <w:p w14:paraId="03E965B3" w14:textId="77777777" w:rsidR="00717A16" w:rsidRPr="00B86130" w:rsidRDefault="00717A16">
      <w:pPr>
        <w:widowControl w:val="0"/>
        <w:rPr>
          <w:szCs w:val="22"/>
        </w:rPr>
      </w:pPr>
    </w:p>
    <w:p w14:paraId="2BEF352F" w14:textId="77777777" w:rsidR="00717A16" w:rsidRPr="00B86130" w:rsidRDefault="00717A16">
      <w:pPr>
        <w:widowControl w:val="0"/>
        <w:rPr>
          <w:szCs w:val="22"/>
        </w:rPr>
      </w:pPr>
    </w:p>
    <w:p w14:paraId="12D8058C"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15.</w:t>
      </w:r>
      <w:r w:rsidRPr="00B86130">
        <w:rPr>
          <w:b/>
          <w:szCs w:val="22"/>
        </w:rPr>
        <w:tab/>
        <w:t>ISTRUZIONI PER L’USO</w:t>
      </w:r>
    </w:p>
    <w:p w14:paraId="04598B8D" w14:textId="77777777" w:rsidR="00717A16" w:rsidRPr="00B86130" w:rsidRDefault="00717A16">
      <w:pPr>
        <w:widowControl w:val="0"/>
        <w:rPr>
          <w:szCs w:val="22"/>
        </w:rPr>
      </w:pPr>
    </w:p>
    <w:p w14:paraId="7A4B62D5" w14:textId="77777777" w:rsidR="00717A16" w:rsidRPr="00B86130" w:rsidRDefault="00717A16">
      <w:pPr>
        <w:widowControl w:val="0"/>
        <w:rPr>
          <w:szCs w:val="22"/>
        </w:rPr>
      </w:pPr>
    </w:p>
    <w:p w14:paraId="391B7193"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16.</w:t>
      </w:r>
      <w:r w:rsidRPr="00B86130">
        <w:rPr>
          <w:b/>
          <w:szCs w:val="22"/>
        </w:rPr>
        <w:tab/>
        <w:t>INFORMAZIONI IN BRAILLE</w:t>
      </w:r>
    </w:p>
    <w:p w14:paraId="6CE0F954" w14:textId="77777777" w:rsidR="00717A16" w:rsidRPr="00B86130" w:rsidRDefault="00717A16">
      <w:pPr>
        <w:widowControl w:val="0"/>
        <w:rPr>
          <w:szCs w:val="22"/>
        </w:rPr>
      </w:pPr>
    </w:p>
    <w:p w14:paraId="0DC9FF0F" w14:textId="684DD23C" w:rsidR="00717A16" w:rsidRPr="00B86130" w:rsidRDefault="00C934D8">
      <w:r w:rsidRPr="00B86130">
        <w:rPr>
          <w:szCs w:val="22"/>
        </w:rPr>
        <w:t>Dimetilfumarato</w:t>
      </w:r>
      <w:r w:rsidRPr="00B86130" w:rsidDel="00C934D8">
        <w:rPr>
          <w:szCs w:val="22"/>
        </w:rPr>
        <w:t xml:space="preserve"> </w:t>
      </w:r>
      <w:r w:rsidR="006002FB" w:rsidRPr="00B86130">
        <w:rPr>
          <w:szCs w:val="22"/>
        </w:rPr>
        <w:t>Accord</w:t>
      </w:r>
      <w:r w:rsidR="00157A56" w:rsidRPr="00B86130">
        <w:t xml:space="preserve"> 240 mg</w:t>
      </w:r>
    </w:p>
    <w:p w14:paraId="194A9986" w14:textId="77777777" w:rsidR="00717A16" w:rsidRPr="00B86130" w:rsidRDefault="00717A16">
      <w:pPr>
        <w:widowControl w:val="0"/>
        <w:rPr>
          <w:szCs w:val="22"/>
          <w:shd w:val="clear" w:color="auto" w:fill="CCCCCC"/>
        </w:rPr>
      </w:pPr>
    </w:p>
    <w:p w14:paraId="5DF0708F" w14:textId="77777777" w:rsidR="00717A16" w:rsidRPr="00B86130" w:rsidRDefault="00717A16">
      <w:pPr>
        <w:rPr>
          <w:color w:val="000000"/>
          <w:szCs w:val="22"/>
          <w:shd w:val="clear" w:color="auto" w:fill="CCCCCC"/>
        </w:rPr>
      </w:pPr>
    </w:p>
    <w:p w14:paraId="6C1B17B5" w14:textId="77777777" w:rsidR="00717A16" w:rsidRPr="00B86130" w:rsidRDefault="00157A56">
      <w:pPr>
        <w:keepNext/>
        <w:pBdr>
          <w:top w:val="single" w:sz="4" w:space="1" w:color="auto"/>
          <w:left w:val="single" w:sz="4" w:space="4" w:color="auto"/>
          <w:bottom w:val="single" w:sz="4" w:space="0" w:color="auto"/>
          <w:right w:val="single" w:sz="4" w:space="4" w:color="auto"/>
        </w:pBdr>
        <w:tabs>
          <w:tab w:val="clear" w:pos="567"/>
        </w:tabs>
        <w:rPr>
          <w:i/>
          <w:color w:val="000000"/>
          <w:szCs w:val="22"/>
        </w:rPr>
      </w:pPr>
      <w:r w:rsidRPr="00B86130">
        <w:rPr>
          <w:b/>
          <w:color w:val="000000"/>
          <w:szCs w:val="22"/>
        </w:rPr>
        <w:t>17.</w:t>
      </w:r>
      <w:r w:rsidRPr="00B86130">
        <w:rPr>
          <w:b/>
          <w:color w:val="000000"/>
          <w:szCs w:val="22"/>
        </w:rPr>
        <w:tab/>
        <w:t>IDENTIFICATIVO UNICO – CODICE A BARRE BIDIMENSIONALE</w:t>
      </w:r>
    </w:p>
    <w:p w14:paraId="66695AF6" w14:textId="77777777" w:rsidR="00717A16" w:rsidRPr="00B86130" w:rsidRDefault="00717A16">
      <w:pPr>
        <w:keepNext/>
        <w:tabs>
          <w:tab w:val="clear" w:pos="567"/>
        </w:tabs>
        <w:rPr>
          <w:color w:val="000000"/>
          <w:szCs w:val="22"/>
        </w:rPr>
      </w:pPr>
    </w:p>
    <w:p w14:paraId="72D371E5" w14:textId="77777777" w:rsidR="00717A16" w:rsidRPr="00B86130" w:rsidRDefault="00157A56">
      <w:pPr>
        <w:rPr>
          <w:color w:val="000000"/>
          <w:szCs w:val="22"/>
          <w:shd w:val="clear" w:color="auto" w:fill="CCCCCC"/>
        </w:rPr>
      </w:pPr>
      <w:r w:rsidRPr="00B86130">
        <w:rPr>
          <w:color w:val="000000"/>
          <w:szCs w:val="22"/>
          <w:highlight w:val="lightGray"/>
        </w:rPr>
        <w:t>Codice a barre bidimensionale con identificativo unico incluso.</w:t>
      </w:r>
    </w:p>
    <w:p w14:paraId="34C558ED" w14:textId="77777777" w:rsidR="00717A16" w:rsidRPr="00B86130" w:rsidRDefault="00717A16">
      <w:pPr>
        <w:rPr>
          <w:color w:val="000000"/>
          <w:szCs w:val="22"/>
          <w:shd w:val="clear" w:color="auto" w:fill="CCCCCC"/>
        </w:rPr>
      </w:pPr>
    </w:p>
    <w:p w14:paraId="11F143F5" w14:textId="77777777" w:rsidR="00717A16" w:rsidRPr="00B86130" w:rsidRDefault="00717A16">
      <w:pPr>
        <w:tabs>
          <w:tab w:val="clear" w:pos="567"/>
        </w:tabs>
        <w:rPr>
          <w:vanish/>
          <w:color w:val="000000"/>
          <w:szCs w:val="22"/>
        </w:rPr>
      </w:pPr>
    </w:p>
    <w:p w14:paraId="6FC8C8E5" w14:textId="77777777" w:rsidR="00717A16" w:rsidRPr="00B86130" w:rsidRDefault="00157A56">
      <w:pPr>
        <w:keepNext/>
        <w:pBdr>
          <w:top w:val="single" w:sz="4" w:space="1" w:color="auto"/>
          <w:left w:val="single" w:sz="4" w:space="4" w:color="auto"/>
          <w:bottom w:val="single" w:sz="4" w:space="0" w:color="auto"/>
          <w:right w:val="single" w:sz="4" w:space="4" w:color="auto"/>
        </w:pBdr>
        <w:tabs>
          <w:tab w:val="clear" w:pos="567"/>
        </w:tabs>
        <w:rPr>
          <w:i/>
          <w:color w:val="000000"/>
          <w:szCs w:val="22"/>
        </w:rPr>
      </w:pPr>
      <w:r w:rsidRPr="00B86130">
        <w:rPr>
          <w:b/>
          <w:color w:val="000000"/>
          <w:szCs w:val="22"/>
        </w:rPr>
        <w:t>18.</w:t>
      </w:r>
      <w:r w:rsidRPr="00B86130">
        <w:rPr>
          <w:b/>
          <w:color w:val="000000"/>
          <w:szCs w:val="22"/>
        </w:rPr>
        <w:tab/>
        <w:t>IDENTIFICATIVO UNICO – DATI LEGGIBILI</w:t>
      </w:r>
    </w:p>
    <w:p w14:paraId="04CFF08E" w14:textId="77777777" w:rsidR="00717A16" w:rsidRPr="00B86130" w:rsidRDefault="00717A16">
      <w:pPr>
        <w:keepNext/>
        <w:tabs>
          <w:tab w:val="clear" w:pos="567"/>
        </w:tabs>
        <w:rPr>
          <w:color w:val="000000"/>
          <w:szCs w:val="22"/>
        </w:rPr>
      </w:pPr>
    </w:p>
    <w:p w14:paraId="384C38B3" w14:textId="6A4845A2" w:rsidR="00717A16" w:rsidRPr="00B86130" w:rsidRDefault="00157A56">
      <w:pPr>
        <w:keepNext/>
        <w:rPr>
          <w:color w:val="000000"/>
          <w:szCs w:val="22"/>
        </w:rPr>
      </w:pPr>
      <w:r w:rsidRPr="00B86130">
        <w:rPr>
          <w:color w:val="000000"/>
          <w:szCs w:val="22"/>
        </w:rPr>
        <w:t>PC</w:t>
      </w:r>
    </w:p>
    <w:p w14:paraId="5F27FEF2" w14:textId="71A446E5" w:rsidR="00717A16" w:rsidRPr="00B86130" w:rsidRDefault="00157A56">
      <w:pPr>
        <w:keepNext/>
        <w:rPr>
          <w:color w:val="000000"/>
          <w:szCs w:val="22"/>
        </w:rPr>
      </w:pPr>
      <w:r w:rsidRPr="00B86130">
        <w:rPr>
          <w:color w:val="000000"/>
          <w:szCs w:val="22"/>
        </w:rPr>
        <w:t>SN</w:t>
      </w:r>
    </w:p>
    <w:p w14:paraId="1C6C748A" w14:textId="4640A060" w:rsidR="00717A16" w:rsidRPr="00B86130" w:rsidRDefault="00157A56">
      <w:pPr>
        <w:rPr>
          <w:color w:val="000000"/>
          <w:szCs w:val="22"/>
        </w:rPr>
      </w:pPr>
      <w:r w:rsidRPr="00B86130">
        <w:rPr>
          <w:color w:val="000000"/>
          <w:szCs w:val="22"/>
          <w:highlight w:val="lightGray"/>
        </w:rPr>
        <w:t>NN</w:t>
      </w:r>
    </w:p>
    <w:p w14:paraId="07BF97D2" w14:textId="77777777" w:rsidR="00717A16" w:rsidRPr="00B86130" w:rsidRDefault="00717A16">
      <w:pPr>
        <w:tabs>
          <w:tab w:val="clear" w:pos="567"/>
        </w:tabs>
        <w:rPr>
          <w:vanish/>
          <w:color w:val="000000"/>
          <w:szCs w:val="22"/>
        </w:rPr>
      </w:pPr>
    </w:p>
    <w:p w14:paraId="5C3003EB" w14:textId="77777777" w:rsidR="00717A16" w:rsidRPr="00B86130" w:rsidRDefault="00717A16">
      <w:pPr>
        <w:widowControl w:val="0"/>
        <w:rPr>
          <w:szCs w:val="22"/>
          <w:shd w:val="clear" w:color="auto" w:fill="CCCCCC"/>
        </w:rPr>
      </w:pPr>
    </w:p>
    <w:p w14:paraId="391323CA" w14:textId="77777777" w:rsidR="00717A16" w:rsidRPr="00B86130" w:rsidRDefault="00157A56">
      <w:pPr>
        <w:widowControl w:val="0"/>
        <w:rPr>
          <w:b/>
          <w:szCs w:val="22"/>
          <w:shd w:val="clear" w:color="auto" w:fill="CCCCCC"/>
        </w:rPr>
      </w:pPr>
      <w:r w:rsidRPr="00B86130">
        <w:rPr>
          <w:szCs w:val="22"/>
          <w:shd w:val="clear" w:color="auto" w:fill="CCCCCC"/>
        </w:rPr>
        <w:br w:type="page"/>
      </w:r>
    </w:p>
    <w:p w14:paraId="2E50D8EC" w14:textId="77777777" w:rsidR="00717A16" w:rsidRPr="00B86130" w:rsidRDefault="00157A56">
      <w:pPr>
        <w:widowControl w:val="0"/>
        <w:pBdr>
          <w:top w:val="single" w:sz="4" w:space="1" w:color="000000"/>
          <w:left w:val="single" w:sz="4" w:space="4" w:color="000000"/>
          <w:right w:val="single" w:sz="4" w:space="4" w:color="000000"/>
        </w:pBdr>
        <w:ind w:left="567" w:hanging="567"/>
        <w:rPr>
          <w:b/>
          <w:szCs w:val="22"/>
        </w:rPr>
      </w:pPr>
      <w:r w:rsidRPr="00B86130">
        <w:rPr>
          <w:b/>
          <w:szCs w:val="22"/>
        </w:rPr>
        <w:lastRenderedPageBreak/>
        <w:t>INFORMAZIONI MINIME DA APPORRE SU BLISTER O STRIP</w:t>
      </w:r>
    </w:p>
    <w:p w14:paraId="6E9E95B8" w14:textId="77777777" w:rsidR="00717A16" w:rsidRPr="00B86130" w:rsidRDefault="00717A16">
      <w:pPr>
        <w:widowControl w:val="0"/>
        <w:pBdr>
          <w:left w:val="single" w:sz="4" w:space="4" w:color="000000"/>
          <w:bottom w:val="single" w:sz="4" w:space="1" w:color="000000"/>
          <w:right w:val="single" w:sz="4" w:space="4" w:color="000000"/>
        </w:pBdr>
        <w:ind w:left="567" w:hanging="567"/>
        <w:rPr>
          <w:b/>
          <w:szCs w:val="22"/>
        </w:rPr>
      </w:pPr>
    </w:p>
    <w:p w14:paraId="54E2B8B1" w14:textId="71CB8B0A" w:rsidR="00717A16" w:rsidRPr="00B86130" w:rsidRDefault="00157A56">
      <w:pPr>
        <w:widowControl w:val="0"/>
        <w:pBdr>
          <w:left w:val="single" w:sz="4" w:space="4" w:color="000000"/>
          <w:bottom w:val="single" w:sz="4" w:space="1" w:color="000000"/>
          <w:right w:val="single" w:sz="4" w:space="4" w:color="000000"/>
        </w:pBdr>
        <w:ind w:left="567" w:hanging="567"/>
        <w:rPr>
          <w:b/>
          <w:szCs w:val="22"/>
        </w:rPr>
      </w:pPr>
      <w:r w:rsidRPr="00B86130">
        <w:rPr>
          <w:b/>
          <w:szCs w:val="22"/>
        </w:rPr>
        <w:t xml:space="preserve">BLISTER </w:t>
      </w:r>
      <w:r w:rsidR="006002FB" w:rsidRPr="00B86130">
        <w:rPr>
          <w:b/>
          <w:szCs w:val="22"/>
        </w:rPr>
        <w:t>PVC/PE/PVDC-ALU</w:t>
      </w:r>
    </w:p>
    <w:p w14:paraId="18D43A17" w14:textId="77777777" w:rsidR="00717A16" w:rsidRPr="00B86130" w:rsidRDefault="00717A16">
      <w:pPr>
        <w:widowControl w:val="0"/>
        <w:rPr>
          <w:szCs w:val="22"/>
        </w:rPr>
      </w:pPr>
    </w:p>
    <w:p w14:paraId="20C54B64" w14:textId="77777777" w:rsidR="00717A16" w:rsidRPr="00B86130" w:rsidRDefault="00717A16">
      <w:pPr>
        <w:widowControl w:val="0"/>
        <w:rPr>
          <w:szCs w:val="22"/>
        </w:rPr>
      </w:pPr>
    </w:p>
    <w:p w14:paraId="4BE9F64C"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1.</w:t>
      </w:r>
      <w:r w:rsidRPr="00B86130">
        <w:rPr>
          <w:b/>
          <w:szCs w:val="22"/>
        </w:rPr>
        <w:tab/>
        <w:t>DENOMINAZIONE DEL MEDICINALE</w:t>
      </w:r>
    </w:p>
    <w:p w14:paraId="699A9993" w14:textId="77777777" w:rsidR="00717A16" w:rsidRPr="00B86130" w:rsidRDefault="00717A16">
      <w:pPr>
        <w:widowControl w:val="0"/>
        <w:rPr>
          <w:szCs w:val="22"/>
        </w:rPr>
      </w:pPr>
    </w:p>
    <w:p w14:paraId="6B027FAE" w14:textId="0C872F47" w:rsidR="00717A16" w:rsidRPr="00B86130" w:rsidRDefault="00C934D8">
      <w:r w:rsidRPr="00B86130">
        <w:rPr>
          <w:szCs w:val="22"/>
        </w:rPr>
        <w:t>Dimetilfumarato</w:t>
      </w:r>
      <w:r w:rsidRPr="00B86130" w:rsidDel="00C934D8">
        <w:rPr>
          <w:szCs w:val="22"/>
        </w:rPr>
        <w:t xml:space="preserve"> </w:t>
      </w:r>
      <w:r w:rsidR="00BA272B" w:rsidRPr="00B86130">
        <w:rPr>
          <w:szCs w:val="22"/>
        </w:rPr>
        <w:t xml:space="preserve">Accord </w:t>
      </w:r>
      <w:r w:rsidR="00157A56" w:rsidRPr="00B86130">
        <w:t>240</w:t>
      </w:r>
      <w:r w:rsidR="0086307D" w:rsidRPr="00B86130">
        <w:t> </w:t>
      </w:r>
      <w:r w:rsidR="00157A56" w:rsidRPr="00B86130">
        <w:t>mg capsule gastroresistenti</w:t>
      </w:r>
    </w:p>
    <w:p w14:paraId="0A03BE7D" w14:textId="77777777" w:rsidR="00100121" w:rsidRPr="00B86130" w:rsidRDefault="00100121">
      <w:pPr>
        <w:widowControl w:val="0"/>
        <w:rPr>
          <w:szCs w:val="22"/>
        </w:rPr>
      </w:pPr>
    </w:p>
    <w:p w14:paraId="59E929E6" w14:textId="7389D6D6" w:rsidR="00717A16" w:rsidRPr="00B86130" w:rsidRDefault="00157A56">
      <w:pPr>
        <w:widowControl w:val="0"/>
        <w:rPr>
          <w:szCs w:val="22"/>
        </w:rPr>
      </w:pPr>
      <w:r w:rsidRPr="00246B12">
        <w:rPr>
          <w:szCs w:val="22"/>
          <w:highlight w:val="lightGray"/>
        </w:rPr>
        <w:t>dimetilfumarato</w:t>
      </w:r>
    </w:p>
    <w:p w14:paraId="60F947C6" w14:textId="77777777" w:rsidR="00717A16" w:rsidRPr="00B86130" w:rsidRDefault="00717A16">
      <w:pPr>
        <w:widowControl w:val="0"/>
        <w:rPr>
          <w:szCs w:val="22"/>
        </w:rPr>
      </w:pPr>
    </w:p>
    <w:p w14:paraId="5643745C" w14:textId="77777777" w:rsidR="00717A16" w:rsidRPr="00B86130" w:rsidRDefault="00717A16">
      <w:pPr>
        <w:widowControl w:val="0"/>
        <w:rPr>
          <w:szCs w:val="22"/>
        </w:rPr>
      </w:pPr>
    </w:p>
    <w:p w14:paraId="74D3C9CE"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ind w:left="567" w:hanging="567"/>
        <w:rPr>
          <w:b/>
          <w:szCs w:val="22"/>
        </w:rPr>
      </w:pPr>
      <w:r w:rsidRPr="00B86130">
        <w:rPr>
          <w:b/>
          <w:szCs w:val="22"/>
        </w:rPr>
        <w:t>2.</w:t>
      </w:r>
      <w:r w:rsidRPr="00B86130">
        <w:rPr>
          <w:b/>
          <w:szCs w:val="22"/>
        </w:rPr>
        <w:tab/>
        <w:t>NOME DEL TITOLARE DELL’AUTORIZZAZIONE ALL’IMMISSIONE IN COMMERCIO</w:t>
      </w:r>
    </w:p>
    <w:p w14:paraId="7BF1E29C" w14:textId="77777777" w:rsidR="00717A16" w:rsidRPr="00B86130" w:rsidRDefault="00717A16">
      <w:pPr>
        <w:widowControl w:val="0"/>
        <w:rPr>
          <w:szCs w:val="22"/>
        </w:rPr>
      </w:pPr>
    </w:p>
    <w:p w14:paraId="57F8CEAF" w14:textId="16955526" w:rsidR="00717A16" w:rsidRPr="00B86130" w:rsidRDefault="00717A16">
      <w:pPr>
        <w:widowControl w:val="0"/>
        <w:rPr>
          <w:vanish/>
          <w:szCs w:val="22"/>
        </w:rPr>
      </w:pPr>
    </w:p>
    <w:p w14:paraId="2355F6E8" w14:textId="67E1C186" w:rsidR="00717A16" w:rsidRPr="00B86130" w:rsidRDefault="00BA272B">
      <w:pPr>
        <w:widowControl w:val="0"/>
        <w:rPr>
          <w:szCs w:val="22"/>
        </w:rPr>
      </w:pPr>
      <w:r w:rsidRPr="00B86130">
        <w:rPr>
          <w:szCs w:val="22"/>
          <w:highlight w:val="lightGray"/>
        </w:rPr>
        <w:t>Accord</w:t>
      </w:r>
    </w:p>
    <w:p w14:paraId="33EDE8CA" w14:textId="77777777" w:rsidR="00717A16" w:rsidRPr="00B86130" w:rsidRDefault="00717A16">
      <w:pPr>
        <w:widowControl w:val="0"/>
        <w:rPr>
          <w:szCs w:val="22"/>
        </w:rPr>
      </w:pPr>
    </w:p>
    <w:p w14:paraId="4908644D" w14:textId="77777777" w:rsidR="00717A16" w:rsidRPr="00B86130" w:rsidRDefault="00157A56">
      <w:pPr>
        <w:widowControl w:val="0"/>
        <w:pBdr>
          <w:top w:val="single" w:sz="4" w:space="1" w:color="000000"/>
          <w:left w:val="single" w:sz="4" w:space="4" w:color="000000"/>
          <w:bottom w:val="single" w:sz="4" w:space="2" w:color="000000"/>
          <w:right w:val="single" w:sz="4" w:space="4" w:color="000000"/>
        </w:pBdr>
        <w:rPr>
          <w:b/>
          <w:szCs w:val="22"/>
        </w:rPr>
      </w:pPr>
      <w:r w:rsidRPr="00B86130">
        <w:rPr>
          <w:b/>
          <w:szCs w:val="22"/>
        </w:rPr>
        <w:t>3.</w:t>
      </w:r>
      <w:r w:rsidRPr="00B86130">
        <w:rPr>
          <w:b/>
          <w:szCs w:val="22"/>
        </w:rPr>
        <w:tab/>
        <w:t>DATA DI SCADENZA</w:t>
      </w:r>
    </w:p>
    <w:p w14:paraId="61FCAC6C" w14:textId="77777777" w:rsidR="00717A16" w:rsidRPr="00B86130" w:rsidRDefault="00717A16">
      <w:pPr>
        <w:widowControl w:val="0"/>
        <w:rPr>
          <w:szCs w:val="22"/>
        </w:rPr>
      </w:pPr>
    </w:p>
    <w:p w14:paraId="356F8BE5" w14:textId="77777777" w:rsidR="00717A16" w:rsidRPr="00B86130" w:rsidRDefault="00157A56">
      <w:pPr>
        <w:widowControl w:val="0"/>
        <w:rPr>
          <w:szCs w:val="22"/>
        </w:rPr>
      </w:pPr>
      <w:r w:rsidRPr="00B86130">
        <w:rPr>
          <w:szCs w:val="22"/>
        </w:rPr>
        <w:t>EXP</w:t>
      </w:r>
    </w:p>
    <w:p w14:paraId="13568FCF" w14:textId="77777777" w:rsidR="00717A16" w:rsidRPr="00B86130" w:rsidRDefault="00717A16">
      <w:pPr>
        <w:widowControl w:val="0"/>
        <w:rPr>
          <w:szCs w:val="22"/>
        </w:rPr>
      </w:pPr>
    </w:p>
    <w:p w14:paraId="7AD7B3D7" w14:textId="77777777" w:rsidR="00717A16" w:rsidRPr="00B86130" w:rsidRDefault="00717A16">
      <w:pPr>
        <w:widowControl w:val="0"/>
        <w:rPr>
          <w:szCs w:val="22"/>
        </w:rPr>
      </w:pPr>
    </w:p>
    <w:p w14:paraId="401B2F6C"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4.</w:t>
      </w:r>
      <w:r w:rsidRPr="00B86130">
        <w:rPr>
          <w:b/>
          <w:szCs w:val="22"/>
        </w:rPr>
        <w:tab/>
        <w:t>NUMERO DI LOTTO</w:t>
      </w:r>
    </w:p>
    <w:p w14:paraId="6DF726DC" w14:textId="77777777" w:rsidR="00717A16" w:rsidRPr="00B86130" w:rsidRDefault="00717A16">
      <w:pPr>
        <w:widowControl w:val="0"/>
        <w:rPr>
          <w:szCs w:val="22"/>
        </w:rPr>
      </w:pPr>
    </w:p>
    <w:p w14:paraId="3D9AC3F4" w14:textId="77777777" w:rsidR="00717A16" w:rsidRPr="00B86130" w:rsidRDefault="00157A56">
      <w:pPr>
        <w:widowControl w:val="0"/>
        <w:rPr>
          <w:szCs w:val="22"/>
        </w:rPr>
      </w:pPr>
      <w:r w:rsidRPr="00B86130">
        <w:rPr>
          <w:szCs w:val="22"/>
        </w:rPr>
        <w:t>Lot</w:t>
      </w:r>
    </w:p>
    <w:p w14:paraId="755C2F32" w14:textId="77777777" w:rsidR="00717A16" w:rsidRPr="00B86130" w:rsidRDefault="00717A16">
      <w:pPr>
        <w:widowControl w:val="0"/>
        <w:rPr>
          <w:szCs w:val="22"/>
        </w:rPr>
      </w:pPr>
    </w:p>
    <w:p w14:paraId="6C8B7CE9" w14:textId="77777777" w:rsidR="00717A16" w:rsidRPr="00B86130" w:rsidRDefault="00717A16">
      <w:pPr>
        <w:widowControl w:val="0"/>
        <w:rPr>
          <w:szCs w:val="22"/>
        </w:rPr>
      </w:pPr>
    </w:p>
    <w:p w14:paraId="3E43D847" w14:textId="77777777" w:rsidR="00717A16" w:rsidRPr="00B86130" w:rsidRDefault="00157A56">
      <w:pPr>
        <w:widowControl w:val="0"/>
        <w:pBdr>
          <w:top w:val="single" w:sz="4" w:space="1" w:color="000000"/>
          <w:left w:val="single" w:sz="4" w:space="4" w:color="000000"/>
          <w:bottom w:val="single" w:sz="4" w:space="1" w:color="000000"/>
          <w:right w:val="single" w:sz="4" w:space="4" w:color="000000"/>
        </w:pBdr>
        <w:rPr>
          <w:b/>
          <w:szCs w:val="22"/>
        </w:rPr>
      </w:pPr>
      <w:r w:rsidRPr="00B86130">
        <w:rPr>
          <w:b/>
          <w:szCs w:val="22"/>
        </w:rPr>
        <w:t>5.</w:t>
      </w:r>
      <w:r w:rsidRPr="00B86130">
        <w:rPr>
          <w:b/>
          <w:szCs w:val="22"/>
        </w:rPr>
        <w:tab/>
        <w:t>ALTRO</w:t>
      </w:r>
    </w:p>
    <w:p w14:paraId="4BCCE958" w14:textId="77777777" w:rsidR="00717A16" w:rsidRPr="00B86130" w:rsidRDefault="00717A16">
      <w:pPr>
        <w:widowControl w:val="0"/>
        <w:rPr>
          <w:szCs w:val="22"/>
        </w:rPr>
      </w:pPr>
    </w:p>
    <w:p w14:paraId="0F20AEBC" w14:textId="3DD911FA" w:rsidR="00717A16" w:rsidRPr="00E91670" w:rsidRDefault="0092164B">
      <w:pPr>
        <w:widowControl w:val="0"/>
        <w:rPr>
          <w:szCs w:val="22"/>
          <w:highlight w:val="lightGray"/>
        </w:rPr>
      </w:pPr>
      <w:r w:rsidRPr="00E91670">
        <w:rPr>
          <w:szCs w:val="22"/>
          <w:highlight w:val="lightGray"/>
        </w:rPr>
        <w:t>Uso orale</w:t>
      </w:r>
    </w:p>
    <w:p w14:paraId="73DC2CFF" w14:textId="77777777" w:rsidR="00717A16" w:rsidRPr="00B86130" w:rsidRDefault="00157A56">
      <w:pPr>
        <w:widowControl w:val="0"/>
        <w:rPr>
          <w:szCs w:val="22"/>
        </w:rPr>
      </w:pPr>
      <w:r w:rsidRPr="00B86130">
        <w:rPr>
          <w:szCs w:val="22"/>
        </w:rPr>
        <w:br w:type="page"/>
      </w:r>
    </w:p>
    <w:p w14:paraId="60B73682" w14:textId="77777777" w:rsidR="00717A16" w:rsidRPr="00B86130" w:rsidRDefault="00717A16">
      <w:pPr>
        <w:widowControl w:val="0"/>
        <w:rPr>
          <w:szCs w:val="22"/>
        </w:rPr>
      </w:pPr>
    </w:p>
    <w:p w14:paraId="6FB30D70" w14:textId="77777777" w:rsidR="00717A16" w:rsidRPr="00B86130" w:rsidRDefault="00717A16">
      <w:pPr>
        <w:widowControl w:val="0"/>
        <w:rPr>
          <w:szCs w:val="22"/>
        </w:rPr>
      </w:pPr>
    </w:p>
    <w:p w14:paraId="43177753" w14:textId="77777777" w:rsidR="00717A16" w:rsidRPr="00B86130" w:rsidRDefault="00717A16">
      <w:pPr>
        <w:widowControl w:val="0"/>
        <w:rPr>
          <w:szCs w:val="22"/>
        </w:rPr>
      </w:pPr>
    </w:p>
    <w:p w14:paraId="76498BE2" w14:textId="77777777" w:rsidR="00717A16" w:rsidRPr="00B86130" w:rsidRDefault="00717A16">
      <w:pPr>
        <w:widowControl w:val="0"/>
        <w:rPr>
          <w:szCs w:val="22"/>
        </w:rPr>
      </w:pPr>
    </w:p>
    <w:p w14:paraId="7E884A0B" w14:textId="77777777" w:rsidR="00717A16" w:rsidRPr="00B86130" w:rsidRDefault="00717A16">
      <w:pPr>
        <w:widowControl w:val="0"/>
        <w:rPr>
          <w:szCs w:val="22"/>
        </w:rPr>
      </w:pPr>
    </w:p>
    <w:p w14:paraId="4D8D8C65" w14:textId="77777777" w:rsidR="00717A16" w:rsidRPr="00B86130" w:rsidRDefault="00717A16">
      <w:pPr>
        <w:widowControl w:val="0"/>
        <w:rPr>
          <w:szCs w:val="22"/>
        </w:rPr>
      </w:pPr>
    </w:p>
    <w:p w14:paraId="4A4FD708" w14:textId="77777777" w:rsidR="00717A16" w:rsidRPr="00B86130" w:rsidRDefault="00717A16">
      <w:pPr>
        <w:widowControl w:val="0"/>
        <w:rPr>
          <w:szCs w:val="22"/>
        </w:rPr>
      </w:pPr>
    </w:p>
    <w:p w14:paraId="73F92DA9" w14:textId="77777777" w:rsidR="00717A16" w:rsidRPr="00B86130" w:rsidRDefault="00717A16">
      <w:pPr>
        <w:widowControl w:val="0"/>
        <w:rPr>
          <w:szCs w:val="22"/>
        </w:rPr>
      </w:pPr>
    </w:p>
    <w:p w14:paraId="3959B1D8" w14:textId="77777777" w:rsidR="00717A16" w:rsidRPr="00B86130" w:rsidRDefault="00717A16">
      <w:pPr>
        <w:widowControl w:val="0"/>
        <w:rPr>
          <w:szCs w:val="22"/>
        </w:rPr>
      </w:pPr>
    </w:p>
    <w:p w14:paraId="41087247" w14:textId="77777777" w:rsidR="00717A16" w:rsidRPr="00B86130" w:rsidRDefault="00717A16">
      <w:pPr>
        <w:widowControl w:val="0"/>
        <w:rPr>
          <w:szCs w:val="22"/>
        </w:rPr>
      </w:pPr>
    </w:p>
    <w:p w14:paraId="7C14DA37" w14:textId="77777777" w:rsidR="00717A16" w:rsidRPr="00B86130" w:rsidRDefault="00717A16">
      <w:pPr>
        <w:widowControl w:val="0"/>
        <w:rPr>
          <w:szCs w:val="22"/>
        </w:rPr>
      </w:pPr>
    </w:p>
    <w:p w14:paraId="47047AAC" w14:textId="77777777" w:rsidR="00717A16" w:rsidRPr="00B86130" w:rsidRDefault="00717A16">
      <w:pPr>
        <w:widowControl w:val="0"/>
        <w:rPr>
          <w:szCs w:val="22"/>
        </w:rPr>
      </w:pPr>
    </w:p>
    <w:p w14:paraId="11E2FAB8" w14:textId="77777777" w:rsidR="00717A16" w:rsidRPr="00B86130" w:rsidRDefault="00717A16">
      <w:pPr>
        <w:widowControl w:val="0"/>
        <w:rPr>
          <w:szCs w:val="22"/>
        </w:rPr>
      </w:pPr>
    </w:p>
    <w:p w14:paraId="4BB91D57" w14:textId="77777777" w:rsidR="00717A16" w:rsidRPr="00B86130" w:rsidRDefault="00717A16">
      <w:pPr>
        <w:widowControl w:val="0"/>
        <w:rPr>
          <w:szCs w:val="22"/>
        </w:rPr>
      </w:pPr>
    </w:p>
    <w:p w14:paraId="17A76ACD" w14:textId="77777777" w:rsidR="00717A16" w:rsidRPr="00B86130" w:rsidRDefault="00717A16">
      <w:pPr>
        <w:widowControl w:val="0"/>
        <w:rPr>
          <w:szCs w:val="22"/>
        </w:rPr>
      </w:pPr>
    </w:p>
    <w:p w14:paraId="0CB8E5EF" w14:textId="77777777" w:rsidR="00717A16" w:rsidRPr="00B86130" w:rsidRDefault="00717A16">
      <w:pPr>
        <w:widowControl w:val="0"/>
        <w:rPr>
          <w:szCs w:val="22"/>
        </w:rPr>
      </w:pPr>
    </w:p>
    <w:p w14:paraId="2C59C2CA" w14:textId="77777777" w:rsidR="00717A16" w:rsidRPr="00B86130" w:rsidRDefault="00717A16">
      <w:pPr>
        <w:widowControl w:val="0"/>
        <w:rPr>
          <w:szCs w:val="22"/>
        </w:rPr>
      </w:pPr>
    </w:p>
    <w:p w14:paraId="0A92855F" w14:textId="77777777" w:rsidR="00717A16" w:rsidRPr="00B86130" w:rsidRDefault="00717A16">
      <w:pPr>
        <w:widowControl w:val="0"/>
        <w:rPr>
          <w:szCs w:val="22"/>
        </w:rPr>
      </w:pPr>
    </w:p>
    <w:p w14:paraId="321333A7" w14:textId="77777777" w:rsidR="00717A16" w:rsidRPr="00B86130" w:rsidRDefault="00717A16">
      <w:pPr>
        <w:widowControl w:val="0"/>
        <w:rPr>
          <w:szCs w:val="22"/>
        </w:rPr>
      </w:pPr>
    </w:p>
    <w:p w14:paraId="25B1529B" w14:textId="77777777" w:rsidR="00717A16" w:rsidRPr="00B86130" w:rsidRDefault="00717A16">
      <w:pPr>
        <w:widowControl w:val="0"/>
        <w:rPr>
          <w:szCs w:val="22"/>
        </w:rPr>
      </w:pPr>
    </w:p>
    <w:p w14:paraId="1EBABBFC" w14:textId="77777777" w:rsidR="00717A16" w:rsidRPr="00B86130" w:rsidRDefault="00717A16">
      <w:pPr>
        <w:widowControl w:val="0"/>
        <w:rPr>
          <w:szCs w:val="22"/>
        </w:rPr>
      </w:pPr>
    </w:p>
    <w:p w14:paraId="7CCA6472" w14:textId="7B2CB410" w:rsidR="00717A16" w:rsidRPr="00B86130" w:rsidRDefault="00717A16">
      <w:pPr>
        <w:widowControl w:val="0"/>
        <w:rPr>
          <w:szCs w:val="22"/>
        </w:rPr>
      </w:pPr>
    </w:p>
    <w:p w14:paraId="7D04BFE5" w14:textId="77777777" w:rsidR="00431420" w:rsidRPr="00B86130" w:rsidRDefault="00431420">
      <w:pPr>
        <w:widowControl w:val="0"/>
        <w:rPr>
          <w:szCs w:val="22"/>
        </w:rPr>
      </w:pPr>
    </w:p>
    <w:p w14:paraId="7B7C6890" w14:textId="77777777" w:rsidR="00717A16" w:rsidRPr="00B86130" w:rsidRDefault="00157A56">
      <w:pPr>
        <w:pStyle w:val="TitleA"/>
        <w:rPr>
          <w:lang w:val="it-IT"/>
        </w:rPr>
      </w:pPr>
      <w:r w:rsidRPr="00B86130">
        <w:rPr>
          <w:lang w:val="it-IT"/>
        </w:rPr>
        <w:t>B. FOGLIO ILLUSTRATIVO</w:t>
      </w:r>
    </w:p>
    <w:p w14:paraId="6EC465F4" w14:textId="77777777" w:rsidR="00717A16" w:rsidRPr="00B86130" w:rsidRDefault="00717A16">
      <w:pPr>
        <w:pStyle w:val="TitleA"/>
        <w:numPr>
          <w:ilvl w:val="0"/>
          <w:numId w:val="0"/>
        </w:numPr>
        <w:ind w:left="432" w:hanging="432"/>
        <w:jc w:val="left"/>
        <w:rPr>
          <w:lang w:val="it-IT"/>
        </w:rPr>
      </w:pPr>
    </w:p>
    <w:p w14:paraId="7F883567" w14:textId="77777777" w:rsidR="00717A16" w:rsidRPr="00B86130" w:rsidRDefault="00717A16">
      <w:pPr>
        <w:pStyle w:val="TitleA"/>
        <w:numPr>
          <w:ilvl w:val="0"/>
          <w:numId w:val="0"/>
        </w:numPr>
        <w:ind w:left="432" w:hanging="432"/>
        <w:jc w:val="left"/>
        <w:rPr>
          <w:lang w:val="it-IT"/>
        </w:rPr>
      </w:pPr>
    </w:p>
    <w:p w14:paraId="2775A2AF" w14:textId="77777777" w:rsidR="00717A16" w:rsidRPr="00B86130" w:rsidRDefault="00157A56">
      <w:pPr>
        <w:widowControl w:val="0"/>
        <w:rPr>
          <w:b/>
          <w:szCs w:val="22"/>
        </w:rPr>
      </w:pPr>
      <w:r w:rsidRPr="00B86130">
        <w:rPr>
          <w:b/>
          <w:szCs w:val="22"/>
        </w:rPr>
        <w:br w:type="page"/>
      </w:r>
    </w:p>
    <w:p w14:paraId="771C8CEB" w14:textId="77777777" w:rsidR="00717A16" w:rsidRPr="00B86130" w:rsidRDefault="00157A56">
      <w:pPr>
        <w:widowControl w:val="0"/>
        <w:jc w:val="center"/>
        <w:rPr>
          <w:b/>
          <w:szCs w:val="22"/>
        </w:rPr>
      </w:pPr>
      <w:r w:rsidRPr="00B86130">
        <w:rPr>
          <w:b/>
          <w:szCs w:val="22"/>
        </w:rPr>
        <w:lastRenderedPageBreak/>
        <w:t>Foglio illustrativo: informazioni per il paziente</w:t>
      </w:r>
    </w:p>
    <w:p w14:paraId="1D570AE2" w14:textId="77777777" w:rsidR="00717A16" w:rsidRPr="00B86130" w:rsidRDefault="00717A16">
      <w:pPr>
        <w:widowControl w:val="0"/>
        <w:rPr>
          <w:szCs w:val="22"/>
        </w:rPr>
      </w:pPr>
    </w:p>
    <w:p w14:paraId="2F494F27" w14:textId="392D645A" w:rsidR="00717A16" w:rsidRPr="00B86130" w:rsidRDefault="00C934D8">
      <w:pPr>
        <w:widowControl w:val="0"/>
        <w:tabs>
          <w:tab w:val="left" w:pos="993"/>
        </w:tabs>
        <w:jc w:val="center"/>
        <w:rPr>
          <w:b/>
          <w:szCs w:val="22"/>
        </w:rPr>
      </w:pPr>
      <w:r w:rsidRPr="00B86130">
        <w:rPr>
          <w:b/>
          <w:szCs w:val="22"/>
        </w:rPr>
        <w:t>Dimetilfumarato</w:t>
      </w:r>
      <w:r w:rsidRPr="00B86130" w:rsidDel="00C934D8">
        <w:rPr>
          <w:b/>
          <w:szCs w:val="22"/>
        </w:rPr>
        <w:t xml:space="preserve"> </w:t>
      </w:r>
      <w:r w:rsidR="009A3123" w:rsidRPr="00B86130">
        <w:rPr>
          <w:b/>
          <w:szCs w:val="22"/>
        </w:rPr>
        <w:t>Accord</w:t>
      </w:r>
      <w:r w:rsidR="00157A56" w:rsidRPr="00B86130">
        <w:rPr>
          <w:b/>
          <w:szCs w:val="22"/>
        </w:rPr>
        <w:t xml:space="preserve"> 120</w:t>
      </w:r>
      <w:r w:rsidR="0086307D" w:rsidRPr="00B86130">
        <w:rPr>
          <w:b/>
          <w:szCs w:val="22"/>
        </w:rPr>
        <w:t> </w:t>
      </w:r>
      <w:r w:rsidR="00157A56" w:rsidRPr="00B86130">
        <w:rPr>
          <w:b/>
          <w:szCs w:val="22"/>
        </w:rPr>
        <w:t>mg capsule rigide gastroresistenti</w:t>
      </w:r>
    </w:p>
    <w:p w14:paraId="2A6E56D9" w14:textId="1D6F94F5" w:rsidR="00717A16" w:rsidRPr="00B86130" w:rsidRDefault="00C934D8">
      <w:pPr>
        <w:widowControl w:val="0"/>
        <w:tabs>
          <w:tab w:val="left" w:pos="993"/>
        </w:tabs>
        <w:jc w:val="center"/>
        <w:rPr>
          <w:szCs w:val="22"/>
        </w:rPr>
      </w:pPr>
      <w:r w:rsidRPr="00B86130">
        <w:rPr>
          <w:b/>
          <w:szCs w:val="22"/>
        </w:rPr>
        <w:t>Dimetilfumarato</w:t>
      </w:r>
      <w:r w:rsidRPr="00B86130" w:rsidDel="00C934D8">
        <w:rPr>
          <w:b/>
          <w:szCs w:val="22"/>
        </w:rPr>
        <w:t xml:space="preserve"> </w:t>
      </w:r>
      <w:r w:rsidR="009A3123" w:rsidRPr="00B86130">
        <w:rPr>
          <w:b/>
          <w:szCs w:val="22"/>
        </w:rPr>
        <w:t>Accord</w:t>
      </w:r>
      <w:r w:rsidR="00157A56" w:rsidRPr="00B86130">
        <w:rPr>
          <w:b/>
          <w:szCs w:val="22"/>
        </w:rPr>
        <w:t xml:space="preserve"> 240</w:t>
      </w:r>
      <w:r w:rsidR="0086307D" w:rsidRPr="00B86130">
        <w:rPr>
          <w:b/>
          <w:szCs w:val="22"/>
        </w:rPr>
        <w:t> </w:t>
      </w:r>
      <w:r w:rsidR="00157A56" w:rsidRPr="00B86130">
        <w:rPr>
          <w:b/>
          <w:szCs w:val="22"/>
        </w:rPr>
        <w:t>mg capsule rigide gastroresistenti</w:t>
      </w:r>
    </w:p>
    <w:p w14:paraId="660687D7" w14:textId="77777777" w:rsidR="00717A16" w:rsidRPr="00B86130" w:rsidRDefault="00157A56">
      <w:pPr>
        <w:widowControl w:val="0"/>
        <w:tabs>
          <w:tab w:val="clear" w:pos="567"/>
        </w:tabs>
        <w:jc w:val="center"/>
        <w:rPr>
          <w:szCs w:val="22"/>
        </w:rPr>
      </w:pPr>
      <w:r w:rsidRPr="00B86130">
        <w:rPr>
          <w:szCs w:val="22"/>
        </w:rPr>
        <w:t>dimetilfumarato</w:t>
      </w:r>
    </w:p>
    <w:p w14:paraId="2396281C" w14:textId="77777777" w:rsidR="00717A16" w:rsidRPr="00B86130" w:rsidRDefault="00717A16">
      <w:pPr>
        <w:widowControl w:val="0"/>
        <w:tabs>
          <w:tab w:val="clear" w:pos="567"/>
        </w:tabs>
        <w:rPr>
          <w:szCs w:val="22"/>
        </w:rPr>
      </w:pPr>
    </w:p>
    <w:p w14:paraId="528D8E51" w14:textId="77777777" w:rsidR="00717A16" w:rsidRPr="00B86130" w:rsidRDefault="00717A16">
      <w:pPr>
        <w:widowControl w:val="0"/>
        <w:tabs>
          <w:tab w:val="clear" w:pos="567"/>
        </w:tabs>
        <w:rPr>
          <w:szCs w:val="22"/>
        </w:rPr>
      </w:pPr>
    </w:p>
    <w:p w14:paraId="1B999298" w14:textId="77777777" w:rsidR="00717A16" w:rsidRPr="00B86130" w:rsidRDefault="00157A56">
      <w:pPr>
        <w:widowControl w:val="0"/>
        <w:tabs>
          <w:tab w:val="clear" w:pos="567"/>
        </w:tabs>
        <w:rPr>
          <w:b/>
          <w:szCs w:val="22"/>
        </w:rPr>
      </w:pPr>
      <w:r w:rsidRPr="00B86130">
        <w:rPr>
          <w:b/>
          <w:szCs w:val="22"/>
        </w:rPr>
        <w:t>Legga attentamente questo foglio prima di prendere questo medicinale perché contiene importanti informazioni per lei.</w:t>
      </w:r>
    </w:p>
    <w:p w14:paraId="6D998A89" w14:textId="77777777" w:rsidR="00717A16" w:rsidRPr="00B86130" w:rsidRDefault="00157A56">
      <w:pPr>
        <w:widowControl w:val="0"/>
        <w:numPr>
          <w:ilvl w:val="0"/>
          <w:numId w:val="4"/>
        </w:numPr>
        <w:tabs>
          <w:tab w:val="clear" w:pos="567"/>
        </w:tabs>
        <w:ind w:left="567" w:hanging="567"/>
        <w:rPr>
          <w:szCs w:val="22"/>
        </w:rPr>
      </w:pPr>
      <w:r w:rsidRPr="00B86130">
        <w:rPr>
          <w:szCs w:val="22"/>
        </w:rPr>
        <w:t>Conservi questo foglio. Potrebbe aver bisogno di leggerlo di nuovo.</w:t>
      </w:r>
    </w:p>
    <w:p w14:paraId="3664A840" w14:textId="77777777" w:rsidR="00717A16" w:rsidRPr="00B86130" w:rsidRDefault="00157A56">
      <w:pPr>
        <w:widowControl w:val="0"/>
        <w:numPr>
          <w:ilvl w:val="0"/>
          <w:numId w:val="4"/>
        </w:numPr>
        <w:ind w:left="567" w:hanging="567"/>
        <w:rPr>
          <w:szCs w:val="22"/>
        </w:rPr>
      </w:pPr>
      <w:r w:rsidRPr="00B86130">
        <w:rPr>
          <w:szCs w:val="22"/>
        </w:rPr>
        <w:t>Se ha qualsiasi dubbio, si rivolga al medico o al farmacista.</w:t>
      </w:r>
    </w:p>
    <w:p w14:paraId="4E976A1A" w14:textId="77777777" w:rsidR="00717A16" w:rsidRPr="00B86130" w:rsidRDefault="00157A56">
      <w:pPr>
        <w:widowControl w:val="0"/>
        <w:numPr>
          <w:ilvl w:val="0"/>
          <w:numId w:val="4"/>
        </w:numPr>
        <w:ind w:left="567" w:hanging="567"/>
        <w:rPr>
          <w:szCs w:val="22"/>
        </w:rPr>
      </w:pPr>
      <w:r w:rsidRPr="00B86130">
        <w:rPr>
          <w:szCs w:val="22"/>
        </w:rPr>
        <w:t>Questo medicinale è stato prescritto soltanto per lei. Non lo dia ad altre persone, anche se i sintomi della malattia sono uguali ai suoi, perché potrebbe essere pericoloso.</w:t>
      </w:r>
    </w:p>
    <w:p w14:paraId="21CE52E5" w14:textId="6C8E184E" w:rsidR="00717A16" w:rsidRPr="00B86130" w:rsidRDefault="00157A56">
      <w:pPr>
        <w:widowControl w:val="0"/>
        <w:numPr>
          <w:ilvl w:val="0"/>
          <w:numId w:val="4"/>
        </w:numPr>
        <w:ind w:left="567" w:hanging="567"/>
        <w:rPr>
          <w:szCs w:val="22"/>
        </w:rPr>
      </w:pPr>
      <w:r w:rsidRPr="00B86130">
        <w:rPr>
          <w:szCs w:val="22"/>
        </w:rPr>
        <w:t>Se si manifesta un qualsiasi effetto indesiderato, compresi quelli non elencati in questo foglio, si rivolga al medico o al farmacista.</w:t>
      </w:r>
      <w:r w:rsidRPr="00B86130">
        <w:t xml:space="preserve"> Vedere paragrafo</w:t>
      </w:r>
      <w:r w:rsidR="0086307D" w:rsidRPr="00B86130">
        <w:t> </w:t>
      </w:r>
      <w:r w:rsidRPr="00B86130">
        <w:t>4.</w:t>
      </w:r>
    </w:p>
    <w:p w14:paraId="034EE0CE" w14:textId="77777777" w:rsidR="00717A16" w:rsidRPr="00B86130" w:rsidRDefault="00717A16">
      <w:pPr>
        <w:widowControl w:val="0"/>
        <w:ind w:right="-2"/>
        <w:rPr>
          <w:szCs w:val="22"/>
        </w:rPr>
      </w:pPr>
    </w:p>
    <w:p w14:paraId="0412E880" w14:textId="77777777" w:rsidR="00717A16" w:rsidRPr="00B86130" w:rsidRDefault="00157A56">
      <w:pPr>
        <w:widowControl w:val="0"/>
        <w:tabs>
          <w:tab w:val="clear" w:pos="567"/>
        </w:tabs>
        <w:ind w:right="-2"/>
        <w:rPr>
          <w:b/>
          <w:szCs w:val="22"/>
        </w:rPr>
      </w:pPr>
      <w:r w:rsidRPr="00B86130">
        <w:rPr>
          <w:b/>
          <w:szCs w:val="22"/>
        </w:rPr>
        <w:t>Contenuto di questo foglio</w:t>
      </w:r>
    </w:p>
    <w:p w14:paraId="646E29AD" w14:textId="77777777" w:rsidR="00717A16" w:rsidRPr="00B86130" w:rsidRDefault="00717A16">
      <w:pPr>
        <w:widowControl w:val="0"/>
        <w:tabs>
          <w:tab w:val="clear" w:pos="567"/>
        </w:tabs>
        <w:ind w:right="-2"/>
        <w:rPr>
          <w:szCs w:val="22"/>
        </w:rPr>
      </w:pPr>
    </w:p>
    <w:p w14:paraId="7141C500" w14:textId="5CB240B0" w:rsidR="00717A16" w:rsidRPr="00B86130" w:rsidRDefault="00157A56">
      <w:pPr>
        <w:widowControl w:val="0"/>
        <w:rPr>
          <w:szCs w:val="22"/>
        </w:rPr>
      </w:pPr>
      <w:r w:rsidRPr="00B86130">
        <w:rPr>
          <w:szCs w:val="22"/>
        </w:rPr>
        <w:t>1.</w:t>
      </w:r>
      <w:r w:rsidRPr="00B86130">
        <w:rPr>
          <w:szCs w:val="22"/>
        </w:rPr>
        <w:tab/>
        <w:t xml:space="preserve">Cos’è </w:t>
      </w:r>
      <w:r w:rsidR="00C934D8" w:rsidRPr="00B86130">
        <w:rPr>
          <w:szCs w:val="22"/>
        </w:rPr>
        <w:t>Dimetilfumarato</w:t>
      </w:r>
      <w:r w:rsidR="00C934D8" w:rsidRPr="00B86130" w:rsidDel="00C934D8">
        <w:rPr>
          <w:szCs w:val="22"/>
        </w:rPr>
        <w:t xml:space="preserve"> </w:t>
      </w:r>
      <w:r w:rsidR="009A3123" w:rsidRPr="00B86130">
        <w:rPr>
          <w:szCs w:val="22"/>
        </w:rPr>
        <w:t>Accord</w:t>
      </w:r>
      <w:r w:rsidRPr="00B86130">
        <w:rPr>
          <w:szCs w:val="22"/>
        </w:rPr>
        <w:t xml:space="preserve"> e a cosa serve</w:t>
      </w:r>
    </w:p>
    <w:p w14:paraId="0945C560" w14:textId="3D6876EE" w:rsidR="00100121" w:rsidRPr="00B86130" w:rsidRDefault="00157A56">
      <w:pPr>
        <w:widowControl w:val="0"/>
        <w:rPr>
          <w:szCs w:val="22"/>
        </w:rPr>
      </w:pPr>
      <w:r w:rsidRPr="00B86130">
        <w:rPr>
          <w:szCs w:val="22"/>
        </w:rPr>
        <w:t>2.</w:t>
      </w:r>
      <w:r w:rsidRPr="00B86130">
        <w:rPr>
          <w:szCs w:val="22"/>
        </w:rPr>
        <w:tab/>
        <w:t xml:space="preserve">Cosa deve sapere prima di prendere </w:t>
      </w:r>
      <w:r w:rsidR="00C934D8" w:rsidRPr="00B86130">
        <w:rPr>
          <w:szCs w:val="22"/>
        </w:rPr>
        <w:t>Dimetilfumarato</w:t>
      </w:r>
      <w:r w:rsidR="00C934D8" w:rsidRPr="00B86130" w:rsidDel="00C934D8">
        <w:rPr>
          <w:szCs w:val="22"/>
        </w:rPr>
        <w:t xml:space="preserve"> </w:t>
      </w:r>
      <w:r w:rsidR="009A3123" w:rsidRPr="00B86130">
        <w:rPr>
          <w:szCs w:val="22"/>
        </w:rPr>
        <w:t xml:space="preserve">Accord </w:t>
      </w:r>
    </w:p>
    <w:p w14:paraId="51A337EB" w14:textId="6BA75DE0" w:rsidR="00717A16" w:rsidRPr="00B86130" w:rsidRDefault="00157A56">
      <w:pPr>
        <w:widowControl w:val="0"/>
        <w:rPr>
          <w:szCs w:val="22"/>
        </w:rPr>
      </w:pPr>
      <w:r w:rsidRPr="00B86130">
        <w:rPr>
          <w:szCs w:val="22"/>
        </w:rPr>
        <w:t>3.</w:t>
      </w:r>
      <w:r w:rsidRPr="00B86130">
        <w:rPr>
          <w:szCs w:val="22"/>
        </w:rPr>
        <w:tab/>
        <w:t xml:space="preserve">Come prendere </w:t>
      </w:r>
      <w:r w:rsidR="00C934D8" w:rsidRPr="00B86130">
        <w:rPr>
          <w:szCs w:val="22"/>
        </w:rPr>
        <w:t>Dimetilfumarato</w:t>
      </w:r>
      <w:r w:rsidR="00C934D8" w:rsidRPr="00B86130" w:rsidDel="00C934D8">
        <w:rPr>
          <w:szCs w:val="22"/>
        </w:rPr>
        <w:t xml:space="preserve"> </w:t>
      </w:r>
      <w:r w:rsidR="009A3123" w:rsidRPr="00B86130">
        <w:rPr>
          <w:szCs w:val="22"/>
        </w:rPr>
        <w:t>Accord</w:t>
      </w:r>
    </w:p>
    <w:p w14:paraId="7DA508D6" w14:textId="77777777" w:rsidR="00717A16" w:rsidRPr="00B86130" w:rsidRDefault="00157A56">
      <w:pPr>
        <w:widowControl w:val="0"/>
        <w:rPr>
          <w:szCs w:val="22"/>
        </w:rPr>
      </w:pPr>
      <w:r w:rsidRPr="00B86130">
        <w:rPr>
          <w:szCs w:val="22"/>
        </w:rPr>
        <w:t>4.</w:t>
      </w:r>
      <w:r w:rsidRPr="00B86130">
        <w:rPr>
          <w:szCs w:val="22"/>
        </w:rPr>
        <w:tab/>
        <w:t>Possibili effetti indesiderati</w:t>
      </w:r>
    </w:p>
    <w:p w14:paraId="3F51021D" w14:textId="0EC95D47" w:rsidR="00717A16" w:rsidRPr="00B86130" w:rsidRDefault="00157A56">
      <w:pPr>
        <w:widowControl w:val="0"/>
        <w:rPr>
          <w:szCs w:val="22"/>
        </w:rPr>
      </w:pPr>
      <w:r w:rsidRPr="00B86130">
        <w:rPr>
          <w:szCs w:val="22"/>
        </w:rPr>
        <w:t>5.</w:t>
      </w:r>
      <w:r w:rsidRPr="00B86130">
        <w:rPr>
          <w:szCs w:val="22"/>
        </w:rPr>
        <w:tab/>
        <w:t xml:space="preserve">Come conservare </w:t>
      </w:r>
      <w:r w:rsidR="00C934D8" w:rsidRPr="00B86130">
        <w:rPr>
          <w:szCs w:val="22"/>
        </w:rPr>
        <w:t>Dimetilfumarato</w:t>
      </w:r>
      <w:r w:rsidR="00C934D8" w:rsidRPr="00B86130" w:rsidDel="00C934D8">
        <w:rPr>
          <w:szCs w:val="22"/>
        </w:rPr>
        <w:t xml:space="preserve"> </w:t>
      </w:r>
      <w:r w:rsidR="009A3123" w:rsidRPr="00B86130">
        <w:rPr>
          <w:szCs w:val="22"/>
        </w:rPr>
        <w:t>Accord</w:t>
      </w:r>
    </w:p>
    <w:p w14:paraId="21CADC7E" w14:textId="77777777" w:rsidR="00717A16" w:rsidRPr="00B86130" w:rsidRDefault="00157A56">
      <w:pPr>
        <w:widowControl w:val="0"/>
        <w:rPr>
          <w:szCs w:val="22"/>
        </w:rPr>
      </w:pPr>
      <w:r w:rsidRPr="00B86130">
        <w:rPr>
          <w:szCs w:val="22"/>
        </w:rPr>
        <w:t>6.</w:t>
      </w:r>
      <w:r w:rsidRPr="00B86130">
        <w:rPr>
          <w:szCs w:val="22"/>
        </w:rPr>
        <w:tab/>
        <w:t>Contenuto della confezione e altre informazioni</w:t>
      </w:r>
    </w:p>
    <w:p w14:paraId="7E798BF6" w14:textId="77777777" w:rsidR="00717A16" w:rsidRPr="00B86130" w:rsidRDefault="00717A16">
      <w:pPr>
        <w:widowControl w:val="0"/>
        <w:rPr>
          <w:szCs w:val="22"/>
        </w:rPr>
      </w:pPr>
    </w:p>
    <w:p w14:paraId="17FB536E" w14:textId="77777777" w:rsidR="00717A16" w:rsidRPr="00B86130" w:rsidRDefault="00717A16">
      <w:pPr>
        <w:widowControl w:val="0"/>
        <w:tabs>
          <w:tab w:val="clear" w:pos="567"/>
        </w:tabs>
        <w:rPr>
          <w:szCs w:val="22"/>
        </w:rPr>
      </w:pPr>
    </w:p>
    <w:p w14:paraId="1FBC6E91" w14:textId="5E0C2CDB" w:rsidR="00717A16" w:rsidRPr="00B86130" w:rsidRDefault="00157A56">
      <w:pPr>
        <w:widowControl w:val="0"/>
        <w:ind w:right="-2"/>
        <w:rPr>
          <w:b/>
          <w:szCs w:val="22"/>
        </w:rPr>
      </w:pPr>
      <w:r w:rsidRPr="00B86130">
        <w:rPr>
          <w:b/>
          <w:szCs w:val="22"/>
        </w:rPr>
        <w:t>1.</w:t>
      </w:r>
      <w:r w:rsidRPr="00B86130">
        <w:rPr>
          <w:b/>
          <w:szCs w:val="22"/>
        </w:rPr>
        <w:tab/>
        <w:t xml:space="preserve">Cos’è </w:t>
      </w:r>
      <w:r w:rsidR="00C934D8" w:rsidRPr="00B86130">
        <w:rPr>
          <w:b/>
          <w:szCs w:val="22"/>
        </w:rPr>
        <w:t>Dimetilfumarato</w:t>
      </w:r>
      <w:r w:rsidR="00C934D8" w:rsidRPr="00B86130" w:rsidDel="00C934D8">
        <w:rPr>
          <w:b/>
          <w:szCs w:val="22"/>
        </w:rPr>
        <w:t xml:space="preserve"> </w:t>
      </w:r>
      <w:r w:rsidR="009A3123" w:rsidRPr="00B86130">
        <w:rPr>
          <w:b/>
          <w:szCs w:val="22"/>
        </w:rPr>
        <w:t>Accord</w:t>
      </w:r>
      <w:r w:rsidRPr="00B86130">
        <w:rPr>
          <w:b/>
          <w:szCs w:val="22"/>
        </w:rPr>
        <w:t xml:space="preserve"> e a cosa serve</w:t>
      </w:r>
    </w:p>
    <w:p w14:paraId="1AEA6EB8" w14:textId="77777777" w:rsidR="00717A16" w:rsidRPr="00B86130" w:rsidRDefault="00717A16">
      <w:pPr>
        <w:widowControl w:val="0"/>
        <w:tabs>
          <w:tab w:val="clear" w:pos="567"/>
        </w:tabs>
        <w:rPr>
          <w:szCs w:val="22"/>
        </w:rPr>
      </w:pPr>
    </w:p>
    <w:p w14:paraId="3CAF4D14" w14:textId="1421B304" w:rsidR="00717A16" w:rsidRPr="00B86130" w:rsidRDefault="00157A56">
      <w:pPr>
        <w:widowControl w:val="0"/>
        <w:tabs>
          <w:tab w:val="clear" w:pos="567"/>
        </w:tabs>
        <w:ind w:right="-2"/>
        <w:rPr>
          <w:szCs w:val="22"/>
        </w:rPr>
      </w:pPr>
      <w:r w:rsidRPr="00B86130">
        <w:rPr>
          <w:b/>
          <w:szCs w:val="22"/>
        </w:rPr>
        <w:t xml:space="preserve">Cos’è </w:t>
      </w:r>
      <w:r w:rsidR="00C934D8" w:rsidRPr="00B86130">
        <w:rPr>
          <w:b/>
          <w:szCs w:val="22"/>
        </w:rPr>
        <w:t>Dimetilfumarato</w:t>
      </w:r>
      <w:r w:rsidR="00C934D8" w:rsidRPr="00B86130" w:rsidDel="00C934D8">
        <w:rPr>
          <w:b/>
          <w:szCs w:val="22"/>
        </w:rPr>
        <w:t xml:space="preserve"> </w:t>
      </w:r>
      <w:r w:rsidR="009A3123" w:rsidRPr="00B86130">
        <w:rPr>
          <w:b/>
          <w:szCs w:val="22"/>
        </w:rPr>
        <w:t xml:space="preserve">Accord </w:t>
      </w:r>
    </w:p>
    <w:p w14:paraId="2C2CD4F4" w14:textId="6BDD51AE" w:rsidR="00717A16" w:rsidRPr="00B86130" w:rsidRDefault="00C934D8">
      <w:pPr>
        <w:widowControl w:val="0"/>
        <w:tabs>
          <w:tab w:val="clear" w:pos="567"/>
        </w:tabs>
        <w:ind w:right="-2"/>
        <w:rPr>
          <w:szCs w:val="22"/>
        </w:rPr>
      </w:pPr>
      <w:r w:rsidRPr="00B86130">
        <w:rPr>
          <w:szCs w:val="22"/>
        </w:rPr>
        <w:t>Dimetilfumarato</w:t>
      </w:r>
      <w:r w:rsidRPr="00B86130" w:rsidDel="00C934D8">
        <w:rPr>
          <w:szCs w:val="22"/>
        </w:rPr>
        <w:t xml:space="preserve"> </w:t>
      </w:r>
      <w:r w:rsidR="009A3123" w:rsidRPr="00A61F9B">
        <w:rPr>
          <w:szCs w:val="22"/>
        </w:rPr>
        <w:t>Accord</w:t>
      </w:r>
      <w:r w:rsidR="00157A56" w:rsidRPr="00B86130">
        <w:rPr>
          <w:szCs w:val="22"/>
        </w:rPr>
        <w:t xml:space="preserve"> è un medicinale che contiene il principio attivo </w:t>
      </w:r>
      <w:r w:rsidR="00157A56" w:rsidRPr="00B86130">
        <w:rPr>
          <w:b/>
          <w:szCs w:val="22"/>
        </w:rPr>
        <w:t>dimetilfumarato</w:t>
      </w:r>
      <w:r w:rsidR="00157A56" w:rsidRPr="00B86130">
        <w:rPr>
          <w:szCs w:val="22"/>
        </w:rPr>
        <w:t>.</w:t>
      </w:r>
    </w:p>
    <w:p w14:paraId="4EF26291" w14:textId="77777777" w:rsidR="00717A16" w:rsidRPr="00B86130" w:rsidRDefault="00717A16">
      <w:pPr>
        <w:widowControl w:val="0"/>
        <w:tabs>
          <w:tab w:val="clear" w:pos="567"/>
        </w:tabs>
        <w:ind w:right="-2"/>
        <w:rPr>
          <w:szCs w:val="22"/>
        </w:rPr>
      </w:pPr>
    </w:p>
    <w:p w14:paraId="43BC2AEB" w14:textId="24936704" w:rsidR="00717A16" w:rsidRPr="00B86130" w:rsidRDefault="00157A56">
      <w:pPr>
        <w:widowControl w:val="0"/>
        <w:tabs>
          <w:tab w:val="clear" w:pos="567"/>
        </w:tabs>
        <w:ind w:right="-2"/>
        <w:rPr>
          <w:b/>
          <w:szCs w:val="22"/>
        </w:rPr>
      </w:pPr>
      <w:r w:rsidRPr="00B86130">
        <w:rPr>
          <w:b/>
          <w:szCs w:val="22"/>
        </w:rPr>
        <w:t xml:space="preserve">A cosa serve </w:t>
      </w:r>
      <w:r w:rsidR="00C934D8" w:rsidRPr="00B86130">
        <w:rPr>
          <w:b/>
          <w:szCs w:val="22"/>
        </w:rPr>
        <w:t>Dimetilfumarato</w:t>
      </w:r>
      <w:r w:rsidR="00C934D8" w:rsidRPr="00B86130" w:rsidDel="00C934D8">
        <w:rPr>
          <w:b/>
          <w:szCs w:val="22"/>
        </w:rPr>
        <w:t xml:space="preserve"> </w:t>
      </w:r>
      <w:r w:rsidR="009A3123" w:rsidRPr="00B86130">
        <w:rPr>
          <w:b/>
          <w:spacing w:val="-1"/>
        </w:rPr>
        <w:t>Accord</w:t>
      </w:r>
    </w:p>
    <w:p w14:paraId="24C755D6" w14:textId="77777777" w:rsidR="00717A16" w:rsidRPr="00B86130" w:rsidRDefault="00717A16">
      <w:pPr>
        <w:widowControl w:val="0"/>
        <w:tabs>
          <w:tab w:val="clear" w:pos="567"/>
        </w:tabs>
        <w:ind w:right="-2"/>
        <w:rPr>
          <w:b/>
          <w:szCs w:val="22"/>
        </w:rPr>
      </w:pPr>
    </w:p>
    <w:p w14:paraId="2BD7E11A" w14:textId="45E3C005" w:rsidR="000253A1" w:rsidRPr="00B86130" w:rsidRDefault="00C934D8" w:rsidP="000253A1">
      <w:pPr>
        <w:widowControl w:val="0"/>
        <w:tabs>
          <w:tab w:val="clear" w:pos="567"/>
        </w:tabs>
        <w:ind w:right="-2"/>
        <w:rPr>
          <w:szCs w:val="22"/>
        </w:rPr>
      </w:pPr>
      <w:r w:rsidRPr="00B86130">
        <w:rPr>
          <w:b/>
          <w:szCs w:val="22"/>
        </w:rPr>
        <w:t>Dimetilfumarato</w:t>
      </w:r>
      <w:r w:rsidRPr="00B86130" w:rsidDel="00C934D8">
        <w:rPr>
          <w:b/>
          <w:szCs w:val="22"/>
        </w:rPr>
        <w:t xml:space="preserve"> </w:t>
      </w:r>
      <w:r w:rsidR="009A3123" w:rsidRPr="00B86130">
        <w:rPr>
          <w:b/>
          <w:szCs w:val="22"/>
        </w:rPr>
        <w:t>Accord</w:t>
      </w:r>
      <w:r w:rsidR="000253A1" w:rsidRPr="00B86130">
        <w:rPr>
          <w:b/>
          <w:szCs w:val="22"/>
        </w:rPr>
        <w:t xml:space="preserve"> è utilizzato per trattare la sclerosi multipla (SM) recidivante-remittente in pazienti di età pari o superiore a 13 anni</w:t>
      </w:r>
      <w:r w:rsidR="000253A1" w:rsidRPr="00B86130">
        <w:rPr>
          <w:b/>
          <w:bCs/>
          <w:szCs w:val="22"/>
        </w:rPr>
        <w:t>.</w:t>
      </w:r>
    </w:p>
    <w:p w14:paraId="2332FFF4" w14:textId="77777777" w:rsidR="00DE7A7B" w:rsidRPr="00B86130" w:rsidRDefault="00DE7A7B">
      <w:pPr>
        <w:widowControl w:val="0"/>
        <w:tabs>
          <w:tab w:val="clear" w:pos="567"/>
        </w:tabs>
        <w:ind w:right="-2"/>
        <w:rPr>
          <w:szCs w:val="22"/>
        </w:rPr>
      </w:pPr>
    </w:p>
    <w:p w14:paraId="15AE3A73" w14:textId="4D4A692A" w:rsidR="00717A16" w:rsidRPr="00B86130" w:rsidRDefault="00157A56">
      <w:pPr>
        <w:widowControl w:val="0"/>
        <w:tabs>
          <w:tab w:val="clear" w:pos="567"/>
        </w:tabs>
        <w:ind w:right="-2"/>
        <w:rPr>
          <w:szCs w:val="22"/>
        </w:rPr>
      </w:pPr>
      <w:r w:rsidRPr="00B86130">
        <w:rPr>
          <w:szCs w:val="22"/>
        </w:rPr>
        <w:t>La sclerosi multipla è una malattia cronica che interessa il sistema nervoso centrale, cioè il cervello e il midollo spinale. La sclerosi multipla recidivante-remittente è caratterizzata da attacchi ripetuti (recidive) di sintomi che interessano il sistema nervoso. I sintomi variano da paziente a paziente, ma comprendono in genere difficoltà di deambulazione, sensazione di squilibrio e difficoltà della vista (ad es. vista offuscata o doppia). Questi sintomi possono scomparire completamente quando la recidiva si risolve, ma alcuni problemi possono rimanere.</w:t>
      </w:r>
    </w:p>
    <w:p w14:paraId="580502C0" w14:textId="77777777" w:rsidR="00717A16" w:rsidRPr="00B86130" w:rsidRDefault="00717A16">
      <w:pPr>
        <w:widowControl w:val="0"/>
        <w:tabs>
          <w:tab w:val="clear" w:pos="567"/>
        </w:tabs>
        <w:ind w:right="-2"/>
        <w:rPr>
          <w:szCs w:val="22"/>
        </w:rPr>
      </w:pPr>
    </w:p>
    <w:p w14:paraId="75AECBB8" w14:textId="3AB158EF" w:rsidR="00717A16" w:rsidRPr="00B86130" w:rsidRDefault="00157A56">
      <w:pPr>
        <w:widowControl w:val="0"/>
        <w:tabs>
          <w:tab w:val="clear" w:pos="567"/>
        </w:tabs>
        <w:ind w:right="-2"/>
        <w:rPr>
          <w:szCs w:val="22"/>
        </w:rPr>
      </w:pPr>
      <w:r w:rsidRPr="00B86130">
        <w:rPr>
          <w:b/>
          <w:szCs w:val="22"/>
        </w:rPr>
        <w:t xml:space="preserve">Come funziona </w:t>
      </w:r>
      <w:r w:rsidR="00C934D8" w:rsidRPr="00B86130">
        <w:rPr>
          <w:b/>
          <w:szCs w:val="22"/>
        </w:rPr>
        <w:t>Dimetilfumarato</w:t>
      </w:r>
      <w:r w:rsidR="00C934D8" w:rsidRPr="00B86130" w:rsidDel="00C934D8">
        <w:rPr>
          <w:b/>
          <w:szCs w:val="22"/>
        </w:rPr>
        <w:t xml:space="preserve"> </w:t>
      </w:r>
      <w:r w:rsidR="009A3123" w:rsidRPr="00B86130">
        <w:rPr>
          <w:b/>
          <w:szCs w:val="22"/>
        </w:rPr>
        <w:t xml:space="preserve">Accord </w:t>
      </w:r>
    </w:p>
    <w:p w14:paraId="4DCA4DED" w14:textId="40AD9926" w:rsidR="00717A16" w:rsidRPr="00B86130" w:rsidRDefault="00157A56">
      <w:pPr>
        <w:widowControl w:val="0"/>
        <w:tabs>
          <w:tab w:val="clear" w:pos="567"/>
        </w:tabs>
        <w:ind w:right="-2"/>
        <w:rPr>
          <w:szCs w:val="22"/>
        </w:rPr>
      </w:pPr>
      <w:r w:rsidRPr="00B86130">
        <w:rPr>
          <w:szCs w:val="22"/>
        </w:rPr>
        <w:t xml:space="preserve">Sembra che </w:t>
      </w:r>
      <w:r w:rsidR="00C934D8" w:rsidRPr="00B86130">
        <w:rPr>
          <w:szCs w:val="22"/>
        </w:rPr>
        <w:t>Dimetilfumarato</w:t>
      </w:r>
      <w:r w:rsidR="00C934D8" w:rsidRPr="00B86130" w:rsidDel="00C934D8">
        <w:rPr>
          <w:szCs w:val="22"/>
        </w:rPr>
        <w:t xml:space="preserve"> </w:t>
      </w:r>
      <w:r w:rsidR="009A3123" w:rsidRPr="00B86130">
        <w:rPr>
          <w:szCs w:val="22"/>
        </w:rPr>
        <w:t>Accord</w:t>
      </w:r>
      <w:r w:rsidRPr="00B86130">
        <w:rPr>
          <w:szCs w:val="22"/>
        </w:rPr>
        <w:t xml:space="preserve"> agisca impedendo al sistema di difesa del corpo di danneggiare il cervello e il midollo spinale. Questo può anche contribuire a ritardare il peggioramento futuro della malattia.</w:t>
      </w:r>
    </w:p>
    <w:p w14:paraId="651C4F24" w14:textId="77777777" w:rsidR="00717A16" w:rsidRPr="00B86130" w:rsidRDefault="00717A16">
      <w:pPr>
        <w:widowControl w:val="0"/>
        <w:tabs>
          <w:tab w:val="clear" w:pos="567"/>
        </w:tabs>
        <w:ind w:right="-2"/>
        <w:rPr>
          <w:szCs w:val="22"/>
        </w:rPr>
      </w:pPr>
    </w:p>
    <w:p w14:paraId="0A151450" w14:textId="77777777" w:rsidR="00717A16" w:rsidRPr="00B86130" w:rsidRDefault="00717A16">
      <w:pPr>
        <w:widowControl w:val="0"/>
        <w:tabs>
          <w:tab w:val="clear" w:pos="567"/>
        </w:tabs>
        <w:ind w:right="-2"/>
        <w:rPr>
          <w:szCs w:val="22"/>
        </w:rPr>
      </w:pPr>
    </w:p>
    <w:p w14:paraId="65B8FAAE" w14:textId="5ED915DA" w:rsidR="00717A16" w:rsidRPr="00B86130" w:rsidRDefault="00157A56">
      <w:pPr>
        <w:widowControl w:val="0"/>
        <w:ind w:right="-2"/>
        <w:rPr>
          <w:b/>
          <w:szCs w:val="22"/>
        </w:rPr>
      </w:pPr>
      <w:r w:rsidRPr="00B86130">
        <w:rPr>
          <w:b/>
          <w:szCs w:val="22"/>
        </w:rPr>
        <w:t>2.</w:t>
      </w:r>
      <w:r w:rsidRPr="00B86130">
        <w:rPr>
          <w:b/>
          <w:szCs w:val="22"/>
        </w:rPr>
        <w:tab/>
        <w:t xml:space="preserve">Cosa deve sapere prima di prendere </w:t>
      </w:r>
      <w:r w:rsidR="00C934D8" w:rsidRPr="00B86130">
        <w:rPr>
          <w:b/>
          <w:szCs w:val="22"/>
        </w:rPr>
        <w:t>Dimetilfumarato</w:t>
      </w:r>
      <w:r w:rsidR="00C934D8" w:rsidRPr="00B86130" w:rsidDel="00C934D8">
        <w:rPr>
          <w:b/>
          <w:szCs w:val="22"/>
        </w:rPr>
        <w:t xml:space="preserve"> </w:t>
      </w:r>
      <w:r w:rsidR="009A3123" w:rsidRPr="00B86130">
        <w:rPr>
          <w:b/>
          <w:szCs w:val="22"/>
        </w:rPr>
        <w:t>Accord</w:t>
      </w:r>
    </w:p>
    <w:p w14:paraId="0475D934" w14:textId="77777777" w:rsidR="00717A16" w:rsidRPr="00B86130" w:rsidRDefault="00717A16">
      <w:pPr>
        <w:widowControl w:val="0"/>
        <w:rPr>
          <w:szCs w:val="22"/>
        </w:rPr>
      </w:pPr>
    </w:p>
    <w:p w14:paraId="381A5A43" w14:textId="49283E3C" w:rsidR="00717A16" w:rsidRPr="00B86130" w:rsidRDefault="00157A56">
      <w:pPr>
        <w:widowControl w:val="0"/>
        <w:tabs>
          <w:tab w:val="clear" w:pos="567"/>
        </w:tabs>
        <w:rPr>
          <w:b/>
          <w:szCs w:val="22"/>
        </w:rPr>
      </w:pPr>
      <w:r w:rsidRPr="00B86130">
        <w:rPr>
          <w:b/>
          <w:szCs w:val="22"/>
        </w:rPr>
        <w:t xml:space="preserve">Non prenda </w:t>
      </w:r>
      <w:r w:rsidR="00C934D8" w:rsidRPr="00B86130">
        <w:rPr>
          <w:b/>
          <w:szCs w:val="22"/>
        </w:rPr>
        <w:t>Dimetilfumarato</w:t>
      </w:r>
      <w:r w:rsidR="00C934D8" w:rsidRPr="00B86130" w:rsidDel="00C934D8">
        <w:rPr>
          <w:b/>
          <w:szCs w:val="22"/>
        </w:rPr>
        <w:t xml:space="preserve"> </w:t>
      </w:r>
      <w:r w:rsidR="009A3123" w:rsidRPr="00B86130">
        <w:rPr>
          <w:b/>
          <w:szCs w:val="22"/>
        </w:rPr>
        <w:t>Accord</w:t>
      </w:r>
    </w:p>
    <w:p w14:paraId="660582EC" w14:textId="77777777" w:rsidR="00717A16" w:rsidRPr="00B86130" w:rsidRDefault="00717A16">
      <w:pPr>
        <w:widowControl w:val="0"/>
        <w:rPr>
          <w:szCs w:val="22"/>
        </w:rPr>
      </w:pPr>
    </w:p>
    <w:p w14:paraId="7C7C759E" w14:textId="1AFDA9A1" w:rsidR="00717A16" w:rsidRPr="00B86130" w:rsidRDefault="00157A56">
      <w:pPr>
        <w:widowControl w:val="0"/>
        <w:numPr>
          <w:ilvl w:val="0"/>
          <w:numId w:val="3"/>
        </w:numPr>
        <w:tabs>
          <w:tab w:val="clear" w:pos="567"/>
        </w:tabs>
        <w:ind w:left="567" w:hanging="567"/>
        <w:rPr>
          <w:szCs w:val="22"/>
        </w:rPr>
      </w:pPr>
      <w:r w:rsidRPr="00B86130">
        <w:rPr>
          <w:b/>
          <w:szCs w:val="22"/>
        </w:rPr>
        <w:t xml:space="preserve">se è allergico </w:t>
      </w:r>
      <w:r w:rsidR="00ED17CD" w:rsidRPr="00B86130">
        <w:rPr>
          <w:b/>
          <w:szCs w:val="22"/>
        </w:rPr>
        <w:t xml:space="preserve">a </w:t>
      </w:r>
      <w:r w:rsidRPr="00B86130">
        <w:rPr>
          <w:b/>
          <w:szCs w:val="22"/>
        </w:rPr>
        <w:t>dimetilfumarato</w:t>
      </w:r>
      <w:r w:rsidRPr="00B86130">
        <w:rPr>
          <w:szCs w:val="22"/>
        </w:rPr>
        <w:t xml:space="preserve"> o ad uno qualsiasi degli altri componenti di questo medicinale (elencati al paragrafo</w:t>
      </w:r>
      <w:r w:rsidR="0086307D" w:rsidRPr="00B86130">
        <w:rPr>
          <w:szCs w:val="22"/>
        </w:rPr>
        <w:t> </w:t>
      </w:r>
      <w:r w:rsidRPr="00B86130">
        <w:rPr>
          <w:szCs w:val="22"/>
        </w:rPr>
        <w:t>6)</w:t>
      </w:r>
    </w:p>
    <w:p w14:paraId="0BC03E0D" w14:textId="38554CFB" w:rsidR="00985ED7" w:rsidRPr="00B86130" w:rsidRDefault="00985ED7" w:rsidP="00985ED7">
      <w:pPr>
        <w:widowControl w:val="0"/>
        <w:numPr>
          <w:ilvl w:val="0"/>
          <w:numId w:val="3"/>
        </w:numPr>
        <w:tabs>
          <w:tab w:val="clear" w:pos="567"/>
        </w:tabs>
        <w:ind w:left="567" w:hanging="567"/>
        <w:rPr>
          <w:b/>
        </w:rPr>
      </w:pPr>
      <w:r w:rsidRPr="00B86130">
        <w:rPr>
          <w:rStyle w:val="Strong"/>
        </w:rPr>
        <w:t xml:space="preserve">se si sospetta che </w:t>
      </w:r>
      <w:r w:rsidR="00D10168" w:rsidRPr="00B86130">
        <w:rPr>
          <w:rStyle w:val="Strong"/>
        </w:rPr>
        <w:t>l</w:t>
      </w:r>
      <w:r w:rsidRPr="00B86130">
        <w:rPr>
          <w:rStyle w:val="Strong"/>
        </w:rPr>
        <w:t>ei soffra di una rara infezione cerebrale chiamata leucoencefalopatia multifocale progressiva (PML) o se la diagnosi di PML è stata confermata.</w:t>
      </w:r>
    </w:p>
    <w:p w14:paraId="4DB91F17" w14:textId="77777777" w:rsidR="00717A16" w:rsidRPr="00B86130" w:rsidRDefault="00717A16">
      <w:pPr>
        <w:widowControl w:val="0"/>
        <w:tabs>
          <w:tab w:val="clear" w:pos="567"/>
        </w:tabs>
        <w:ind w:left="567"/>
        <w:rPr>
          <w:szCs w:val="22"/>
        </w:rPr>
      </w:pPr>
    </w:p>
    <w:p w14:paraId="51EA9663" w14:textId="77777777" w:rsidR="00717A16" w:rsidRPr="00B86130" w:rsidRDefault="00157A56">
      <w:pPr>
        <w:keepNext/>
        <w:widowControl w:val="0"/>
        <w:tabs>
          <w:tab w:val="clear" w:pos="567"/>
        </w:tabs>
        <w:rPr>
          <w:b/>
          <w:szCs w:val="22"/>
        </w:rPr>
      </w:pPr>
      <w:r w:rsidRPr="00B86130">
        <w:rPr>
          <w:b/>
          <w:szCs w:val="22"/>
        </w:rPr>
        <w:t>Avvertenze e precauzioni</w:t>
      </w:r>
    </w:p>
    <w:p w14:paraId="2F98366C" w14:textId="77777777" w:rsidR="00717A16" w:rsidRPr="00B86130" w:rsidRDefault="00717A16">
      <w:pPr>
        <w:keepNext/>
        <w:widowControl w:val="0"/>
        <w:tabs>
          <w:tab w:val="clear" w:pos="567"/>
        </w:tabs>
        <w:rPr>
          <w:b/>
          <w:szCs w:val="22"/>
        </w:rPr>
      </w:pPr>
    </w:p>
    <w:p w14:paraId="7D6C9AA2" w14:textId="2DC2F423" w:rsidR="00717A16" w:rsidRPr="00B86130" w:rsidRDefault="00C934D8">
      <w:pPr>
        <w:widowControl w:val="0"/>
        <w:tabs>
          <w:tab w:val="clear" w:pos="567"/>
        </w:tabs>
        <w:rPr>
          <w:szCs w:val="22"/>
        </w:rPr>
      </w:pPr>
      <w:r w:rsidRPr="00B86130">
        <w:rPr>
          <w:szCs w:val="22"/>
        </w:rPr>
        <w:t>Dimetilfumarato</w:t>
      </w:r>
      <w:r w:rsidRPr="00B86130" w:rsidDel="00C934D8">
        <w:rPr>
          <w:szCs w:val="22"/>
        </w:rPr>
        <w:t xml:space="preserve"> </w:t>
      </w:r>
      <w:r w:rsidR="009A3123" w:rsidRPr="00B86130">
        <w:rPr>
          <w:szCs w:val="22"/>
        </w:rPr>
        <w:t>Accord</w:t>
      </w:r>
      <w:r w:rsidR="00157A56" w:rsidRPr="00B86130">
        <w:rPr>
          <w:szCs w:val="22"/>
        </w:rPr>
        <w:t xml:space="preserve"> può influire sul </w:t>
      </w:r>
      <w:r w:rsidR="00157A56" w:rsidRPr="00B86130">
        <w:rPr>
          <w:b/>
          <w:szCs w:val="22"/>
        </w:rPr>
        <w:t>numero dei globuli bianchi nel sangue</w:t>
      </w:r>
      <w:r w:rsidR="00157A56" w:rsidRPr="00B86130">
        <w:rPr>
          <w:szCs w:val="22"/>
        </w:rPr>
        <w:t xml:space="preserve">, sui </w:t>
      </w:r>
      <w:r w:rsidR="00157A56" w:rsidRPr="00B86130">
        <w:rPr>
          <w:b/>
          <w:szCs w:val="22"/>
        </w:rPr>
        <w:t xml:space="preserve">reni </w:t>
      </w:r>
      <w:r w:rsidR="00157A56" w:rsidRPr="00B86130">
        <w:rPr>
          <w:szCs w:val="22"/>
        </w:rPr>
        <w:t>e sul</w:t>
      </w:r>
      <w:r w:rsidR="00157A56" w:rsidRPr="00B86130">
        <w:rPr>
          <w:b/>
          <w:szCs w:val="22"/>
        </w:rPr>
        <w:t xml:space="preserve"> fegato</w:t>
      </w:r>
      <w:r w:rsidR="00157A56" w:rsidRPr="00B86130">
        <w:rPr>
          <w:szCs w:val="22"/>
        </w:rPr>
        <w:t xml:space="preserve">. Prima di iniziare a prendere </w:t>
      </w:r>
      <w:r w:rsidRPr="00B86130">
        <w:rPr>
          <w:szCs w:val="22"/>
        </w:rPr>
        <w:t>Dimetilfumarato</w:t>
      </w:r>
      <w:r w:rsidRPr="00B86130" w:rsidDel="00C934D8">
        <w:rPr>
          <w:szCs w:val="22"/>
        </w:rPr>
        <w:t xml:space="preserve"> </w:t>
      </w:r>
      <w:r w:rsidR="00190823" w:rsidRPr="00B86130">
        <w:rPr>
          <w:szCs w:val="22"/>
        </w:rPr>
        <w:t>Accord</w:t>
      </w:r>
      <w:r w:rsidR="00157A56" w:rsidRPr="00B86130">
        <w:rPr>
          <w:szCs w:val="22"/>
        </w:rPr>
        <w:t xml:space="preserve">, il medico la sottoporrà ad un esame del sangue per contare il numero dei suoi globuli bianchi e controllerà che i reni e il fegato funzionino correttamente. Il medico effettuerà gli esami periodicamente durante il trattamento. Nel caso in cui il numero dei suoi globuli bianchi si riduca durante il trattamento, il medico può prendere in considerazione </w:t>
      </w:r>
      <w:r w:rsidR="00157A56" w:rsidRPr="00B86130">
        <w:t xml:space="preserve">ulteriori </w:t>
      </w:r>
      <w:r w:rsidR="00064DD8">
        <w:t>esam</w:t>
      </w:r>
      <w:r w:rsidR="00064DD8" w:rsidRPr="00B86130">
        <w:t xml:space="preserve">i </w:t>
      </w:r>
      <w:r w:rsidR="00157A56" w:rsidRPr="00B86130">
        <w:t xml:space="preserve">o </w:t>
      </w:r>
      <w:r w:rsidR="00157A56" w:rsidRPr="00B86130">
        <w:rPr>
          <w:szCs w:val="22"/>
        </w:rPr>
        <w:t>l’interruzione della terapia.</w:t>
      </w:r>
    </w:p>
    <w:p w14:paraId="4A752B0B" w14:textId="77777777" w:rsidR="00717A16" w:rsidRPr="00B86130" w:rsidRDefault="00717A16">
      <w:pPr>
        <w:widowControl w:val="0"/>
        <w:rPr>
          <w:b/>
          <w:szCs w:val="22"/>
        </w:rPr>
      </w:pPr>
    </w:p>
    <w:p w14:paraId="0C0117F2" w14:textId="4BFFA2AC" w:rsidR="00717A16" w:rsidRPr="00B86130" w:rsidRDefault="00157A56">
      <w:pPr>
        <w:widowControl w:val="0"/>
        <w:rPr>
          <w:szCs w:val="22"/>
        </w:rPr>
      </w:pPr>
      <w:r w:rsidRPr="00B86130">
        <w:rPr>
          <w:b/>
          <w:szCs w:val="22"/>
        </w:rPr>
        <w:t>Si rivolga al medico</w:t>
      </w:r>
      <w:r w:rsidRPr="00B86130">
        <w:rPr>
          <w:szCs w:val="22"/>
        </w:rPr>
        <w:t xml:space="preserve"> prima di prendere </w:t>
      </w:r>
      <w:r w:rsidR="00C934D8" w:rsidRPr="00B86130">
        <w:rPr>
          <w:szCs w:val="22"/>
        </w:rPr>
        <w:t>Dimetilfumarato</w:t>
      </w:r>
      <w:r w:rsidR="00C934D8" w:rsidRPr="00B86130" w:rsidDel="00C934D8">
        <w:rPr>
          <w:szCs w:val="22"/>
        </w:rPr>
        <w:t xml:space="preserve"> </w:t>
      </w:r>
      <w:r w:rsidR="009A3123" w:rsidRPr="00B86130">
        <w:rPr>
          <w:szCs w:val="22"/>
        </w:rPr>
        <w:t>Accord</w:t>
      </w:r>
      <w:r w:rsidRPr="00B86130">
        <w:rPr>
          <w:szCs w:val="22"/>
        </w:rPr>
        <w:t xml:space="preserve"> se ha:</w:t>
      </w:r>
    </w:p>
    <w:p w14:paraId="21005550" w14:textId="77777777" w:rsidR="00717A16" w:rsidRPr="00B86130" w:rsidRDefault="00157A56">
      <w:pPr>
        <w:widowControl w:val="0"/>
        <w:numPr>
          <w:ilvl w:val="0"/>
          <w:numId w:val="3"/>
        </w:numPr>
        <w:tabs>
          <w:tab w:val="clear" w:pos="567"/>
        </w:tabs>
        <w:ind w:left="567" w:hanging="567"/>
        <w:rPr>
          <w:b/>
          <w:szCs w:val="22"/>
        </w:rPr>
      </w:pPr>
      <w:r w:rsidRPr="00B86130">
        <w:rPr>
          <w:szCs w:val="22"/>
        </w:rPr>
        <w:t xml:space="preserve">una malattia grave ai </w:t>
      </w:r>
      <w:r w:rsidRPr="00B86130">
        <w:rPr>
          <w:b/>
          <w:szCs w:val="22"/>
        </w:rPr>
        <w:t>reni</w:t>
      </w:r>
    </w:p>
    <w:p w14:paraId="24D5B2F5" w14:textId="77777777" w:rsidR="00717A16" w:rsidRPr="00B86130" w:rsidRDefault="00157A56">
      <w:pPr>
        <w:widowControl w:val="0"/>
        <w:numPr>
          <w:ilvl w:val="0"/>
          <w:numId w:val="3"/>
        </w:numPr>
        <w:tabs>
          <w:tab w:val="clear" w:pos="567"/>
        </w:tabs>
        <w:ind w:left="567" w:hanging="567"/>
        <w:rPr>
          <w:b/>
          <w:szCs w:val="22"/>
        </w:rPr>
      </w:pPr>
      <w:r w:rsidRPr="00B86130">
        <w:rPr>
          <w:szCs w:val="22"/>
        </w:rPr>
        <w:t xml:space="preserve">una malattia grave al </w:t>
      </w:r>
      <w:r w:rsidRPr="00B86130">
        <w:rPr>
          <w:b/>
          <w:szCs w:val="22"/>
        </w:rPr>
        <w:t>fegato</w:t>
      </w:r>
    </w:p>
    <w:p w14:paraId="353F3320" w14:textId="77777777" w:rsidR="00717A16" w:rsidRPr="00B86130" w:rsidRDefault="00157A56">
      <w:pPr>
        <w:widowControl w:val="0"/>
        <w:numPr>
          <w:ilvl w:val="0"/>
          <w:numId w:val="3"/>
        </w:numPr>
        <w:tabs>
          <w:tab w:val="clear" w:pos="567"/>
        </w:tabs>
        <w:ind w:left="567" w:hanging="567"/>
        <w:rPr>
          <w:b/>
          <w:szCs w:val="22"/>
        </w:rPr>
      </w:pPr>
      <w:r w:rsidRPr="00B86130">
        <w:rPr>
          <w:szCs w:val="22"/>
        </w:rPr>
        <w:t xml:space="preserve">una malattia allo </w:t>
      </w:r>
      <w:r w:rsidRPr="00B86130">
        <w:rPr>
          <w:b/>
          <w:szCs w:val="22"/>
        </w:rPr>
        <w:t>stomaco</w:t>
      </w:r>
      <w:r w:rsidRPr="00B86130">
        <w:rPr>
          <w:szCs w:val="22"/>
        </w:rPr>
        <w:t xml:space="preserve"> o all’</w:t>
      </w:r>
      <w:r w:rsidRPr="00B86130">
        <w:rPr>
          <w:b/>
          <w:szCs w:val="22"/>
        </w:rPr>
        <w:t>intestino</w:t>
      </w:r>
    </w:p>
    <w:p w14:paraId="54992F76" w14:textId="77777777" w:rsidR="00717A16" w:rsidRPr="00B86130" w:rsidRDefault="00157A56">
      <w:pPr>
        <w:widowControl w:val="0"/>
        <w:numPr>
          <w:ilvl w:val="0"/>
          <w:numId w:val="3"/>
        </w:numPr>
        <w:tabs>
          <w:tab w:val="clear" w:pos="567"/>
        </w:tabs>
        <w:ind w:left="567" w:hanging="567"/>
        <w:rPr>
          <w:szCs w:val="22"/>
        </w:rPr>
      </w:pPr>
      <w:r w:rsidRPr="00B86130">
        <w:rPr>
          <w:szCs w:val="22"/>
        </w:rPr>
        <w:t>un’</w:t>
      </w:r>
      <w:r w:rsidRPr="00B86130">
        <w:rPr>
          <w:b/>
          <w:szCs w:val="22"/>
        </w:rPr>
        <w:t>infezione</w:t>
      </w:r>
      <w:r w:rsidRPr="00B86130">
        <w:rPr>
          <w:szCs w:val="22"/>
        </w:rPr>
        <w:t xml:space="preserve"> grave (come la polmonite)</w:t>
      </w:r>
    </w:p>
    <w:p w14:paraId="13BE9DBB" w14:textId="77777777" w:rsidR="00717A16" w:rsidRPr="00B86130" w:rsidRDefault="00717A16">
      <w:pPr>
        <w:widowControl w:val="0"/>
        <w:tabs>
          <w:tab w:val="clear" w:pos="567"/>
        </w:tabs>
        <w:rPr>
          <w:szCs w:val="22"/>
        </w:rPr>
      </w:pPr>
    </w:p>
    <w:p w14:paraId="12B5DCF0" w14:textId="29108CD5" w:rsidR="00717A16" w:rsidRPr="00B86130" w:rsidRDefault="00157A56">
      <w:r w:rsidRPr="00B86130">
        <w:t xml:space="preserve">Con il trattamento con </w:t>
      </w:r>
      <w:r w:rsidR="00C934D8" w:rsidRPr="00B86130">
        <w:t>Dimetilfumarato</w:t>
      </w:r>
      <w:r w:rsidR="00C934D8" w:rsidRPr="00B86130" w:rsidDel="00C934D8">
        <w:t xml:space="preserve"> </w:t>
      </w:r>
      <w:r w:rsidR="009A3123" w:rsidRPr="00B86130">
        <w:t>Accord</w:t>
      </w:r>
      <w:r w:rsidRPr="00B86130">
        <w:t xml:space="preserve"> si possono verificare casi di infezione da herpes zoster (fuoco di S. Antonio). In alcuni casi si sono verificate gravi complicanze. </w:t>
      </w:r>
      <w:r w:rsidRPr="00B86130">
        <w:rPr>
          <w:rStyle w:val="Strong"/>
        </w:rPr>
        <w:t>Informi il medico</w:t>
      </w:r>
      <w:r w:rsidRPr="00B86130">
        <w:t xml:space="preserve"> immediatamente, se sospetta di avere qualsiasi sintomo dell'infezione da herpes zoster.</w:t>
      </w:r>
    </w:p>
    <w:p w14:paraId="65E99A08" w14:textId="77777777" w:rsidR="00941CDA" w:rsidRPr="00B86130" w:rsidRDefault="00941CDA"/>
    <w:p w14:paraId="4DC7239C" w14:textId="1B561A49" w:rsidR="00941CDA" w:rsidRPr="00B86130" w:rsidRDefault="00941CDA">
      <w:pPr>
        <w:rPr>
          <w:lang w:eastAsia="zh-CN"/>
        </w:rPr>
      </w:pPr>
      <w:r w:rsidRPr="00B86130">
        <w:t xml:space="preserve">Se lei crede che </w:t>
      </w:r>
      <w:r w:rsidR="00ED17CD" w:rsidRPr="00B86130">
        <w:t xml:space="preserve">la sclerosi multipla </w:t>
      </w:r>
      <w:r w:rsidRPr="00B86130">
        <w:t>stia peggiorando (ad es</w:t>
      </w:r>
      <w:r w:rsidR="00C43850" w:rsidRPr="00B86130">
        <w:t>empio, se avverte</w:t>
      </w:r>
      <w:r w:rsidRPr="00B86130">
        <w:t xml:space="preserve"> debolezza o alterazioni </w:t>
      </w:r>
      <w:r w:rsidR="00C43850" w:rsidRPr="00B86130">
        <w:t>della vista</w:t>
      </w:r>
      <w:r w:rsidRPr="00B86130">
        <w:t xml:space="preserve">) o se nota </w:t>
      </w:r>
      <w:r w:rsidR="00775447" w:rsidRPr="00B86130">
        <w:t xml:space="preserve">nuovi sintomi, </w:t>
      </w:r>
      <w:r w:rsidR="00C43850" w:rsidRPr="00B86130">
        <w:t>si rivolga</w:t>
      </w:r>
      <w:r w:rsidR="00775447" w:rsidRPr="00B86130">
        <w:t xml:space="preserve"> immediatamente </w:t>
      </w:r>
      <w:r w:rsidR="00C43850" w:rsidRPr="00B86130">
        <w:t>a</w:t>
      </w:r>
      <w:r w:rsidR="00775447" w:rsidRPr="00B86130">
        <w:t xml:space="preserve">l medico perché questi potrebbero essere sintomi di una rara infezione </w:t>
      </w:r>
      <w:r w:rsidR="00C43850" w:rsidRPr="00B86130">
        <w:t>al cervello</w:t>
      </w:r>
      <w:r w:rsidR="00775447" w:rsidRPr="00B86130">
        <w:t xml:space="preserve"> chiamata </w:t>
      </w:r>
      <w:r w:rsidR="00021C48" w:rsidRPr="00B86130">
        <w:t>PML</w:t>
      </w:r>
      <w:r w:rsidR="00775447" w:rsidRPr="00B86130">
        <w:t xml:space="preserve">. </w:t>
      </w:r>
      <w:r w:rsidR="00C43850" w:rsidRPr="00B86130">
        <w:t xml:space="preserve">La </w:t>
      </w:r>
      <w:r w:rsidR="00021C48" w:rsidRPr="00B86130">
        <w:t>PML</w:t>
      </w:r>
      <w:r w:rsidR="00775447" w:rsidRPr="00B86130">
        <w:t xml:space="preserve"> è una condizione seria che può portare a disabilità grave o alla morte.</w:t>
      </w:r>
    </w:p>
    <w:p w14:paraId="6BADF76E" w14:textId="77777777" w:rsidR="00717A16" w:rsidRPr="00B86130" w:rsidRDefault="00717A16"/>
    <w:p w14:paraId="0BFA160C" w14:textId="2EA9AB39" w:rsidR="00717A16" w:rsidRPr="00B86130" w:rsidRDefault="00157A56">
      <w:pPr>
        <w:rPr>
          <w:lang w:eastAsia="zh-CN"/>
        </w:rPr>
      </w:pPr>
      <w:r w:rsidRPr="00B86130">
        <w:t xml:space="preserve">Con un medicinale contenente dimetilfumarato in </w:t>
      </w:r>
      <w:r w:rsidR="00CB279F" w:rsidRPr="00B86130">
        <w:t xml:space="preserve">associazione ad </w:t>
      </w:r>
      <w:r w:rsidRPr="00B86130">
        <w:t xml:space="preserve">altri esteri dell'acido fumarico, utilizzato per il trattamento della psoriasi (una malattia della pelle), si è osservato un disturbo renale raro, ma grave (sindrome di Fanconi). Se nota di urinare in modo più abbondante, se ha più sete e se beve più del normale, i muscoli sono più deboli, oppure in caso di frattura o solo di dolore, contatti il medico il prima possibile in modo che siano </w:t>
      </w:r>
      <w:r w:rsidR="00CB279F" w:rsidRPr="00B86130">
        <w:t xml:space="preserve">avviate </w:t>
      </w:r>
      <w:r w:rsidRPr="00B86130">
        <w:t>indagini approfondite.</w:t>
      </w:r>
    </w:p>
    <w:p w14:paraId="142C912B" w14:textId="77777777" w:rsidR="00717A16" w:rsidRPr="00B86130" w:rsidRDefault="00717A16">
      <w:pPr>
        <w:widowControl w:val="0"/>
        <w:tabs>
          <w:tab w:val="clear" w:pos="567"/>
        </w:tabs>
        <w:rPr>
          <w:szCs w:val="22"/>
        </w:rPr>
      </w:pPr>
    </w:p>
    <w:p w14:paraId="0CC9EB0D" w14:textId="77777777" w:rsidR="00717A16" w:rsidRPr="00B86130" w:rsidRDefault="00157A56">
      <w:pPr>
        <w:widowControl w:val="0"/>
        <w:tabs>
          <w:tab w:val="clear" w:pos="567"/>
        </w:tabs>
        <w:rPr>
          <w:b/>
          <w:szCs w:val="22"/>
        </w:rPr>
      </w:pPr>
      <w:r w:rsidRPr="00B86130">
        <w:rPr>
          <w:b/>
          <w:szCs w:val="22"/>
        </w:rPr>
        <w:t>Bambini e adolescenti</w:t>
      </w:r>
    </w:p>
    <w:p w14:paraId="394B0FB0" w14:textId="78611259" w:rsidR="00717A16" w:rsidRDefault="00136B35">
      <w:pPr>
        <w:widowControl w:val="0"/>
        <w:tabs>
          <w:tab w:val="clear" w:pos="567"/>
        </w:tabs>
        <w:rPr>
          <w:szCs w:val="22"/>
        </w:rPr>
      </w:pPr>
      <w:r w:rsidRPr="00136B35">
        <w:rPr>
          <w:szCs w:val="22"/>
        </w:rPr>
        <w:t>Non somministrare il farmaco a bambini di età inferiore ai 10 anni perché non sono disponibili dati su questa fascia di età.</w:t>
      </w:r>
    </w:p>
    <w:p w14:paraId="6321319C" w14:textId="77777777" w:rsidR="00717A16" w:rsidRPr="00B86130" w:rsidRDefault="00717A16">
      <w:pPr>
        <w:widowControl w:val="0"/>
        <w:tabs>
          <w:tab w:val="clear" w:pos="567"/>
        </w:tabs>
        <w:rPr>
          <w:b/>
          <w:szCs w:val="22"/>
        </w:rPr>
      </w:pPr>
    </w:p>
    <w:p w14:paraId="0B7909FD" w14:textId="17AEA0A2" w:rsidR="00717A16" w:rsidRPr="00B86130" w:rsidRDefault="00157A56">
      <w:pPr>
        <w:widowControl w:val="0"/>
        <w:tabs>
          <w:tab w:val="clear" w:pos="567"/>
        </w:tabs>
        <w:ind w:right="-2"/>
        <w:rPr>
          <w:b/>
          <w:szCs w:val="22"/>
        </w:rPr>
      </w:pPr>
      <w:r w:rsidRPr="00B86130">
        <w:rPr>
          <w:b/>
          <w:szCs w:val="22"/>
        </w:rPr>
        <w:t xml:space="preserve">Altri medicinali e </w:t>
      </w:r>
      <w:r w:rsidR="00C934D8" w:rsidRPr="00B86130">
        <w:rPr>
          <w:b/>
          <w:szCs w:val="22"/>
        </w:rPr>
        <w:t>Dimetilfumarato</w:t>
      </w:r>
      <w:r w:rsidR="00C934D8" w:rsidRPr="00B86130" w:rsidDel="00C934D8">
        <w:rPr>
          <w:b/>
          <w:szCs w:val="22"/>
        </w:rPr>
        <w:t xml:space="preserve"> </w:t>
      </w:r>
      <w:r w:rsidR="009A3123" w:rsidRPr="00B86130">
        <w:rPr>
          <w:b/>
          <w:szCs w:val="22"/>
        </w:rPr>
        <w:t>Accord</w:t>
      </w:r>
    </w:p>
    <w:p w14:paraId="3D80D9FF" w14:textId="77777777" w:rsidR="00717A16" w:rsidRPr="00B86130" w:rsidRDefault="00717A16">
      <w:pPr>
        <w:widowControl w:val="0"/>
        <w:tabs>
          <w:tab w:val="clear" w:pos="567"/>
        </w:tabs>
        <w:ind w:right="-2"/>
        <w:rPr>
          <w:szCs w:val="22"/>
        </w:rPr>
      </w:pPr>
    </w:p>
    <w:p w14:paraId="1337D020" w14:textId="77777777" w:rsidR="00717A16" w:rsidRPr="00B86130" w:rsidRDefault="00157A56">
      <w:pPr>
        <w:widowControl w:val="0"/>
        <w:tabs>
          <w:tab w:val="clear" w:pos="567"/>
        </w:tabs>
        <w:ind w:right="-2"/>
        <w:rPr>
          <w:szCs w:val="22"/>
        </w:rPr>
      </w:pPr>
      <w:r w:rsidRPr="00B86130">
        <w:rPr>
          <w:b/>
          <w:szCs w:val="22"/>
        </w:rPr>
        <w:t>Informi il medico o il farmacista</w:t>
      </w:r>
      <w:r w:rsidRPr="00B86130">
        <w:rPr>
          <w:szCs w:val="22"/>
        </w:rPr>
        <w:t xml:space="preserve"> se sta assumendo, ha recentemente assunto o potrebbe assumere qualsiasi altro medicinale, in particolare:</w:t>
      </w:r>
    </w:p>
    <w:p w14:paraId="5F380FD9" w14:textId="77777777" w:rsidR="00717A16" w:rsidRPr="00B86130" w:rsidRDefault="00157A56" w:rsidP="00CB279F">
      <w:pPr>
        <w:widowControl w:val="0"/>
        <w:numPr>
          <w:ilvl w:val="0"/>
          <w:numId w:val="2"/>
        </w:numPr>
        <w:tabs>
          <w:tab w:val="clear" w:pos="567"/>
        </w:tabs>
        <w:ind w:left="567" w:right="-2" w:hanging="567"/>
        <w:rPr>
          <w:szCs w:val="22"/>
        </w:rPr>
      </w:pPr>
      <w:r w:rsidRPr="00B86130">
        <w:rPr>
          <w:szCs w:val="22"/>
        </w:rPr>
        <w:t xml:space="preserve">medicinali che contengono </w:t>
      </w:r>
      <w:r w:rsidRPr="00B86130">
        <w:rPr>
          <w:b/>
          <w:szCs w:val="22"/>
        </w:rPr>
        <w:t>esteri dell’acido fumarico</w:t>
      </w:r>
      <w:r w:rsidRPr="00B86130">
        <w:rPr>
          <w:szCs w:val="22"/>
        </w:rPr>
        <w:t xml:space="preserve"> (fumarati) utilizzati per il trattamento della psoriasi</w:t>
      </w:r>
    </w:p>
    <w:p w14:paraId="04C4E8D4" w14:textId="723C97A9" w:rsidR="00717A16" w:rsidRPr="00B86130" w:rsidRDefault="00157A56" w:rsidP="00CB279F">
      <w:pPr>
        <w:pStyle w:val="ListParagraph"/>
        <w:widowControl w:val="0"/>
        <w:numPr>
          <w:ilvl w:val="0"/>
          <w:numId w:val="2"/>
        </w:numPr>
        <w:tabs>
          <w:tab w:val="clear" w:pos="567"/>
        </w:tabs>
        <w:autoSpaceDE w:val="0"/>
        <w:ind w:left="567" w:hanging="567"/>
        <w:rPr>
          <w:szCs w:val="22"/>
        </w:rPr>
      </w:pPr>
      <w:r w:rsidRPr="00B86130">
        <w:rPr>
          <w:b/>
          <w:szCs w:val="22"/>
        </w:rPr>
        <w:t xml:space="preserve">medicinali che influiscono sul sistema immunitario, </w:t>
      </w:r>
      <w:r w:rsidRPr="00B86130">
        <w:rPr>
          <w:szCs w:val="22"/>
        </w:rPr>
        <w:t xml:space="preserve">compresi </w:t>
      </w:r>
      <w:r w:rsidR="009D5C2B" w:rsidRPr="0057555B">
        <w:rPr>
          <w:b/>
          <w:szCs w:val="22"/>
        </w:rPr>
        <w:t>chemioterapici</w:t>
      </w:r>
      <w:r w:rsidR="009D5C2B">
        <w:rPr>
          <w:szCs w:val="22"/>
        </w:rPr>
        <w:t xml:space="preserve">, immunosoppressori o </w:t>
      </w:r>
      <w:r w:rsidRPr="00B86130">
        <w:rPr>
          <w:b/>
          <w:szCs w:val="22"/>
        </w:rPr>
        <w:t>altri medicinali utilizzati per il trattamento della sclerosi multipla</w:t>
      </w:r>
      <w:r w:rsidR="009D5C2B">
        <w:rPr>
          <w:szCs w:val="22"/>
        </w:rPr>
        <w:t>;</w:t>
      </w:r>
    </w:p>
    <w:p w14:paraId="1124BD33" w14:textId="602BB4AC" w:rsidR="00717A16" w:rsidRPr="00B86130" w:rsidRDefault="00157A56" w:rsidP="00CB279F">
      <w:pPr>
        <w:pStyle w:val="ListParagraph"/>
        <w:widowControl w:val="0"/>
        <w:numPr>
          <w:ilvl w:val="0"/>
          <w:numId w:val="2"/>
        </w:numPr>
        <w:tabs>
          <w:tab w:val="clear" w:pos="567"/>
        </w:tabs>
        <w:autoSpaceDE w:val="0"/>
        <w:ind w:left="567" w:hanging="567"/>
        <w:rPr>
          <w:b/>
          <w:szCs w:val="22"/>
        </w:rPr>
      </w:pPr>
      <w:r w:rsidRPr="00B86130">
        <w:rPr>
          <w:b/>
          <w:szCs w:val="22"/>
        </w:rPr>
        <w:t>medicinali che influiscono sui reni, compresi alcuni</w:t>
      </w:r>
      <w:r w:rsidR="00972DC3" w:rsidRPr="00B86130">
        <w:rPr>
          <w:b/>
          <w:szCs w:val="22"/>
        </w:rPr>
        <w:t xml:space="preserve"> </w:t>
      </w:r>
      <w:r w:rsidRPr="00B86130">
        <w:rPr>
          <w:b/>
          <w:szCs w:val="22"/>
        </w:rPr>
        <w:t>antibiotici</w:t>
      </w:r>
      <w:r w:rsidRPr="00B86130">
        <w:rPr>
          <w:szCs w:val="22"/>
        </w:rPr>
        <w:t xml:space="preserve"> (utilizzati per il trattamento delle infezioni), </w:t>
      </w:r>
      <w:r w:rsidRPr="00B86130">
        <w:rPr>
          <w:b/>
          <w:szCs w:val="22"/>
        </w:rPr>
        <w:t>diuretici</w:t>
      </w:r>
      <w:r w:rsidRPr="00B86130">
        <w:rPr>
          <w:szCs w:val="22"/>
        </w:rPr>
        <w:t xml:space="preserve">, </w:t>
      </w:r>
      <w:r w:rsidRPr="00B86130">
        <w:rPr>
          <w:b/>
          <w:szCs w:val="22"/>
        </w:rPr>
        <w:t>alcuni tipi di analgesici</w:t>
      </w:r>
      <w:r w:rsidRPr="00B86130">
        <w:rPr>
          <w:szCs w:val="22"/>
        </w:rPr>
        <w:t xml:space="preserve"> (come ibuprofene e altri anti-infiammatori simili e medicinali acquistati senza la prescrizione di un medico) e medicinali che contengono</w:t>
      </w:r>
      <w:r w:rsidRPr="00B86130">
        <w:rPr>
          <w:b/>
          <w:szCs w:val="22"/>
        </w:rPr>
        <w:t xml:space="preserve"> litio</w:t>
      </w:r>
      <w:r w:rsidR="009D5C2B">
        <w:rPr>
          <w:b/>
          <w:szCs w:val="22"/>
        </w:rPr>
        <w:t>;</w:t>
      </w:r>
    </w:p>
    <w:p w14:paraId="497AF923" w14:textId="0309BDFA" w:rsidR="00717A16" w:rsidRPr="00B86130" w:rsidRDefault="00CB279F" w:rsidP="00CB279F">
      <w:pPr>
        <w:pStyle w:val="ListParagraph"/>
        <w:widowControl w:val="0"/>
        <w:numPr>
          <w:ilvl w:val="0"/>
          <w:numId w:val="2"/>
        </w:numPr>
        <w:tabs>
          <w:tab w:val="clear" w:pos="567"/>
        </w:tabs>
        <w:autoSpaceDE w:val="0"/>
        <w:ind w:left="567" w:hanging="567"/>
        <w:rPr>
          <w:szCs w:val="22"/>
        </w:rPr>
      </w:pPr>
      <w:r w:rsidRPr="00B86130">
        <w:rPr>
          <w:szCs w:val="22"/>
        </w:rPr>
        <w:t xml:space="preserve">l’assunzione </w:t>
      </w:r>
      <w:r w:rsidR="00157A56" w:rsidRPr="00B86130">
        <w:rPr>
          <w:szCs w:val="22"/>
        </w:rPr>
        <w:t xml:space="preserve">di </w:t>
      </w:r>
      <w:r w:rsidR="00C934D8" w:rsidRPr="00B86130">
        <w:rPr>
          <w:szCs w:val="22"/>
        </w:rPr>
        <w:t>Dimetilfumarato</w:t>
      </w:r>
      <w:r w:rsidR="00C934D8" w:rsidRPr="00B86130" w:rsidDel="00C934D8">
        <w:rPr>
          <w:szCs w:val="22"/>
        </w:rPr>
        <w:t xml:space="preserve"> </w:t>
      </w:r>
      <w:r w:rsidR="009A3123" w:rsidRPr="00B86130">
        <w:rPr>
          <w:szCs w:val="22"/>
        </w:rPr>
        <w:t>Accord</w:t>
      </w:r>
      <w:r w:rsidR="00157A56" w:rsidRPr="00B86130">
        <w:rPr>
          <w:szCs w:val="22"/>
        </w:rPr>
        <w:t xml:space="preserve"> con certi tipi di vaccini (</w:t>
      </w:r>
      <w:r w:rsidR="00157A56" w:rsidRPr="00B86130">
        <w:rPr>
          <w:i/>
          <w:szCs w:val="22"/>
        </w:rPr>
        <w:t>vaccini vivi</w:t>
      </w:r>
      <w:r w:rsidR="00157A56" w:rsidRPr="00B86130">
        <w:rPr>
          <w:szCs w:val="22"/>
        </w:rPr>
        <w:t>) potrebbe provocare un’infezione e deve essere quindi evitata. Il medico le comunicherà se debbano essere somministrati altri tipi di vaccini (</w:t>
      </w:r>
      <w:r w:rsidR="00157A56" w:rsidRPr="00B86130">
        <w:rPr>
          <w:i/>
          <w:szCs w:val="22"/>
        </w:rPr>
        <w:t>vaccini non vivi</w:t>
      </w:r>
      <w:r w:rsidR="00157A56" w:rsidRPr="00B86130">
        <w:rPr>
          <w:szCs w:val="22"/>
        </w:rPr>
        <w:t>).</w:t>
      </w:r>
    </w:p>
    <w:p w14:paraId="0DB4829E" w14:textId="77777777" w:rsidR="00717A16" w:rsidRPr="00B86130" w:rsidRDefault="00717A16">
      <w:pPr>
        <w:widowControl w:val="0"/>
        <w:tabs>
          <w:tab w:val="clear" w:pos="567"/>
        </w:tabs>
        <w:rPr>
          <w:szCs w:val="22"/>
        </w:rPr>
      </w:pPr>
    </w:p>
    <w:p w14:paraId="6103A523" w14:textId="27C9BFAB" w:rsidR="00717A16" w:rsidRPr="00B86130" w:rsidRDefault="00C934D8" w:rsidP="005917C0">
      <w:pPr>
        <w:keepNext/>
        <w:widowControl w:val="0"/>
        <w:tabs>
          <w:tab w:val="clear" w:pos="567"/>
        </w:tabs>
        <w:rPr>
          <w:b/>
          <w:szCs w:val="22"/>
        </w:rPr>
      </w:pPr>
      <w:r w:rsidRPr="00B86130">
        <w:rPr>
          <w:b/>
          <w:spacing w:val="-1"/>
        </w:rPr>
        <w:t>Dimetilfumarato</w:t>
      </w:r>
      <w:r w:rsidRPr="00B86130" w:rsidDel="00C934D8">
        <w:rPr>
          <w:b/>
          <w:spacing w:val="-1"/>
        </w:rPr>
        <w:t xml:space="preserve"> </w:t>
      </w:r>
      <w:r w:rsidR="009A3123" w:rsidRPr="00B86130">
        <w:rPr>
          <w:b/>
          <w:spacing w:val="-1"/>
        </w:rPr>
        <w:t>Accord</w:t>
      </w:r>
      <w:r w:rsidR="00157A56" w:rsidRPr="00B86130">
        <w:rPr>
          <w:b/>
          <w:szCs w:val="22"/>
        </w:rPr>
        <w:t xml:space="preserve"> con alcol</w:t>
      </w:r>
    </w:p>
    <w:p w14:paraId="63E32354" w14:textId="77777777" w:rsidR="00717A16" w:rsidRPr="00B86130" w:rsidRDefault="00717A16" w:rsidP="005917C0">
      <w:pPr>
        <w:keepNext/>
        <w:widowControl w:val="0"/>
        <w:tabs>
          <w:tab w:val="clear" w:pos="567"/>
        </w:tabs>
        <w:rPr>
          <w:b/>
          <w:szCs w:val="22"/>
        </w:rPr>
      </w:pPr>
    </w:p>
    <w:p w14:paraId="1BCF31C6" w14:textId="09F6A62B" w:rsidR="00717A16" w:rsidRPr="00B86130" w:rsidRDefault="00157A56">
      <w:pPr>
        <w:widowControl w:val="0"/>
        <w:tabs>
          <w:tab w:val="clear" w:pos="567"/>
        </w:tabs>
        <w:rPr>
          <w:szCs w:val="22"/>
        </w:rPr>
      </w:pPr>
      <w:r w:rsidRPr="00B86130">
        <w:rPr>
          <w:szCs w:val="22"/>
        </w:rPr>
        <w:t xml:space="preserve">Il consumo di bevande ad </w:t>
      </w:r>
      <w:r w:rsidR="00136B35">
        <w:rPr>
          <w:szCs w:val="22"/>
        </w:rPr>
        <w:t>basso</w:t>
      </w:r>
      <w:r w:rsidRPr="00B86130">
        <w:rPr>
          <w:szCs w:val="22"/>
        </w:rPr>
        <w:t xml:space="preserve"> tasso alcolico (più del 30% di alcol in volume, ad es. liquori) maggiore di una piccola quantità </w:t>
      </w:r>
      <w:r w:rsidR="000253A1" w:rsidRPr="00B86130">
        <w:rPr>
          <w:szCs w:val="22"/>
        </w:rPr>
        <w:t>(più di 50 mL</w:t>
      </w:r>
      <w:r w:rsidR="00CB279F" w:rsidRPr="00B86130">
        <w:rPr>
          <w:szCs w:val="22"/>
        </w:rPr>
        <w:t>)</w:t>
      </w:r>
      <w:r w:rsidR="000253A1" w:rsidRPr="00B86130">
        <w:rPr>
          <w:szCs w:val="22"/>
        </w:rPr>
        <w:t xml:space="preserve"> </w:t>
      </w:r>
      <w:r w:rsidRPr="00B86130">
        <w:rPr>
          <w:szCs w:val="22"/>
        </w:rPr>
        <w:t xml:space="preserve">deve essere evitato entro un’ora dall’assunzione di </w:t>
      </w:r>
      <w:r w:rsidR="00C934D8" w:rsidRPr="00B86130">
        <w:rPr>
          <w:szCs w:val="22"/>
        </w:rPr>
        <w:t>Dimetilfumarato</w:t>
      </w:r>
      <w:r w:rsidR="00C934D8" w:rsidRPr="00B86130" w:rsidDel="00C934D8">
        <w:rPr>
          <w:szCs w:val="22"/>
        </w:rPr>
        <w:t xml:space="preserve"> </w:t>
      </w:r>
      <w:r w:rsidR="001A1F58" w:rsidRPr="00B86130">
        <w:rPr>
          <w:szCs w:val="22"/>
        </w:rPr>
        <w:t>Accord</w:t>
      </w:r>
      <w:r w:rsidRPr="00B86130">
        <w:rPr>
          <w:szCs w:val="22"/>
        </w:rPr>
        <w:t>, perché l’alcol può interagire con questo medicinale. Questo potrebbe causare infiammazione dello stomaco (gastrite), particolarmente nelle persone già soggette a gastrite.</w:t>
      </w:r>
    </w:p>
    <w:p w14:paraId="76B52DC0" w14:textId="77777777" w:rsidR="00717A16" w:rsidRPr="00B86130" w:rsidRDefault="00717A16">
      <w:pPr>
        <w:widowControl w:val="0"/>
        <w:tabs>
          <w:tab w:val="clear" w:pos="567"/>
        </w:tabs>
        <w:rPr>
          <w:szCs w:val="22"/>
        </w:rPr>
      </w:pPr>
    </w:p>
    <w:p w14:paraId="1FA92121" w14:textId="77777777" w:rsidR="00717A16" w:rsidRPr="00B86130" w:rsidRDefault="00157A56">
      <w:pPr>
        <w:keepNext/>
        <w:widowControl w:val="0"/>
        <w:tabs>
          <w:tab w:val="clear" w:pos="567"/>
        </w:tabs>
        <w:rPr>
          <w:szCs w:val="22"/>
        </w:rPr>
      </w:pPr>
      <w:r w:rsidRPr="00B86130">
        <w:rPr>
          <w:b/>
          <w:szCs w:val="22"/>
        </w:rPr>
        <w:t>Gravidanza e allattamento</w:t>
      </w:r>
    </w:p>
    <w:p w14:paraId="3668A490" w14:textId="77777777" w:rsidR="00717A16" w:rsidRPr="00B86130" w:rsidRDefault="00717A16">
      <w:pPr>
        <w:keepNext/>
        <w:widowControl w:val="0"/>
        <w:tabs>
          <w:tab w:val="clear" w:pos="567"/>
        </w:tabs>
        <w:rPr>
          <w:szCs w:val="22"/>
        </w:rPr>
      </w:pPr>
    </w:p>
    <w:p w14:paraId="677DFD47" w14:textId="77777777" w:rsidR="00717A16" w:rsidRPr="00B86130" w:rsidRDefault="00157A56">
      <w:pPr>
        <w:widowControl w:val="0"/>
        <w:tabs>
          <w:tab w:val="clear" w:pos="567"/>
        </w:tabs>
        <w:rPr>
          <w:szCs w:val="22"/>
        </w:rPr>
      </w:pPr>
      <w:r w:rsidRPr="00B86130">
        <w:rPr>
          <w:szCs w:val="22"/>
        </w:rPr>
        <w:t>Se è in corso una gravidanza, se sospetta o sta pianificando una gravidanza o se sta allattando con latte materno chieda consiglio al medico o al farmacista prima di prendere questo medicinale.</w:t>
      </w:r>
    </w:p>
    <w:p w14:paraId="676A8C3E" w14:textId="77777777" w:rsidR="00717A16" w:rsidRPr="00B86130" w:rsidRDefault="00717A16">
      <w:pPr>
        <w:widowControl w:val="0"/>
        <w:tabs>
          <w:tab w:val="clear" w:pos="567"/>
        </w:tabs>
        <w:rPr>
          <w:b/>
          <w:szCs w:val="22"/>
        </w:rPr>
      </w:pPr>
    </w:p>
    <w:p w14:paraId="7D932599" w14:textId="77777777" w:rsidR="00717A16" w:rsidRPr="00B86130" w:rsidRDefault="00157A56">
      <w:pPr>
        <w:keepNext/>
        <w:widowControl w:val="0"/>
        <w:tabs>
          <w:tab w:val="clear" w:pos="567"/>
        </w:tabs>
        <w:rPr>
          <w:szCs w:val="22"/>
          <w:u w:val="single"/>
        </w:rPr>
      </w:pPr>
      <w:r w:rsidRPr="00B86130">
        <w:rPr>
          <w:szCs w:val="22"/>
          <w:u w:val="single"/>
        </w:rPr>
        <w:t>Gravidanza</w:t>
      </w:r>
    </w:p>
    <w:p w14:paraId="1116612F" w14:textId="77777777" w:rsidR="00717A16" w:rsidRPr="00B86130" w:rsidRDefault="00717A16">
      <w:pPr>
        <w:keepNext/>
        <w:widowControl w:val="0"/>
        <w:tabs>
          <w:tab w:val="clear" w:pos="567"/>
        </w:tabs>
        <w:rPr>
          <w:b/>
          <w:szCs w:val="22"/>
        </w:rPr>
      </w:pPr>
    </w:p>
    <w:p w14:paraId="229B12A1" w14:textId="19614059" w:rsidR="00717A16" w:rsidRPr="00B86130" w:rsidRDefault="00EF4044">
      <w:pPr>
        <w:widowControl w:val="0"/>
        <w:tabs>
          <w:tab w:val="clear" w:pos="567"/>
        </w:tabs>
        <w:rPr>
          <w:szCs w:val="22"/>
        </w:rPr>
      </w:pPr>
      <w:r w:rsidRPr="00EF4044">
        <w:rPr>
          <w:szCs w:val="22"/>
        </w:rPr>
        <w:t xml:space="preserve">Ci sono informazioni limitate sugli effetti di questo medicinale sul nascituro, se utilizzato durante la gravidanza. </w:t>
      </w:r>
      <w:r w:rsidR="00157A56" w:rsidRPr="00B86130">
        <w:rPr>
          <w:szCs w:val="22"/>
        </w:rPr>
        <w:t xml:space="preserve">Non utilizzi </w:t>
      </w:r>
      <w:r w:rsidR="00C934D8" w:rsidRPr="00B86130">
        <w:rPr>
          <w:szCs w:val="22"/>
        </w:rPr>
        <w:t>Dimetilfumarato</w:t>
      </w:r>
      <w:r w:rsidR="00C934D8" w:rsidRPr="00B86130" w:rsidDel="00C934D8">
        <w:rPr>
          <w:szCs w:val="22"/>
        </w:rPr>
        <w:t xml:space="preserve"> </w:t>
      </w:r>
      <w:r w:rsidR="001A1F58" w:rsidRPr="00B86130">
        <w:rPr>
          <w:szCs w:val="22"/>
        </w:rPr>
        <w:t>Accord</w:t>
      </w:r>
      <w:r w:rsidR="00157A56" w:rsidRPr="00B86130">
        <w:rPr>
          <w:szCs w:val="22"/>
        </w:rPr>
        <w:t xml:space="preserve"> se è in gravidanza, a meno che non ne abbia discusso con il medico</w:t>
      </w:r>
      <w:r w:rsidRPr="00EF4044">
        <w:rPr>
          <w:szCs w:val="22"/>
        </w:rPr>
        <w:t xml:space="preserve"> e che questo medicinale sia chiaramente necessario per lei</w:t>
      </w:r>
      <w:r w:rsidR="00157A56" w:rsidRPr="00B86130">
        <w:rPr>
          <w:szCs w:val="22"/>
        </w:rPr>
        <w:t>.</w:t>
      </w:r>
    </w:p>
    <w:p w14:paraId="32267A10" w14:textId="77777777" w:rsidR="00717A16" w:rsidRPr="00B86130" w:rsidRDefault="00717A16">
      <w:pPr>
        <w:widowControl w:val="0"/>
        <w:tabs>
          <w:tab w:val="clear" w:pos="567"/>
        </w:tabs>
        <w:rPr>
          <w:szCs w:val="22"/>
        </w:rPr>
      </w:pPr>
    </w:p>
    <w:p w14:paraId="09258DE9" w14:textId="77777777" w:rsidR="00717A16" w:rsidRPr="00B86130" w:rsidRDefault="00157A56">
      <w:pPr>
        <w:keepNext/>
        <w:keepLines/>
        <w:tabs>
          <w:tab w:val="clear" w:pos="567"/>
        </w:tabs>
        <w:rPr>
          <w:szCs w:val="22"/>
          <w:u w:val="single"/>
        </w:rPr>
      </w:pPr>
      <w:r w:rsidRPr="00B86130">
        <w:rPr>
          <w:szCs w:val="22"/>
          <w:u w:val="single"/>
        </w:rPr>
        <w:t>Allattamento</w:t>
      </w:r>
    </w:p>
    <w:p w14:paraId="00C1CBCF" w14:textId="77777777" w:rsidR="00717A16" w:rsidRPr="00B86130" w:rsidRDefault="00717A16">
      <w:pPr>
        <w:keepNext/>
        <w:keepLines/>
        <w:tabs>
          <w:tab w:val="clear" w:pos="567"/>
        </w:tabs>
        <w:rPr>
          <w:b/>
          <w:szCs w:val="22"/>
        </w:rPr>
      </w:pPr>
    </w:p>
    <w:p w14:paraId="25B48577" w14:textId="315CECF4" w:rsidR="00717A16" w:rsidRPr="00B86130" w:rsidRDefault="00157A56">
      <w:pPr>
        <w:keepNext/>
        <w:keepLines/>
        <w:tabs>
          <w:tab w:val="clear" w:pos="567"/>
        </w:tabs>
        <w:rPr>
          <w:szCs w:val="22"/>
        </w:rPr>
      </w:pPr>
      <w:r w:rsidRPr="00B86130">
        <w:rPr>
          <w:szCs w:val="22"/>
        </w:rPr>
        <w:t xml:space="preserve">Non è noto se il principio attivo di </w:t>
      </w:r>
      <w:r w:rsidR="00C934D8" w:rsidRPr="00B86130">
        <w:rPr>
          <w:szCs w:val="22"/>
        </w:rPr>
        <w:t>Dimetilfumarato</w:t>
      </w:r>
      <w:r w:rsidR="00C934D8" w:rsidRPr="00B86130" w:rsidDel="00C934D8">
        <w:rPr>
          <w:szCs w:val="22"/>
        </w:rPr>
        <w:t xml:space="preserve"> </w:t>
      </w:r>
      <w:r w:rsidR="001A1F58" w:rsidRPr="00B86130">
        <w:rPr>
          <w:szCs w:val="22"/>
        </w:rPr>
        <w:t>Accord</w:t>
      </w:r>
      <w:r w:rsidRPr="00B86130">
        <w:rPr>
          <w:szCs w:val="22"/>
        </w:rPr>
        <w:t xml:space="preserve"> passi nel latte materno. Il medico l</w:t>
      </w:r>
      <w:r w:rsidR="00CB279F" w:rsidRPr="00B86130">
        <w:rPr>
          <w:szCs w:val="22"/>
        </w:rPr>
        <w:t xml:space="preserve">a </w:t>
      </w:r>
      <w:r w:rsidRPr="00B86130">
        <w:rPr>
          <w:szCs w:val="22"/>
        </w:rPr>
        <w:t xml:space="preserve">aiuterà a decidere se deve interrompere l’allattamento al seno o il trattamento con </w:t>
      </w:r>
      <w:r w:rsidR="00C934D8" w:rsidRPr="00B86130">
        <w:rPr>
          <w:szCs w:val="22"/>
        </w:rPr>
        <w:t>Dimetilfumarato</w:t>
      </w:r>
      <w:r w:rsidR="00C934D8" w:rsidRPr="00B86130" w:rsidDel="00C934D8">
        <w:rPr>
          <w:szCs w:val="22"/>
        </w:rPr>
        <w:t xml:space="preserve"> </w:t>
      </w:r>
      <w:r w:rsidR="00B41B6F" w:rsidRPr="00B86130">
        <w:rPr>
          <w:szCs w:val="22"/>
        </w:rPr>
        <w:t>Accord</w:t>
      </w:r>
      <w:r w:rsidRPr="00B86130">
        <w:rPr>
          <w:szCs w:val="22"/>
        </w:rPr>
        <w:t>. Questo comporta la valutazione del beneficio dell’allattamento per il bambino rispetto al beneficio della terapia per lei.</w:t>
      </w:r>
    </w:p>
    <w:p w14:paraId="1970E1BA" w14:textId="77777777" w:rsidR="00717A16" w:rsidRPr="00B86130" w:rsidRDefault="00717A16">
      <w:pPr>
        <w:widowControl w:val="0"/>
        <w:tabs>
          <w:tab w:val="clear" w:pos="567"/>
        </w:tabs>
        <w:rPr>
          <w:szCs w:val="22"/>
        </w:rPr>
      </w:pPr>
    </w:p>
    <w:p w14:paraId="1A906418" w14:textId="77777777" w:rsidR="00717A16" w:rsidRPr="00B86130" w:rsidRDefault="00157A56">
      <w:pPr>
        <w:widowControl w:val="0"/>
        <w:tabs>
          <w:tab w:val="clear" w:pos="567"/>
        </w:tabs>
        <w:ind w:right="-2"/>
        <w:rPr>
          <w:b/>
          <w:szCs w:val="22"/>
        </w:rPr>
      </w:pPr>
      <w:r w:rsidRPr="00B86130">
        <w:rPr>
          <w:b/>
          <w:szCs w:val="22"/>
        </w:rPr>
        <w:t>Guida di veicoli e utilizzo di macchinari</w:t>
      </w:r>
    </w:p>
    <w:p w14:paraId="305C9B70" w14:textId="77777777" w:rsidR="00717A16" w:rsidRPr="00B86130" w:rsidRDefault="00717A16">
      <w:pPr>
        <w:widowControl w:val="0"/>
        <w:tabs>
          <w:tab w:val="clear" w:pos="567"/>
        </w:tabs>
        <w:ind w:right="-2"/>
        <w:rPr>
          <w:szCs w:val="22"/>
        </w:rPr>
      </w:pPr>
    </w:p>
    <w:p w14:paraId="6BC3E80C" w14:textId="6E8575BD" w:rsidR="00717A16" w:rsidRDefault="00157A56">
      <w:pPr>
        <w:widowControl w:val="0"/>
        <w:tabs>
          <w:tab w:val="clear" w:pos="567"/>
        </w:tabs>
        <w:ind w:right="-2"/>
        <w:rPr>
          <w:szCs w:val="22"/>
        </w:rPr>
      </w:pPr>
      <w:r w:rsidRPr="00B86130">
        <w:rPr>
          <w:szCs w:val="22"/>
        </w:rPr>
        <w:t xml:space="preserve">Non si prevede che </w:t>
      </w:r>
      <w:r w:rsidR="00C934D8" w:rsidRPr="00B86130">
        <w:rPr>
          <w:szCs w:val="22"/>
        </w:rPr>
        <w:t>Dimetilfumarato</w:t>
      </w:r>
      <w:r w:rsidR="00C934D8" w:rsidRPr="00B86130" w:rsidDel="00C934D8">
        <w:rPr>
          <w:szCs w:val="22"/>
        </w:rPr>
        <w:t xml:space="preserve"> </w:t>
      </w:r>
      <w:r w:rsidR="00B41B6F" w:rsidRPr="00B86130">
        <w:rPr>
          <w:szCs w:val="22"/>
        </w:rPr>
        <w:t>Accord</w:t>
      </w:r>
      <w:r w:rsidRPr="00B86130">
        <w:rPr>
          <w:szCs w:val="22"/>
        </w:rPr>
        <w:t xml:space="preserve"> influisca sulla capacità di guidare veicoli e di utilizzare macchinari.</w:t>
      </w:r>
    </w:p>
    <w:p w14:paraId="2BDC5544" w14:textId="77777777" w:rsidR="00F47B0E" w:rsidRPr="00B86130" w:rsidRDefault="00F47B0E">
      <w:pPr>
        <w:widowControl w:val="0"/>
        <w:tabs>
          <w:tab w:val="clear" w:pos="567"/>
        </w:tabs>
        <w:ind w:right="-2"/>
        <w:rPr>
          <w:szCs w:val="22"/>
        </w:rPr>
      </w:pPr>
    </w:p>
    <w:p w14:paraId="002E09A7" w14:textId="4C835145" w:rsidR="00F47B0E" w:rsidRDefault="00F47B0E" w:rsidP="00F47B0E">
      <w:pPr>
        <w:widowControl w:val="0"/>
        <w:tabs>
          <w:tab w:val="clear" w:pos="567"/>
        </w:tabs>
        <w:ind w:right="-2"/>
        <w:rPr>
          <w:b/>
          <w:bCs/>
          <w:szCs w:val="22"/>
        </w:rPr>
      </w:pPr>
      <w:r>
        <w:rPr>
          <w:b/>
          <w:bCs/>
          <w:szCs w:val="22"/>
        </w:rPr>
        <w:t>Dimetilfumarato contiene sodio</w:t>
      </w:r>
    </w:p>
    <w:p w14:paraId="0134F901" w14:textId="77777777" w:rsidR="00F47B0E" w:rsidRDefault="00F47B0E" w:rsidP="00F47B0E">
      <w:pPr>
        <w:widowControl w:val="0"/>
        <w:tabs>
          <w:tab w:val="clear" w:pos="567"/>
        </w:tabs>
        <w:ind w:right="-2"/>
        <w:rPr>
          <w:szCs w:val="22"/>
        </w:rPr>
      </w:pPr>
    </w:p>
    <w:p w14:paraId="68414AB8" w14:textId="77777777" w:rsidR="00F47B0E" w:rsidRDefault="00F47B0E" w:rsidP="00F47B0E">
      <w:pPr>
        <w:widowControl w:val="0"/>
        <w:tabs>
          <w:tab w:val="clear" w:pos="567"/>
        </w:tabs>
        <w:ind w:right="-2"/>
      </w:pPr>
      <w:r>
        <w:t>Questo medicinale contiene meno di 1 mmol (23 mg) di sodio per capsula, cioè essenzialmente ‘senza sodio’.</w:t>
      </w:r>
    </w:p>
    <w:p w14:paraId="55A9FA13" w14:textId="77777777" w:rsidR="00717A16" w:rsidRPr="00B86130" w:rsidRDefault="00717A16">
      <w:pPr>
        <w:widowControl w:val="0"/>
        <w:tabs>
          <w:tab w:val="clear" w:pos="567"/>
        </w:tabs>
        <w:ind w:right="-2"/>
        <w:rPr>
          <w:szCs w:val="22"/>
        </w:rPr>
      </w:pPr>
    </w:p>
    <w:p w14:paraId="74EB87BC" w14:textId="77777777" w:rsidR="00717A16" w:rsidRPr="00B86130" w:rsidRDefault="00717A16">
      <w:pPr>
        <w:widowControl w:val="0"/>
        <w:tabs>
          <w:tab w:val="clear" w:pos="567"/>
        </w:tabs>
        <w:ind w:right="-2"/>
        <w:rPr>
          <w:szCs w:val="22"/>
        </w:rPr>
      </w:pPr>
    </w:p>
    <w:p w14:paraId="0AC33987" w14:textId="1477984E" w:rsidR="00717A16" w:rsidRPr="00B86130" w:rsidRDefault="00157A56">
      <w:pPr>
        <w:widowControl w:val="0"/>
        <w:rPr>
          <w:b/>
          <w:szCs w:val="22"/>
        </w:rPr>
      </w:pPr>
      <w:r w:rsidRPr="00B86130">
        <w:rPr>
          <w:b/>
          <w:szCs w:val="22"/>
        </w:rPr>
        <w:t>3.</w:t>
      </w:r>
      <w:r w:rsidRPr="00B86130">
        <w:rPr>
          <w:b/>
          <w:szCs w:val="22"/>
        </w:rPr>
        <w:tab/>
        <w:t xml:space="preserve">Come prendere </w:t>
      </w:r>
      <w:r w:rsidR="00C934D8" w:rsidRPr="00B86130">
        <w:rPr>
          <w:b/>
          <w:szCs w:val="22"/>
        </w:rPr>
        <w:t>Dimetilfumarato</w:t>
      </w:r>
      <w:r w:rsidR="00C934D8" w:rsidRPr="00B86130" w:rsidDel="00C934D8">
        <w:rPr>
          <w:b/>
          <w:szCs w:val="22"/>
        </w:rPr>
        <w:t xml:space="preserve"> </w:t>
      </w:r>
      <w:r w:rsidR="00B41B6F" w:rsidRPr="00B86130">
        <w:rPr>
          <w:b/>
          <w:szCs w:val="22"/>
        </w:rPr>
        <w:t>Accord</w:t>
      </w:r>
    </w:p>
    <w:p w14:paraId="7E8297D4" w14:textId="77777777" w:rsidR="00717A16" w:rsidRPr="00B86130" w:rsidRDefault="00717A16">
      <w:pPr>
        <w:widowControl w:val="0"/>
        <w:tabs>
          <w:tab w:val="clear" w:pos="567"/>
        </w:tabs>
        <w:ind w:right="-2"/>
        <w:rPr>
          <w:i/>
          <w:szCs w:val="22"/>
        </w:rPr>
      </w:pPr>
    </w:p>
    <w:p w14:paraId="73078B29" w14:textId="57642A2C" w:rsidR="00717A16" w:rsidRPr="00B86130" w:rsidRDefault="00157A56">
      <w:pPr>
        <w:widowControl w:val="0"/>
        <w:tabs>
          <w:tab w:val="clear" w:pos="567"/>
        </w:tabs>
        <w:ind w:right="-2"/>
        <w:rPr>
          <w:szCs w:val="22"/>
        </w:rPr>
      </w:pPr>
      <w:r w:rsidRPr="00B86130">
        <w:rPr>
          <w:szCs w:val="22"/>
        </w:rPr>
        <w:t>Prenda questo medicinale seguendo sempre esattamente le istruzioni del medico. Se ha dubbi consulti il medico.</w:t>
      </w:r>
    </w:p>
    <w:p w14:paraId="03729A83" w14:textId="77777777" w:rsidR="00717A16" w:rsidRPr="00B86130" w:rsidRDefault="00717A16">
      <w:pPr>
        <w:widowControl w:val="0"/>
        <w:tabs>
          <w:tab w:val="clear" w:pos="567"/>
        </w:tabs>
        <w:ind w:right="-2"/>
        <w:rPr>
          <w:szCs w:val="22"/>
        </w:rPr>
      </w:pPr>
    </w:p>
    <w:p w14:paraId="5E9E3562" w14:textId="77777777" w:rsidR="00717A16" w:rsidRPr="00B86130" w:rsidRDefault="00157A56">
      <w:pPr>
        <w:widowControl w:val="0"/>
        <w:tabs>
          <w:tab w:val="clear" w:pos="567"/>
        </w:tabs>
        <w:ind w:right="-2"/>
        <w:rPr>
          <w:b/>
          <w:szCs w:val="22"/>
        </w:rPr>
      </w:pPr>
      <w:r w:rsidRPr="00B86130">
        <w:rPr>
          <w:b/>
          <w:szCs w:val="22"/>
        </w:rPr>
        <w:t>Dose iniziale</w:t>
      </w:r>
    </w:p>
    <w:p w14:paraId="7672C75E" w14:textId="77777777" w:rsidR="00717A16" w:rsidRPr="00B86130" w:rsidRDefault="00717A16">
      <w:pPr>
        <w:widowControl w:val="0"/>
        <w:tabs>
          <w:tab w:val="clear" w:pos="567"/>
        </w:tabs>
        <w:ind w:right="-2"/>
        <w:rPr>
          <w:b/>
          <w:szCs w:val="22"/>
        </w:rPr>
      </w:pPr>
    </w:p>
    <w:p w14:paraId="2C574807" w14:textId="4B1AB37D" w:rsidR="00717A16" w:rsidRPr="00B86130" w:rsidRDefault="00157A56">
      <w:pPr>
        <w:widowControl w:val="0"/>
        <w:tabs>
          <w:tab w:val="clear" w:pos="567"/>
        </w:tabs>
        <w:ind w:right="-2"/>
        <w:rPr>
          <w:b/>
          <w:szCs w:val="22"/>
        </w:rPr>
      </w:pPr>
      <w:r w:rsidRPr="00B86130">
        <w:rPr>
          <w:b/>
          <w:szCs w:val="22"/>
        </w:rPr>
        <w:t>120 mg due volte al giorno</w:t>
      </w:r>
    </w:p>
    <w:p w14:paraId="2B72F728" w14:textId="77777777" w:rsidR="00717A16" w:rsidRPr="00B86130" w:rsidRDefault="00157A56">
      <w:pPr>
        <w:widowControl w:val="0"/>
        <w:tabs>
          <w:tab w:val="clear" w:pos="567"/>
        </w:tabs>
        <w:ind w:right="-2"/>
        <w:rPr>
          <w:szCs w:val="22"/>
        </w:rPr>
      </w:pPr>
      <w:r w:rsidRPr="00B86130">
        <w:rPr>
          <w:szCs w:val="22"/>
        </w:rPr>
        <w:t>Prenda questa dose iniziale per i primi 7 giorni, e prenda poi la dose regolare.</w:t>
      </w:r>
    </w:p>
    <w:p w14:paraId="74807F5D" w14:textId="77777777" w:rsidR="00717A16" w:rsidRPr="00B86130" w:rsidRDefault="00717A16">
      <w:pPr>
        <w:widowControl w:val="0"/>
        <w:tabs>
          <w:tab w:val="clear" w:pos="567"/>
        </w:tabs>
        <w:ind w:right="-2"/>
        <w:rPr>
          <w:szCs w:val="22"/>
        </w:rPr>
      </w:pPr>
    </w:p>
    <w:p w14:paraId="00A2F7B8" w14:textId="77777777" w:rsidR="00717A16" w:rsidRPr="00B86130" w:rsidRDefault="00157A56">
      <w:pPr>
        <w:widowControl w:val="0"/>
        <w:tabs>
          <w:tab w:val="clear" w:pos="567"/>
        </w:tabs>
        <w:ind w:right="-2"/>
        <w:rPr>
          <w:b/>
          <w:szCs w:val="22"/>
        </w:rPr>
      </w:pPr>
      <w:r w:rsidRPr="00B86130">
        <w:rPr>
          <w:b/>
          <w:szCs w:val="22"/>
        </w:rPr>
        <w:t>Dose regolare</w:t>
      </w:r>
    </w:p>
    <w:p w14:paraId="0705F4BC" w14:textId="77777777" w:rsidR="00717A16" w:rsidRPr="00B86130" w:rsidRDefault="00717A16">
      <w:pPr>
        <w:widowControl w:val="0"/>
        <w:tabs>
          <w:tab w:val="clear" w:pos="567"/>
        </w:tabs>
        <w:ind w:right="-2"/>
        <w:rPr>
          <w:b/>
          <w:szCs w:val="22"/>
        </w:rPr>
      </w:pPr>
    </w:p>
    <w:p w14:paraId="0A8A8E31" w14:textId="5A64A35E" w:rsidR="00717A16" w:rsidRPr="00B86130" w:rsidRDefault="00157A56">
      <w:pPr>
        <w:widowControl w:val="0"/>
        <w:tabs>
          <w:tab w:val="clear" w:pos="567"/>
        </w:tabs>
        <w:ind w:right="-2"/>
        <w:rPr>
          <w:b/>
          <w:szCs w:val="22"/>
        </w:rPr>
      </w:pPr>
      <w:r w:rsidRPr="00B86130">
        <w:rPr>
          <w:b/>
          <w:szCs w:val="22"/>
        </w:rPr>
        <w:t>240 mg due volte al giorno</w:t>
      </w:r>
    </w:p>
    <w:p w14:paraId="007DAE22" w14:textId="77777777" w:rsidR="00717A16" w:rsidRPr="00B86130" w:rsidRDefault="00717A16">
      <w:pPr>
        <w:widowControl w:val="0"/>
        <w:tabs>
          <w:tab w:val="clear" w:pos="567"/>
        </w:tabs>
        <w:ind w:right="-2"/>
        <w:rPr>
          <w:szCs w:val="22"/>
        </w:rPr>
      </w:pPr>
    </w:p>
    <w:p w14:paraId="708DEC48" w14:textId="61DC28A2" w:rsidR="00717A16" w:rsidRPr="00B86130" w:rsidRDefault="00C934D8">
      <w:pPr>
        <w:widowControl w:val="0"/>
        <w:tabs>
          <w:tab w:val="clear" w:pos="567"/>
        </w:tabs>
        <w:ind w:right="-2"/>
        <w:rPr>
          <w:szCs w:val="22"/>
        </w:rPr>
      </w:pPr>
      <w:r w:rsidRPr="00B86130">
        <w:rPr>
          <w:szCs w:val="22"/>
        </w:rPr>
        <w:t>Dimetilfumarato</w:t>
      </w:r>
      <w:r w:rsidRPr="00B86130" w:rsidDel="00C934D8">
        <w:rPr>
          <w:szCs w:val="22"/>
        </w:rPr>
        <w:t xml:space="preserve"> </w:t>
      </w:r>
      <w:r w:rsidR="00B41B6F" w:rsidRPr="00B86130">
        <w:rPr>
          <w:szCs w:val="22"/>
        </w:rPr>
        <w:t>Accord</w:t>
      </w:r>
      <w:r w:rsidR="00157A56" w:rsidRPr="00B86130">
        <w:rPr>
          <w:szCs w:val="22"/>
        </w:rPr>
        <w:t xml:space="preserve"> è per uso orale.</w:t>
      </w:r>
    </w:p>
    <w:p w14:paraId="0FAE88E0" w14:textId="77777777" w:rsidR="00717A16" w:rsidRPr="00B86130" w:rsidRDefault="00717A16">
      <w:pPr>
        <w:widowControl w:val="0"/>
        <w:tabs>
          <w:tab w:val="clear" w:pos="567"/>
        </w:tabs>
        <w:ind w:right="-2"/>
        <w:rPr>
          <w:szCs w:val="22"/>
        </w:rPr>
      </w:pPr>
    </w:p>
    <w:p w14:paraId="35C5A044" w14:textId="77777777" w:rsidR="00717A16" w:rsidRPr="00B86130" w:rsidRDefault="00157A56">
      <w:pPr>
        <w:widowControl w:val="0"/>
        <w:tabs>
          <w:tab w:val="clear" w:pos="567"/>
        </w:tabs>
        <w:ind w:right="-2"/>
        <w:rPr>
          <w:szCs w:val="22"/>
        </w:rPr>
      </w:pPr>
      <w:r w:rsidRPr="00B86130">
        <w:rPr>
          <w:b/>
          <w:szCs w:val="22"/>
        </w:rPr>
        <w:t>Ingerisca ogni capsula intera</w:t>
      </w:r>
      <w:r w:rsidRPr="00B86130">
        <w:rPr>
          <w:szCs w:val="22"/>
        </w:rPr>
        <w:t>, con un po’ d’acqua. Non deve dividere, schiacciare, disciogliere, succhiare o masticare la capsula, perché questo potrebbe aumentare alcuni effetti indesiderati.</w:t>
      </w:r>
    </w:p>
    <w:p w14:paraId="79A20E97" w14:textId="77777777" w:rsidR="00717A16" w:rsidRPr="00B86130" w:rsidRDefault="00717A16">
      <w:pPr>
        <w:widowControl w:val="0"/>
        <w:tabs>
          <w:tab w:val="clear" w:pos="567"/>
        </w:tabs>
        <w:ind w:right="-2"/>
        <w:rPr>
          <w:szCs w:val="22"/>
        </w:rPr>
      </w:pPr>
    </w:p>
    <w:p w14:paraId="5916B868" w14:textId="560FC6BC" w:rsidR="00717A16" w:rsidRPr="00B86130" w:rsidRDefault="00157A56">
      <w:pPr>
        <w:widowControl w:val="0"/>
        <w:tabs>
          <w:tab w:val="clear" w:pos="567"/>
        </w:tabs>
        <w:ind w:right="-2"/>
        <w:rPr>
          <w:szCs w:val="22"/>
        </w:rPr>
      </w:pPr>
      <w:r w:rsidRPr="00B86130">
        <w:rPr>
          <w:b/>
          <w:szCs w:val="22"/>
        </w:rPr>
        <w:t xml:space="preserve">Prenda </w:t>
      </w:r>
      <w:r w:rsidR="00C934D8" w:rsidRPr="00B86130">
        <w:rPr>
          <w:b/>
          <w:szCs w:val="22"/>
        </w:rPr>
        <w:t>Dimetilfumarato</w:t>
      </w:r>
      <w:r w:rsidR="00C934D8" w:rsidRPr="00B86130" w:rsidDel="00C934D8">
        <w:rPr>
          <w:b/>
          <w:szCs w:val="22"/>
        </w:rPr>
        <w:t xml:space="preserve"> </w:t>
      </w:r>
      <w:r w:rsidR="00B41B6F" w:rsidRPr="00B86130">
        <w:rPr>
          <w:b/>
          <w:szCs w:val="22"/>
        </w:rPr>
        <w:t>Accord</w:t>
      </w:r>
      <w:r w:rsidRPr="00B86130">
        <w:rPr>
          <w:b/>
          <w:szCs w:val="22"/>
        </w:rPr>
        <w:t xml:space="preserve"> con il cibo</w:t>
      </w:r>
      <w:r w:rsidRPr="00B86130">
        <w:rPr>
          <w:szCs w:val="22"/>
        </w:rPr>
        <w:t xml:space="preserve"> – può aiutare a ridurre alcuni effetti indesiderati più comuni (elencati al paragrafo 4).</w:t>
      </w:r>
    </w:p>
    <w:p w14:paraId="57AD49DE" w14:textId="77777777" w:rsidR="00717A16" w:rsidRPr="00B86130" w:rsidRDefault="00717A16">
      <w:pPr>
        <w:widowControl w:val="0"/>
        <w:rPr>
          <w:b/>
          <w:szCs w:val="22"/>
        </w:rPr>
      </w:pPr>
    </w:p>
    <w:p w14:paraId="2DF7AC8E" w14:textId="36480C1D" w:rsidR="00717A16" w:rsidRPr="00B86130" w:rsidRDefault="00157A56">
      <w:pPr>
        <w:widowControl w:val="0"/>
        <w:rPr>
          <w:b/>
          <w:szCs w:val="22"/>
        </w:rPr>
      </w:pPr>
      <w:r w:rsidRPr="00B86130">
        <w:rPr>
          <w:b/>
          <w:szCs w:val="22"/>
        </w:rPr>
        <w:t xml:space="preserve">Se prende più </w:t>
      </w:r>
      <w:r w:rsidR="00C934D8" w:rsidRPr="00B86130">
        <w:rPr>
          <w:b/>
          <w:szCs w:val="22"/>
        </w:rPr>
        <w:t>Dimetilfumarato</w:t>
      </w:r>
      <w:r w:rsidR="00C934D8" w:rsidRPr="00B86130" w:rsidDel="00C934D8">
        <w:rPr>
          <w:b/>
          <w:szCs w:val="22"/>
        </w:rPr>
        <w:t xml:space="preserve"> </w:t>
      </w:r>
      <w:r w:rsidR="00B41B6F" w:rsidRPr="00B86130">
        <w:rPr>
          <w:b/>
          <w:szCs w:val="22"/>
        </w:rPr>
        <w:t>Accord</w:t>
      </w:r>
      <w:r w:rsidRPr="00B86130">
        <w:rPr>
          <w:b/>
          <w:szCs w:val="22"/>
        </w:rPr>
        <w:t xml:space="preserve"> di quanto deve</w:t>
      </w:r>
    </w:p>
    <w:p w14:paraId="11A39470" w14:textId="77777777" w:rsidR="00717A16" w:rsidRPr="00B86130" w:rsidRDefault="00717A16">
      <w:pPr>
        <w:widowControl w:val="0"/>
        <w:rPr>
          <w:b/>
          <w:szCs w:val="22"/>
        </w:rPr>
      </w:pPr>
    </w:p>
    <w:p w14:paraId="4B823FCA" w14:textId="5C001B79" w:rsidR="00717A16" w:rsidRPr="00B86130" w:rsidRDefault="00157A56">
      <w:pPr>
        <w:widowControl w:val="0"/>
        <w:tabs>
          <w:tab w:val="clear" w:pos="567"/>
        </w:tabs>
        <w:ind w:right="-2"/>
        <w:rPr>
          <w:szCs w:val="22"/>
        </w:rPr>
      </w:pPr>
      <w:r w:rsidRPr="00B86130">
        <w:rPr>
          <w:szCs w:val="22"/>
        </w:rPr>
        <w:t xml:space="preserve">Se ha preso troppe capsule, </w:t>
      </w:r>
      <w:r w:rsidRPr="00B86130">
        <w:rPr>
          <w:b/>
          <w:szCs w:val="22"/>
        </w:rPr>
        <w:t>si rivolga immediatamente al medico</w:t>
      </w:r>
      <w:r w:rsidRPr="00B86130">
        <w:rPr>
          <w:szCs w:val="22"/>
        </w:rPr>
        <w:t>. Potrebbe manifestare effetti indesiderati simili a quelli descritti di seguito nel paragrafo 4.</w:t>
      </w:r>
    </w:p>
    <w:p w14:paraId="5ED5FD93" w14:textId="77777777" w:rsidR="00717A16" w:rsidRPr="00B86130" w:rsidRDefault="00717A16">
      <w:pPr>
        <w:widowControl w:val="0"/>
        <w:rPr>
          <w:b/>
          <w:szCs w:val="22"/>
        </w:rPr>
      </w:pPr>
    </w:p>
    <w:p w14:paraId="526DDE65" w14:textId="05058B02" w:rsidR="00717A16" w:rsidRPr="00B86130" w:rsidRDefault="00157A56" w:rsidP="00100121">
      <w:pPr>
        <w:keepNext/>
        <w:widowControl w:val="0"/>
        <w:rPr>
          <w:b/>
          <w:szCs w:val="22"/>
        </w:rPr>
      </w:pPr>
      <w:r w:rsidRPr="00B86130">
        <w:rPr>
          <w:b/>
          <w:szCs w:val="22"/>
        </w:rPr>
        <w:lastRenderedPageBreak/>
        <w:t xml:space="preserve">Se dimentica di prendere </w:t>
      </w:r>
      <w:r w:rsidR="00C934D8" w:rsidRPr="00B86130">
        <w:rPr>
          <w:b/>
          <w:szCs w:val="22"/>
        </w:rPr>
        <w:t>Dimetilfumarato</w:t>
      </w:r>
      <w:r w:rsidR="00C934D8" w:rsidRPr="00B86130" w:rsidDel="00C934D8">
        <w:rPr>
          <w:b/>
          <w:szCs w:val="22"/>
        </w:rPr>
        <w:t xml:space="preserve"> </w:t>
      </w:r>
      <w:r w:rsidR="00B41B6F" w:rsidRPr="00B86130">
        <w:rPr>
          <w:b/>
          <w:szCs w:val="22"/>
        </w:rPr>
        <w:t>Accord</w:t>
      </w:r>
    </w:p>
    <w:p w14:paraId="5BF9BB68" w14:textId="77777777" w:rsidR="00717A16" w:rsidRPr="00B86130" w:rsidRDefault="00717A16" w:rsidP="00100121">
      <w:pPr>
        <w:keepNext/>
        <w:widowControl w:val="0"/>
        <w:rPr>
          <w:b/>
          <w:szCs w:val="22"/>
        </w:rPr>
      </w:pPr>
    </w:p>
    <w:p w14:paraId="16976225" w14:textId="77777777" w:rsidR="00717A16" w:rsidRPr="00B86130" w:rsidRDefault="00157A56">
      <w:pPr>
        <w:widowControl w:val="0"/>
        <w:tabs>
          <w:tab w:val="clear" w:pos="567"/>
        </w:tabs>
        <w:ind w:right="-2"/>
        <w:rPr>
          <w:b/>
          <w:szCs w:val="22"/>
        </w:rPr>
      </w:pPr>
      <w:r w:rsidRPr="00B86130">
        <w:rPr>
          <w:szCs w:val="22"/>
        </w:rPr>
        <w:t xml:space="preserve">Se dimentica o salta una dose, </w:t>
      </w:r>
      <w:r w:rsidRPr="00B86130">
        <w:rPr>
          <w:b/>
          <w:szCs w:val="22"/>
        </w:rPr>
        <w:t>non prenda una dose doppia per compensare la dimenticanza della dose.</w:t>
      </w:r>
    </w:p>
    <w:p w14:paraId="489CE55B" w14:textId="77777777" w:rsidR="00717A16" w:rsidRPr="00B86130" w:rsidRDefault="00717A16">
      <w:pPr>
        <w:widowControl w:val="0"/>
        <w:tabs>
          <w:tab w:val="clear" w:pos="567"/>
        </w:tabs>
        <w:ind w:right="-2"/>
        <w:rPr>
          <w:szCs w:val="22"/>
        </w:rPr>
      </w:pPr>
    </w:p>
    <w:p w14:paraId="4617AB93" w14:textId="71D99F98" w:rsidR="00717A16" w:rsidRPr="00B86130" w:rsidRDefault="00157A56">
      <w:pPr>
        <w:widowControl w:val="0"/>
        <w:tabs>
          <w:tab w:val="clear" w:pos="567"/>
        </w:tabs>
        <w:ind w:right="-2"/>
        <w:rPr>
          <w:szCs w:val="22"/>
        </w:rPr>
      </w:pPr>
      <w:r w:rsidRPr="00B86130">
        <w:rPr>
          <w:szCs w:val="22"/>
        </w:rPr>
        <w:t>Può prendere la dose saltata se lascia trascorrere almeno 4</w:t>
      </w:r>
      <w:r w:rsidR="007D055B" w:rsidRPr="00B86130">
        <w:rPr>
          <w:szCs w:val="22"/>
        </w:rPr>
        <w:t> </w:t>
      </w:r>
      <w:r w:rsidRPr="00B86130">
        <w:rPr>
          <w:szCs w:val="22"/>
        </w:rPr>
        <w:t>ore tra le dosi. Altrimenti attenda fino alla dose programmata successiva.</w:t>
      </w:r>
    </w:p>
    <w:p w14:paraId="151E063D" w14:textId="77777777" w:rsidR="00717A16" w:rsidRPr="00B86130" w:rsidRDefault="00717A16">
      <w:pPr>
        <w:widowControl w:val="0"/>
        <w:tabs>
          <w:tab w:val="clear" w:pos="567"/>
        </w:tabs>
        <w:rPr>
          <w:szCs w:val="22"/>
        </w:rPr>
      </w:pPr>
    </w:p>
    <w:p w14:paraId="3BE211DA" w14:textId="77777777" w:rsidR="00717A16" w:rsidRPr="00B86130" w:rsidRDefault="00157A56">
      <w:pPr>
        <w:widowControl w:val="0"/>
        <w:tabs>
          <w:tab w:val="clear" w:pos="567"/>
        </w:tabs>
        <w:rPr>
          <w:szCs w:val="22"/>
        </w:rPr>
      </w:pPr>
      <w:r w:rsidRPr="00B86130">
        <w:rPr>
          <w:szCs w:val="22"/>
        </w:rPr>
        <w:t>Se ha qualsiasi dubbio sull’uso di questo medicinale, si rivolga al medico o al farmacista.</w:t>
      </w:r>
    </w:p>
    <w:p w14:paraId="6AD39ACE" w14:textId="77777777" w:rsidR="00717A16" w:rsidRPr="00B86130" w:rsidRDefault="00717A16">
      <w:pPr>
        <w:widowControl w:val="0"/>
        <w:tabs>
          <w:tab w:val="clear" w:pos="567"/>
        </w:tabs>
        <w:rPr>
          <w:szCs w:val="22"/>
        </w:rPr>
      </w:pPr>
    </w:p>
    <w:p w14:paraId="52E6BD08" w14:textId="77777777" w:rsidR="00717A16" w:rsidRPr="00B86130" w:rsidRDefault="00717A16">
      <w:pPr>
        <w:widowControl w:val="0"/>
        <w:tabs>
          <w:tab w:val="clear" w:pos="567"/>
        </w:tabs>
        <w:rPr>
          <w:szCs w:val="22"/>
        </w:rPr>
      </w:pPr>
    </w:p>
    <w:p w14:paraId="78EEC0D5" w14:textId="77777777" w:rsidR="00717A16" w:rsidRPr="00B86130" w:rsidRDefault="00157A56">
      <w:pPr>
        <w:keepNext/>
        <w:widowControl w:val="0"/>
        <w:rPr>
          <w:b/>
          <w:szCs w:val="22"/>
        </w:rPr>
      </w:pPr>
      <w:r w:rsidRPr="00B86130">
        <w:rPr>
          <w:b/>
          <w:szCs w:val="22"/>
        </w:rPr>
        <w:t>4.</w:t>
      </w:r>
      <w:r w:rsidRPr="00B86130">
        <w:rPr>
          <w:b/>
          <w:szCs w:val="22"/>
        </w:rPr>
        <w:tab/>
        <w:t>Possibili effetti indesiderati</w:t>
      </w:r>
    </w:p>
    <w:p w14:paraId="7A689EEA" w14:textId="77777777" w:rsidR="00717A16" w:rsidRPr="00B86130" w:rsidRDefault="00717A16">
      <w:pPr>
        <w:keepNext/>
        <w:widowControl w:val="0"/>
        <w:tabs>
          <w:tab w:val="clear" w:pos="567"/>
        </w:tabs>
        <w:rPr>
          <w:szCs w:val="22"/>
        </w:rPr>
      </w:pPr>
    </w:p>
    <w:p w14:paraId="1AA57ACF" w14:textId="77777777" w:rsidR="00717A16" w:rsidRPr="00B86130" w:rsidRDefault="00157A56">
      <w:pPr>
        <w:keepNext/>
        <w:widowControl w:val="0"/>
        <w:rPr>
          <w:szCs w:val="22"/>
        </w:rPr>
      </w:pPr>
      <w:r w:rsidRPr="00B86130">
        <w:rPr>
          <w:szCs w:val="22"/>
        </w:rPr>
        <w:t>Come tutti i medicinali, questo medicinale può causare effetti indesiderati sebbene non tutte le persone li manifestino.</w:t>
      </w:r>
    </w:p>
    <w:p w14:paraId="59651E28" w14:textId="77777777" w:rsidR="00717A16" w:rsidRPr="00B86130" w:rsidRDefault="00717A16">
      <w:pPr>
        <w:keepNext/>
        <w:widowControl w:val="0"/>
        <w:rPr>
          <w:szCs w:val="22"/>
        </w:rPr>
      </w:pPr>
    </w:p>
    <w:p w14:paraId="1742BEE6" w14:textId="77777777" w:rsidR="00717A16" w:rsidRPr="00B86130" w:rsidRDefault="00157A56">
      <w:pPr>
        <w:keepNext/>
        <w:widowControl w:val="0"/>
        <w:ind w:right="-2"/>
        <w:rPr>
          <w:b/>
          <w:szCs w:val="22"/>
        </w:rPr>
      </w:pPr>
      <w:r w:rsidRPr="00B86130">
        <w:rPr>
          <w:b/>
          <w:szCs w:val="22"/>
        </w:rPr>
        <w:t>Effetti indesiderati gravi</w:t>
      </w:r>
    </w:p>
    <w:p w14:paraId="76A23346" w14:textId="77777777" w:rsidR="00717A16" w:rsidRPr="00B86130" w:rsidRDefault="00717A16">
      <w:pPr>
        <w:keepNext/>
        <w:widowControl w:val="0"/>
        <w:ind w:right="-2"/>
        <w:rPr>
          <w:szCs w:val="22"/>
        </w:rPr>
      </w:pPr>
    </w:p>
    <w:p w14:paraId="47960DB3" w14:textId="024628AD" w:rsidR="00717A16" w:rsidRPr="00B86130" w:rsidRDefault="00C934D8">
      <w:pPr>
        <w:pStyle w:val="C-Bullet"/>
        <w:keepNext/>
        <w:numPr>
          <w:ilvl w:val="0"/>
          <w:numId w:val="0"/>
        </w:numPr>
        <w:spacing w:before="0" w:after="0" w:line="240" w:lineRule="auto"/>
        <w:rPr>
          <w:sz w:val="22"/>
          <w:szCs w:val="22"/>
          <w:lang w:val="it-IT"/>
        </w:rPr>
      </w:pPr>
      <w:r w:rsidRPr="00B86130">
        <w:rPr>
          <w:sz w:val="22"/>
          <w:szCs w:val="22"/>
          <w:lang w:val="it-IT"/>
        </w:rPr>
        <w:t>Dimetilfumarato</w:t>
      </w:r>
      <w:r w:rsidRPr="00B86130" w:rsidDel="00C934D8">
        <w:rPr>
          <w:sz w:val="22"/>
          <w:szCs w:val="22"/>
          <w:lang w:val="it-IT"/>
        </w:rPr>
        <w:t xml:space="preserve"> </w:t>
      </w:r>
      <w:r w:rsidR="00B41B6F" w:rsidRPr="00B86130">
        <w:rPr>
          <w:sz w:val="22"/>
          <w:szCs w:val="22"/>
          <w:lang w:val="it-IT"/>
        </w:rPr>
        <w:t>Accord</w:t>
      </w:r>
      <w:r w:rsidR="00157A56" w:rsidRPr="00B86130">
        <w:rPr>
          <w:sz w:val="22"/>
          <w:szCs w:val="22"/>
          <w:lang w:val="it-IT"/>
        </w:rPr>
        <w:t xml:space="preserve"> può ridurre i livelli di linfociti (un tipo di </w:t>
      </w:r>
      <w:r w:rsidR="00CB279F" w:rsidRPr="00B86130">
        <w:rPr>
          <w:sz w:val="22"/>
          <w:szCs w:val="22"/>
          <w:lang w:val="it-IT"/>
        </w:rPr>
        <w:t>globuli bianchi</w:t>
      </w:r>
      <w:r w:rsidR="00157A56" w:rsidRPr="00B86130">
        <w:rPr>
          <w:sz w:val="22"/>
          <w:szCs w:val="22"/>
          <w:lang w:val="it-IT"/>
        </w:rPr>
        <w:t>). Il perdurare di livelli bassi di globuli bianchi può aumentare il rischio di infezioni, compreso il rischio di una rara infezione cerebrale chiamata leucoencefalopatia multifocale progressiva (</w:t>
      </w:r>
      <w:r w:rsidR="00021C48" w:rsidRPr="00B86130">
        <w:rPr>
          <w:sz w:val="22"/>
          <w:szCs w:val="22"/>
          <w:lang w:val="it-IT"/>
        </w:rPr>
        <w:t>PML</w:t>
      </w:r>
      <w:r w:rsidR="00157A56" w:rsidRPr="00B86130">
        <w:rPr>
          <w:sz w:val="22"/>
          <w:szCs w:val="22"/>
          <w:lang w:val="it-IT"/>
        </w:rPr>
        <w:t xml:space="preserve">). La </w:t>
      </w:r>
      <w:r w:rsidR="00021C48" w:rsidRPr="00B86130">
        <w:rPr>
          <w:sz w:val="22"/>
          <w:szCs w:val="22"/>
          <w:lang w:val="it-IT"/>
        </w:rPr>
        <w:t>PML</w:t>
      </w:r>
      <w:r w:rsidR="00157A56" w:rsidRPr="00B86130">
        <w:rPr>
          <w:sz w:val="22"/>
          <w:szCs w:val="22"/>
          <w:lang w:val="it-IT"/>
        </w:rPr>
        <w:t xml:space="preserve"> può provocare disabilità grave o </w:t>
      </w:r>
      <w:r w:rsidR="00CB279F" w:rsidRPr="00B86130">
        <w:rPr>
          <w:sz w:val="22"/>
          <w:szCs w:val="22"/>
          <w:lang w:val="it-IT"/>
        </w:rPr>
        <w:t>morte</w:t>
      </w:r>
      <w:r w:rsidR="00157A56" w:rsidRPr="00B86130">
        <w:rPr>
          <w:sz w:val="22"/>
          <w:szCs w:val="22"/>
          <w:lang w:val="it-IT"/>
        </w:rPr>
        <w:t>.</w:t>
      </w:r>
      <w:r w:rsidR="006D79EB" w:rsidRPr="00B86130">
        <w:rPr>
          <w:sz w:val="22"/>
          <w:szCs w:val="22"/>
          <w:lang w:val="it-IT"/>
        </w:rPr>
        <w:t xml:space="preserve"> </w:t>
      </w:r>
      <w:r w:rsidR="00775447" w:rsidRPr="00B86130">
        <w:rPr>
          <w:sz w:val="22"/>
          <w:szCs w:val="22"/>
          <w:lang w:val="it-IT"/>
        </w:rPr>
        <w:t xml:space="preserve">La </w:t>
      </w:r>
      <w:r w:rsidR="00021C48" w:rsidRPr="00B86130">
        <w:rPr>
          <w:sz w:val="22"/>
          <w:szCs w:val="22"/>
          <w:lang w:val="it-IT"/>
        </w:rPr>
        <w:t>PML</w:t>
      </w:r>
      <w:r w:rsidR="00775447" w:rsidRPr="00B86130">
        <w:rPr>
          <w:sz w:val="22"/>
          <w:szCs w:val="22"/>
          <w:lang w:val="it-IT"/>
        </w:rPr>
        <w:t xml:space="preserve"> si è manifestata dopo 1</w:t>
      </w:r>
      <w:r w:rsidR="00F065A4" w:rsidRPr="00B86130">
        <w:rPr>
          <w:sz w:val="22"/>
          <w:szCs w:val="22"/>
          <w:lang w:val="it-IT"/>
        </w:rPr>
        <w:t>-</w:t>
      </w:r>
      <w:r w:rsidR="00775447" w:rsidRPr="00B86130">
        <w:rPr>
          <w:sz w:val="22"/>
          <w:szCs w:val="22"/>
          <w:lang w:val="it-IT"/>
        </w:rPr>
        <w:t>5 anni di trattamento</w:t>
      </w:r>
      <w:r w:rsidR="00BE11C8" w:rsidRPr="00B86130">
        <w:rPr>
          <w:sz w:val="22"/>
          <w:szCs w:val="22"/>
          <w:lang w:val="it-IT"/>
        </w:rPr>
        <w:t>, per cui</w:t>
      </w:r>
      <w:r w:rsidR="00775447" w:rsidRPr="00B86130">
        <w:rPr>
          <w:sz w:val="22"/>
          <w:szCs w:val="22"/>
          <w:lang w:val="it-IT"/>
        </w:rPr>
        <w:t xml:space="preserve"> il medico deve</w:t>
      </w:r>
      <w:r w:rsidR="00BE11C8" w:rsidRPr="00B86130">
        <w:rPr>
          <w:sz w:val="22"/>
          <w:szCs w:val="22"/>
          <w:lang w:val="it-IT"/>
        </w:rPr>
        <w:t xml:space="preserve"> continuare a monitorare i globuli bianchi per tutta la durata del trattamento</w:t>
      </w:r>
      <w:r w:rsidR="00C43850" w:rsidRPr="00B86130">
        <w:rPr>
          <w:sz w:val="22"/>
          <w:szCs w:val="22"/>
          <w:lang w:val="it-IT"/>
        </w:rPr>
        <w:t>.</w:t>
      </w:r>
      <w:r w:rsidR="00BE11C8" w:rsidRPr="00B86130">
        <w:rPr>
          <w:sz w:val="22"/>
          <w:szCs w:val="22"/>
          <w:lang w:val="it-IT"/>
        </w:rPr>
        <w:t xml:space="preserve"> </w:t>
      </w:r>
      <w:r w:rsidR="00C43850" w:rsidRPr="00B86130">
        <w:rPr>
          <w:sz w:val="22"/>
          <w:szCs w:val="22"/>
          <w:lang w:val="it-IT"/>
        </w:rPr>
        <w:t xml:space="preserve">Faccia attenzione a </w:t>
      </w:r>
      <w:r w:rsidR="00BE11C8" w:rsidRPr="00B86130">
        <w:rPr>
          <w:sz w:val="22"/>
          <w:szCs w:val="22"/>
          <w:lang w:val="it-IT"/>
        </w:rPr>
        <w:t xml:space="preserve">osservare attentamente ogni potenziale sintomo di </w:t>
      </w:r>
      <w:r w:rsidR="00021C48" w:rsidRPr="00B86130">
        <w:rPr>
          <w:sz w:val="22"/>
          <w:szCs w:val="22"/>
          <w:lang w:val="it-IT"/>
        </w:rPr>
        <w:t>PML</w:t>
      </w:r>
      <w:r w:rsidR="00BE11C8" w:rsidRPr="00B86130">
        <w:rPr>
          <w:sz w:val="22"/>
          <w:szCs w:val="22"/>
          <w:lang w:val="it-IT"/>
        </w:rPr>
        <w:t xml:space="preserve">, come descritto </w:t>
      </w:r>
      <w:r w:rsidR="00C43850" w:rsidRPr="00B86130">
        <w:rPr>
          <w:sz w:val="22"/>
          <w:szCs w:val="22"/>
          <w:lang w:val="it-IT"/>
        </w:rPr>
        <w:t>di seguito</w:t>
      </w:r>
      <w:r w:rsidR="00BE11C8" w:rsidRPr="00B86130">
        <w:rPr>
          <w:sz w:val="22"/>
          <w:szCs w:val="22"/>
          <w:lang w:val="it-IT"/>
        </w:rPr>
        <w:t xml:space="preserve">. Il rischio di </w:t>
      </w:r>
      <w:r w:rsidR="00021C48" w:rsidRPr="00B86130">
        <w:rPr>
          <w:sz w:val="22"/>
          <w:szCs w:val="22"/>
          <w:lang w:val="it-IT"/>
        </w:rPr>
        <w:t>PML</w:t>
      </w:r>
      <w:r w:rsidR="00BE11C8" w:rsidRPr="00B86130">
        <w:rPr>
          <w:sz w:val="22"/>
          <w:szCs w:val="22"/>
          <w:lang w:val="it-IT"/>
        </w:rPr>
        <w:t xml:space="preserve"> può essere più alto se ha precedentemente assunto medicinali che compromett</w:t>
      </w:r>
      <w:r w:rsidR="00C43850" w:rsidRPr="00B86130">
        <w:rPr>
          <w:sz w:val="22"/>
          <w:szCs w:val="22"/>
          <w:lang w:val="it-IT"/>
        </w:rPr>
        <w:t>o</w:t>
      </w:r>
      <w:r w:rsidR="00BE11C8" w:rsidRPr="00B86130">
        <w:rPr>
          <w:sz w:val="22"/>
          <w:szCs w:val="22"/>
          <w:lang w:val="it-IT"/>
        </w:rPr>
        <w:t>no la funzionalità del sistema immunitario.</w:t>
      </w:r>
    </w:p>
    <w:p w14:paraId="62985CE0" w14:textId="77777777" w:rsidR="00717A16" w:rsidRPr="00B86130" w:rsidRDefault="00717A16">
      <w:pPr>
        <w:pStyle w:val="C-Bullet"/>
        <w:keepNext/>
        <w:numPr>
          <w:ilvl w:val="0"/>
          <w:numId w:val="0"/>
        </w:numPr>
        <w:spacing w:before="0" w:after="0" w:line="240" w:lineRule="auto"/>
        <w:rPr>
          <w:lang w:val="it-IT"/>
        </w:rPr>
      </w:pPr>
    </w:p>
    <w:p w14:paraId="0A2FD6D8" w14:textId="60A20099" w:rsidR="00717A16" w:rsidRPr="00B86130" w:rsidRDefault="00157A56">
      <w:pPr>
        <w:rPr>
          <w:szCs w:val="22"/>
        </w:rPr>
      </w:pPr>
      <w:r w:rsidRPr="00B86130">
        <w:rPr>
          <w:szCs w:val="22"/>
        </w:rPr>
        <w:t xml:space="preserve">I sintomi della </w:t>
      </w:r>
      <w:r w:rsidR="00021C48" w:rsidRPr="00B86130">
        <w:rPr>
          <w:szCs w:val="22"/>
        </w:rPr>
        <w:t>PML</w:t>
      </w:r>
      <w:r w:rsidRPr="00B86130">
        <w:rPr>
          <w:szCs w:val="22"/>
        </w:rPr>
        <w:t xml:space="preserve"> possono essere simili a quelli di una recidiva di sclerosi multipla. I sintomi possono comprendere l’insorgenza o il peggioramento di debolezza di un lato del corpo; </w:t>
      </w:r>
      <w:r w:rsidRPr="00B86130">
        <w:t>goffaggine</w:t>
      </w:r>
      <w:r w:rsidRPr="00B86130">
        <w:rPr>
          <w:szCs w:val="22"/>
        </w:rPr>
        <w:t xml:space="preserve">; alterazioni della vista, del pensiero o della memoria; confusione o cambiamenti della personalità </w:t>
      </w:r>
      <w:r w:rsidRPr="00B86130">
        <w:t xml:space="preserve">o difficoltà di linguaggio e di comunicazione di durata superiore a qualche giorno. Pertanto, se ritiene che la </w:t>
      </w:r>
      <w:r w:rsidR="00656926" w:rsidRPr="00B86130">
        <w:t>sclerosi multipla</w:t>
      </w:r>
      <w:r w:rsidRPr="00B86130">
        <w:t xml:space="preserve"> stia peggiorando o se nota qualsiasi nuovo sintomo durante la terapia con </w:t>
      </w:r>
      <w:r w:rsidR="00C934D8" w:rsidRPr="00B86130">
        <w:t>Dimetilfumarato</w:t>
      </w:r>
      <w:r w:rsidR="00C934D8" w:rsidRPr="00B86130" w:rsidDel="00C934D8">
        <w:t xml:space="preserve"> </w:t>
      </w:r>
      <w:r w:rsidR="00B41B6F" w:rsidRPr="00B86130">
        <w:t>Accord</w:t>
      </w:r>
      <w:r w:rsidRPr="00B86130">
        <w:t>, è molto importante che si rivolga al medico il prima possibile. Inoltre</w:t>
      </w:r>
      <w:r w:rsidR="00791E3B">
        <w:t>,</w:t>
      </w:r>
      <w:r w:rsidRPr="00B86130">
        <w:t xml:space="preserve"> informi il partner o chi la assiste del suo trattamento. Potrebbero insorgere sintomi di cui lei potrebbe non rendersi conto.</w:t>
      </w:r>
    </w:p>
    <w:p w14:paraId="6851CB4C" w14:textId="77777777" w:rsidR="00717A16" w:rsidRPr="00B86130" w:rsidRDefault="00717A16">
      <w:pPr>
        <w:rPr>
          <w:szCs w:val="22"/>
        </w:rPr>
      </w:pPr>
    </w:p>
    <w:p w14:paraId="24F1109B" w14:textId="1102C22F" w:rsidR="00717A16" w:rsidRPr="00E91670" w:rsidRDefault="00157A56" w:rsidP="00E91670">
      <w:pPr>
        <w:pStyle w:val="ListParagraph"/>
        <w:keepNext/>
        <w:widowControl w:val="0"/>
        <w:numPr>
          <w:ilvl w:val="0"/>
          <w:numId w:val="30"/>
        </w:numPr>
        <w:ind w:left="360" w:right="-2"/>
        <w:rPr>
          <w:szCs w:val="22"/>
        </w:rPr>
      </w:pPr>
      <w:r w:rsidRPr="00E91670">
        <w:rPr>
          <w:szCs w:val="22"/>
        </w:rPr>
        <w:tab/>
      </w:r>
      <w:r w:rsidRPr="00E91670">
        <w:rPr>
          <w:b/>
          <w:szCs w:val="22"/>
        </w:rPr>
        <w:t>Se manifesta qualcuno di questi sintomi, chiami immediatamente il medico</w:t>
      </w:r>
    </w:p>
    <w:p w14:paraId="4F16D6A9" w14:textId="77777777" w:rsidR="00717A16" w:rsidRPr="00B86130" w:rsidRDefault="00717A16">
      <w:pPr>
        <w:keepNext/>
        <w:widowControl w:val="0"/>
        <w:ind w:right="-2"/>
        <w:rPr>
          <w:szCs w:val="22"/>
        </w:rPr>
      </w:pPr>
    </w:p>
    <w:p w14:paraId="3A35EEC2" w14:textId="77777777" w:rsidR="00717A16" w:rsidRPr="00B86130" w:rsidRDefault="00157A56">
      <w:pPr>
        <w:widowControl w:val="0"/>
        <w:ind w:right="-2"/>
        <w:rPr>
          <w:szCs w:val="22"/>
        </w:rPr>
      </w:pPr>
      <w:r w:rsidRPr="00B86130">
        <w:rPr>
          <w:b/>
          <w:szCs w:val="22"/>
        </w:rPr>
        <w:t>Reazioni allergiche gravi</w:t>
      </w:r>
    </w:p>
    <w:p w14:paraId="42154864" w14:textId="77777777" w:rsidR="00717A16" w:rsidRPr="00B86130" w:rsidRDefault="00717A16">
      <w:pPr>
        <w:widowControl w:val="0"/>
        <w:ind w:right="-2"/>
        <w:rPr>
          <w:szCs w:val="22"/>
        </w:rPr>
      </w:pPr>
    </w:p>
    <w:p w14:paraId="4586FBD8" w14:textId="260EDB52" w:rsidR="00717A16" w:rsidRPr="00B86130" w:rsidRDefault="00157A56">
      <w:pPr>
        <w:widowControl w:val="0"/>
        <w:ind w:right="-2"/>
        <w:rPr>
          <w:szCs w:val="22"/>
        </w:rPr>
      </w:pPr>
      <w:r w:rsidRPr="00B86130">
        <w:rPr>
          <w:szCs w:val="22"/>
        </w:rPr>
        <w:t>La frequenza delle reazioni allergiche gravi non può essere definita sulla base dei dati disponibili (non nota).</w:t>
      </w:r>
    </w:p>
    <w:p w14:paraId="23009290" w14:textId="77777777" w:rsidR="009854D9" w:rsidRPr="00B86130" w:rsidRDefault="009854D9">
      <w:pPr>
        <w:widowControl w:val="0"/>
        <w:ind w:right="-2"/>
        <w:rPr>
          <w:szCs w:val="22"/>
        </w:rPr>
      </w:pPr>
    </w:p>
    <w:p w14:paraId="66786D4D" w14:textId="533B047A" w:rsidR="00717A16" w:rsidRPr="00B86130" w:rsidRDefault="00157A56">
      <w:pPr>
        <w:widowControl w:val="0"/>
        <w:ind w:right="-2"/>
        <w:rPr>
          <w:szCs w:val="22"/>
        </w:rPr>
      </w:pPr>
      <w:r w:rsidRPr="00B86130">
        <w:rPr>
          <w:szCs w:val="22"/>
        </w:rPr>
        <w:t>L’arrossamento del viso o del corpo  è un effetto indesiderato molto comune</w:t>
      </w:r>
      <w:r w:rsidRPr="00B86130">
        <w:rPr>
          <w:i/>
          <w:szCs w:val="22"/>
        </w:rPr>
        <w:t>.</w:t>
      </w:r>
      <w:r w:rsidRPr="00B86130">
        <w:rPr>
          <w:szCs w:val="22"/>
        </w:rPr>
        <w:t xml:space="preserve"> Se tuttavia l’arrossamento dovesse essere accompagnato da eruzione cutanea di colore rosso o orticaria </w:t>
      </w:r>
      <w:r w:rsidRPr="00B86130">
        <w:rPr>
          <w:b/>
          <w:szCs w:val="22"/>
        </w:rPr>
        <w:t>e</w:t>
      </w:r>
      <w:r w:rsidRPr="00B86130">
        <w:rPr>
          <w:szCs w:val="22"/>
        </w:rPr>
        <w:t xml:space="preserve"> lei ha uno qualsiasi di questi sintomi:</w:t>
      </w:r>
    </w:p>
    <w:p w14:paraId="35060907" w14:textId="77777777" w:rsidR="00717A16" w:rsidRPr="00B86130" w:rsidRDefault="00717A16">
      <w:pPr>
        <w:widowControl w:val="0"/>
        <w:ind w:right="-2"/>
        <w:rPr>
          <w:szCs w:val="22"/>
        </w:rPr>
      </w:pPr>
    </w:p>
    <w:p w14:paraId="43951428" w14:textId="77777777" w:rsidR="00717A16" w:rsidRPr="00B86130" w:rsidRDefault="00157A56">
      <w:pPr>
        <w:widowControl w:val="0"/>
        <w:numPr>
          <w:ilvl w:val="0"/>
          <w:numId w:val="6"/>
        </w:numPr>
        <w:tabs>
          <w:tab w:val="clear" w:pos="567"/>
        </w:tabs>
        <w:ind w:left="567" w:right="-2" w:hanging="567"/>
        <w:rPr>
          <w:szCs w:val="22"/>
        </w:rPr>
      </w:pPr>
      <w:r w:rsidRPr="00B86130">
        <w:rPr>
          <w:szCs w:val="22"/>
        </w:rPr>
        <w:t xml:space="preserve">gonfiore del viso, delle labbra, della bocca o della lingua </w:t>
      </w:r>
      <w:r w:rsidRPr="00AB2512">
        <w:rPr>
          <w:szCs w:val="22"/>
        </w:rPr>
        <w:t>(angioedema)</w:t>
      </w:r>
    </w:p>
    <w:p w14:paraId="4933085D" w14:textId="77777777" w:rsidR="00717A16" w:rsidRPr="00B86130" w:rsidRDefault="00157A56">
      <w:pPr>
        <w:widowControl w:val="0"/>
        <w:numPr>
          <w:ilvl w:val="0"/>
          <w:numId w:val="6"/>
        </w:numPr>
        <w:tabs>
          <w:tab w:val="clear" w:pos="567"/>
        </w:tabs>
        <w:ind w:left="567" w:right="-2" w:hanging="567"/>
        <w:rPr>
          <w:szCs w:val="22"/>
        </w:rPr>
      </w:pPr>
      <w:r w:rsidRPr="00B86130">
        <w:rPr>
          <w:szCs w:val="22"/>
        </w:rPr>
        <w:t xml:space="preserve">respiro affannoso, difficoltà respiratorie o respiro corto </w:t>
      </w:r>
      <w:r w:rsidRPr="00B86130">
        <w:rPr>
          <w:i/>
          <w:szCs w:val="22"/>
        </w:rPr>
        <w:t>(dispnea, ipossia)</w:t>
      </w:r>
    </w:p>
    <w:p w14:paraId="45D4BCB7" w14:textId="77777777" w:rsidR="00717A16" w:rsidRPr="00B86130" w:rsidRDefault="00157A56">
      <w:pPr>
        <w:widowControl w:val="0"/>
        <w:numPr>
          <w:ilvl w:val="0"/>
          <w:numId w:val="6"/>
        </w:numPr>
        <w:tabs>
          <w:tab w:val="clear" w:pos="567"/>
        </w:tabs>
        <w:ind w:left="567" w:right="-2" w:hanging="567"/>
        <w:rPr>
          <w:szCs w:val="22"/>
        </w:rPr>
      </w:pPr>
      <w:r w:rsidRPr="00B86130">
        <w:rPr>
          <w:szCs w:val="22"/>
        </w:rPr>
        <w:t xml:space="preserve">capogiri o perdita di coscienza </w:t>
      </w:r>
      <w:r w:rsidRPr="00B86130">
        <w:rPr>
          <w:i/>
          <w:szCs w:val="22"/>
        </w:rPr>
        <w:t>(ipotensione)</w:t>
      </w:r>
    </w:p>
    <w:p w14:paraId="0D5885A9" w14:textId="22C85030" w:rsidR="00717A16" w:rsidRPr="00B86130" w:rsidRDefault="00D8334D" w:rsidP="00AB2512">
      <w:pPr>
        <w:widowControl w:val="0"/>
        <w:tabs>
          <w:tab w:val="clear" w:pos="567"/>
          <w:tab w:val="left" w:pos="5592"/>
        </w:tabs>
        <w:ind w:left="567" w:right="-2"/>
        <w:rPr>
          <w:szCs w:val="22"/>
        </w:rPr>
      </w:pPr>
      <w:r>
        <w:rPr>
          <w:szCs w:val="22"/>
        </w:rPr>
        <w:tab/>
      </w:r>
    </w:p>
    <w:p w14:paraId="180C5B52" w14:textId="77777777" w:rsidR="00717A16" w:rsidRPr="00B86130" w:rsidRDefault="00157A56">
      <w:pPr>
        <w:widowControl w:val="0"/>
        <w:tabs>
          <w:tab w:val="clear" w:pos="567"/>
        </w:tabs>
        <w:ind w:right="-2"/>
        <w:rPr>
          <w:i/>
          <w:szCs w:val="22"/>
        </w:rPr>
      </w:pPr>
      <w:r w:rsidRPr="00B86130">
        <w:rPr>
          <w:szCs w:val="22"/>
        </w:rPr>
        <w:t xml:space="preserve">questo può rappresentare una reazione allergica grave </w:t>
      </w:r>
      <w:r w:rsidRPr="00B86130">
        <w:rPr>
          <w:i/>
          <w:szCs w:val="22"/>
        </w:rPr>
        <w:t>(anafilassi)</w:t>
      </w:r>
    </w:p>
    <w:p w14:paraId="2D1811BC" w14:textId="77777777" w:rsidR="00717A16" w:rsidRPr="00B86130" w:rsidRDefault="00717A16">
      <w:pPr>
        <w:widowControl w:val="0"/>
        <w:ind w:right="-2"/>
        <w:rPr>
          <w:szCs w:val="22"/>
        </w:rPr>
      </w:pPr>
    </w:p>
    <w:p w14:paraId="0F6D34F0" w14:textId="31E0358E" w:rsidR="00717A16" w:rsidRPr="00E91670" w:rsidRDefault="00157A56" w:rsidP="00E91670">
      <w:pPr>
        <w:pStyle w:val="ListParagraph"/>
        <w:widowControl w:val="0"/>
        <w:numPr>
          <w:ilvl w:val="0"/>
          <w:numId w:val="30"/>
        </w:numPr>
        <w:ind w:left="360" w:right="-2"/>
        <w:rPr>
          <w:b/>
          <w:szCs w:val="22"/>
        </w:rPr>
      </w:pPr>
      <w:r w:rsidRPr="00E91670">
        <w:rPr>
          <w:b/>
          <w:szCs w:val="22"/>
        </w:rPr>
        <w:tab/>
        <w:t xml:space="preserve">Smetta di assumere </w:t>
      </w:r>
      <w:r w:rsidR="00C934D8" w:rsidRPr="00E91670">
        <w:rPr>
          <w:b/>
          <w:szCs w:val="22"/>
        </w:rPr>
        <w:t>Dimetilfumarato</w:t>
      </w:r>
      <w:r w:rsidR="00C934D8" w:rsidRPr="00E91670" w:rsidDel="00C934D8">
        <w:rPr>
          <w:b/>
          <w:szCs w:val="22"/>
        </w:rPr>
        <w:t xml:space="preserve"> </w:t>
      </w:r>
      <w:r w:rsidR="00B41B6F" w:rsidRPr="00E91670">
        <w:rPr>
          <w:b/>
          <w:szCs w:val="22"/>
        </w:rPr>
        <w:t xml:space="preserve">Accord </w:t>
      </w:r>
      <w:r w:rsidRPr="00E91670">
        <w:rPr>
          <w:b/>
          <w:szCs w:val="22"/>
        </w:rPr>
        <w:t>e chiami immediatamente un medico</w:t>
      </w:r>
    </w:p>
    <w:p w14:paraId="6B949448" w14:textId="77777777" w:rsidR="00717A16" w:rsidRPr="00B86130" w:rsidRDefault="00717A16">
      <w:pPr>
        <w:widowControl w:val="0"/>
        <w:rPr>
          <w:szCs w:val="22"/>
        </w:rPr>
      </w:pPr>
    </w:p>
    <w:p w14:paraId="3E0977BB" w14:textId="6E9A88D2" w:rsidR="00717A16" w:rsidRPr="00B86130" w:rsidRDefault="00B41B6F" w:rsidP="00100121">
      <w:pPr>
        <w:keepNext/>
        <w:widowControl w:val="0"/>
        <w:rPr>
          <w:b/>
          <w:szCs w:val="22"/>
        </w:rPr>
      </w:pPr>
      <w:r w:rsidRPr="00B86130">
        <w:rPr>
          <w:b/>
          <w:szCs w:val="22"/>
        </w:rPr>
        <w:lastRenderedPageBreak/>
        <w:t>Altri e</w:t>
      </w:r>
      <w:r w:rsidR="00157A56" w:rsidRPr="00B86130">
        <w:rPr>
          <w:b/>
          <w:szCs w:val="22"/>
        </w:rPr>
        <w:t xml:space="preserve">ffetti indesiderati </w:t>
      </w:r>
    </w:p>
    <w:p w14:paraId="0C43183B" w14:textId="77777777" w:rsidR="00717A16" w:rsidRPr="00B86130" w:rsidRDefault="00717A16" w:rsidP="00100121">
      <w:pPr>
        <w:keepNext/>
        <w:widowControl w:val="0"/>
        <w:rPr>
          <w:szCs w:val="22"/>
        </w:rPr>
      </w:pPr>
    </w:p>
    <w:p w14:paraId="05053401" w14:textId="75E600C8" w:rsidR="00717A16" w:rsidRPr="00B86130" w:rsidRDefault="0081291B">
      <w:pPr>
        <w:widowControl w:val="0"/>
        <w:tabs>
          <w:tab w:val="clear" w:pos="567"/>
        </w:tabs>
        <w:ind w:right="-2"/>
        <w:rPr>
          <w:i/>
          <w:szCs w:val="22"/>
        </w:rPr>
      </w:pPr>
      <w:r w:rsidRPr="00B86130">
        <w:rPr>
          <w:b/>
          <w:szCs w:val="22"/>
        </w:rPr>
        <w:t>Molto comuni</w:t>
      </w:r>
      <w:r w:rsidRPr="00B86130">
        <w:rPr>
          <w:szCs w:val="22"/>
        </w:rPr>
        <w:t xml:space="preserve"> (</w:t>
      </w:r>
      <w:r w:rsidR="00157A56" w:rsidRPr="00B86130">
        <w:rPr>
          <w:szCs w:val="22"/>
        </w:rPr>
        <w:t>possono interessare più di</w:t>
      </w:r>
      <w:r w:rsidR="00157A56" w:rsidRPr="00B86130">
        <w:rPr>
          <w:i/>
          <w:szCs w:val="22"/>
        </w:rPr>
        <w:t xml:space="preserve"> </w:t>
      </w:r>
      <w:r w:rsidR="00157A56" w:rsidRPr="00B86130">
        <w:rPr>
          <w:szCs w:val="22"/>
        </w:rPr>
        <w:t>1</w:t>
      </w:r>
      <w:r w:rsidR="007D055B" w:rsidRPr="00B86130">
        <w:rPr>
          <w:szCs w:val="22"/>
        </w:rPr>
        <w:t> </w:t>
      </w:r>
      <w:r w:rsidR="00157A56" w:rsidRPr="00B86130">
        <w:rPr>
          <w:szCs w:val="22"/>
        </w:rPr>
        <w:t>persona su</w:t>
      </w:r>
      <w:r w:rsidR="007D055B" w:rsidRPr="00B86130">
        <w:rPr>
          <w:szCs w:val="22"/>
        </w:rPr>
        <w:t> </w:t>
      </w:r>
      <w:r w:rsidR="00157A56" w:rsidRPr="00B86130">
        <w:rPr>
          <w:szCs w:val="22"/>
        </w:rPr>
        <w:t>10</w:t>
      </w:r>
      <w:r w:rsidRPr="00B86130">
        <w:rPr>
          <w:szCs w:val="22"/>
        </w:rPr>
        <w:t>)</w:t>
      </w:r>
    </w:p>
    <w:p w14:paraId="33A8B00E" w14:textId="7BA73557" w:rsidR="00717A16" w:rsidRPr="00B86130" w:rsidRDefault="00157A56">
      <w:pPr>
        <w:widowControl w:val="0"/>
        <w:numPr>
          <w:ilvl w:val="0"/>
          <w:numId w:val="4"/>
        </w:numPr>
        <w:tabs>
          <w:tab w:val="clear" w:pos="567"/>
        </w:tabs>
        <w:ind w:left="567" w:right="-2" w:hanging="567"/>
        <w:rPr>
          <w:szCs w:val="22"/>
        </w:rPr>
      </w:pPr>
      <w:r w:rsidRPr="00B86130">
        <w:rPr>
          <w:szCs w:val="22"/>
        </w:rPr>
        <w:t xml:space="preserve">arrossamento del viso o del corpo, sensazione di caldo, di forte calore, di bruciore o di prurito </w:t>
      </w:r>
    </w:p>
    <w:p w14:paraId="6976CA92" w14:textId="77777777" w:rsidR="00717A16" w:rsidRPr="00B86130" w:rsidRDefault="00157A56">
      <w:pPr>
        <w:widowControl w:val="0"/>
        <w:numPr>
          <w:ilvl w:val="0"/>
          <w:numId w:val="4"/>
        </w:numPr>
        <w:tabs>
          <w:tab w:val="clear" w:pos="567"/>
        </w:tabs>
        <w:ind w:left="567" w:right="-2" w:hanging="567"/>
        <w:rPr>
          <w:i/>
          <w:szCs w:val="22"/>
        </w:rPr>
      </w:pPr>
      <w:r w:rsidRPr="00B86130">
        <w:rPr>
          <w:szCs w:val="22"/>
        </w:rPr>
        <w:t xml:space="preserve">feci molli </w:t>
      </w:r>
      <w:r w:rsidRPr="00B86130">
        <w:rPr>
          <w:i/>
          <w:szCs w:val="22"/>
        </w:rPr>
        <w:t>(diarrea)</w:t>
      </w:r>
    </w:p>
    <w:p w14:paraId="0D4639CE" w14:textId="77777777" w:rsidR="00717A16" w:rsidRPr="00B86130" w:rsidRDefault="00157A56">
      <w:pPr>
        <w:widowControl w:val="0"/>
        <w:numPr>
          <w:ilvl w:val="0"/>
          <w:numId w:val="4"/>
        </w:numPr>
        <w:tabs>
          <w:tab w:val="clear" w:pos="567"/>
        </w:tabs>
        <w:ind w:left="567" w:right="-2" w:hanging="567"/>
        <w:rPr>
          <w:szCs w:val="22"/>
        </w:rPr>
      </w:pPr>
      <w:r w:rsidRPr="00B86130">
        <w:rPr>
          <w:szCs w:val="22"/>
        </w:rPr>
        <w:t xml:space="preserve">sensazione di vomito imminente </w:t>
      </w:r>
      <w:r w:rsidRPr="00B86130">
        <w:rPr>
          <w:i/>
          <w:szCs w:val="22"/>
        </w:rPr>
        <w:t>(nausea)</w:t>
      </w:r>
    </w:p>
    <w:p w14:paraId="5A24437D" w14:textId="77777777" w:rsidR="00717A16" w:rsidRPr="00B86130" w:rsidRDefault="00157A56">
      <w:pPr>
        <w:widowControl w:val="0"/>
        <w:numPr>
          <w:ilvl w:val="0"/>
          <w:numId w:val="4"/>
        </w:numPr>
        <w:tabs>
          <w:tab w:val="clear" w:pos="567"/>
        </w:tabs>
        <w:ind w:left="567" w:right="-2" w:hanging="567"/>
        <w:rPr>
          <w:i/>
          <w:szCs w:val="22"/>
        </w:rPr>
      </w:pPr>
      <w:r w:rsidRPr="00B86130">
        <w:rPr>
          <w:szCs w:val="22"/>
        </w:rPr>
        <w:t>mal di stomaco o crampi allo stomaco</w:t>
      </w:r>
    </w:p>
    <w:p w14:paraId="3C3E0055" w14:textId="77777777" w:rsidR="00717A16" w:rsidRPr="00B86130" w:rsidRDefault="00717A16">
      <w:pPr>
        <w:widowControl w:val="0"/>
        <w:ind w:right="-2"/>
        <w:rPr>
          <w:i/>
          <w:szCs w:val="22"/>
        </w:rPr>
      </w:pPr>
    </w:p>
    <w:p w14:paraId="319F8244" w14:textId="01735012" w:rsidR="00717A16" w:rsidRPr="00E91670" w:rsidRDefault="00157A56" w:rsidP="00E91670">
      <w:pPr>
        <w:pStyle w:val="ListParagraph"/>
        <w:widowControl w:val="0"/>
        <w:numPr>
          <w:ilvl w:val="0"/>
          <w:numId w:val="30"/>
        </w:numPr>
        <w:ind w:left="360" w:right="-2"/>
        <w:rPr>
          <w:szCs w:val="22"/>
        </w:rPr>
      </w:pPr>
      <w:r w:rsidRPr="00E91670">
        <w:rPr>
          <w:szCs w:val="22"/>
        </w:rPr>
        <w:tab/>
      </w:r>
      <w:r w:rsidRPr="00E91670">
        <w:rPr>
          <w:b/>
          <w:szCs w:val="22"/>
        </w:rPr>
        <w:t xml:space="preserve">L’assunzione del medicinale con il cibo </w:t>
      </w:r>
      <w:r w:rsidRPr="00E91670">
        <w:rPr>
          <w:szCs w:val="22"/>
        </w:rPr>
        <w:t>può contribuire a ridurre gli effetti indesiderati sopra menzionati</w:t>
      </w:r>
    </w:p>
    <w:p w14:paraId="4F5525D2" w14:textId="77777777" w:rsidR="00717A16" w:rsidRPr="00B86130" w:rsidRDefault="00717A16">
      <w:pPr>
        <w:widowControl w:val="0"/>
        <w:ind w:right="-2"/>
        <w:rPr>
          <w:b/>
          <w:szCs w:val="22"/>
        </w:rPr>
      </w:pPr>
    </w:p>
    <w:p w14:paraId="1098CF32" w14:textId="58B63CB8" w:rsidR="00717A16" w:rsidRPr="00B86130" w:rsidRDefault="00157A56">
      <w:pPr>
        <w:widowControl w:val="0"/>
        <w:ind w:right="-2"/>
        <w:rPr>
          <w:szCs w:val="22"/>
        </w:rPr>
      </w:pPr>
      <w:r w:rsidRPr="00B86130">
        <w:rPr>
          <w:szCs w:val="22"/>
        </w:rPr>
        <w:t xml:space="preserve">La presenza di sostanze chiamate chetoni, che sono prodotte naturalmente dal corpo, viene rivelata molto comunemente negli esami delle urine durante l’assunzione di </w:t>
      </w:r>
      <w:r w:rsidR="00C934D8" w:rsidRPr="00B86130">
        <w:rPr>
          <w:szCs w:val="22"/>
        </w:rPr>
        <w:t>Dimetilfumarato</w:t>
      </w:r>
      <w:r w:rsidR="00C934D8" w:rsidRPr="00B86130" w:rsidDel="00C934D8">
        <w:rPr>
          <w:szCs w:val="22"/>
        </w:rPr>
        <w:t xml:space="preserve"> </w:t>
      </w:r>
      <w:r w:rsidR="0081291B" w:rsidRPr="00B86130">
        <w:rPr>
          <w:szCs w:val="22"/>
        </w:rPr>
        <w:t>Accord</w:t>
      </w:r>
      <w:r w:rsidRPr="00B86130">
        <w:rPr>
          <w:szCs w:val="22"/>
        </w:rPr>
        <w:t>.</w:t>
      </w:r>
    </w:p>
    <w:p w14:paraId="515165D7" w14:textId="77777777" w:rsidR="00717A16" w:rsidRPr="00B86130" w:rsidRDefault="00717A16">
      <w:pPr>
        <w:widowControl w:val="0"/>
        <w:ind w:right="-2"/>
        <w:rPr>
          <w:szCs w:val="22"/>
        </w:rPr>
      </w:pPr>
    </w:p>
    <w:p w14:paraId="3ABCB72E" w14:textId="77777777" w:rsidR="00717A16" w:rsidRPr="00B86130" w:rsidRDefault="00157A56">
      <w:pPr>
        <w:widowControl w:val="0"/>
        <w:ind w:right="-2"/>
        <w:rPr>
          <w:szCs w:val="22"/>
        </w:rPr>
      </w:pPr>
      <w:r w:rsidRPr="00B86130">
        <w:rPr>
          <w:b/>
          <w:szCs w:val="22"/>
        </w:rPr>
        <w:t>Si rivolga al medico</w:t>
      </w:r>
      <w:r w:rsidRPr="00B86130">
        <w:rPr>
          <w:szCs w:val="22"/>
        </w:rPr>
        <w:t xml:space="preserve"> per informazioni su come gestire questi effetti indesiderati. Il medico può ridurre la sua dose. Non riduca la dose a meno che il medico non le dica di farlo.</w:t>
      </w:r>
    </w:p>
    <w:p w14:paraId="74CC43E3" w14:textId="77777777" w:rsidR="00717A16" w:rsidRPr="00B86130" w:rsidRDefault="00717A16">
      <w:pPr>
        <w:widowControl w:val="0"/>
        <w:ind w:right="-2"/>
        <w:rPr>
          <w:szCs w:val="22"/>
        </w:rPr>
      </w:pPr>
    </w:p>
    <w:p w14:paraId="5B55560C" w14:textId="38D9D0FC" w:rsidR="00717A16" w:rsidRPr="00B86130" w:rsidRDefault="0081291B">
      <w:pPr>
        <w:keepNext/>
        <w:widowControl w:val="0"/>
        <w:rPr>
          <w:szCs w:val="22"/>
        </w:rPr>
      </w:pPr>
      <w:r w:rsidRPr="00B86130">
        <w:rPr>
          <w:b/>
          <w:szCs w:val="22"/>
        </w:rPr>
        <w:t>C</w:t>
      </w:r>
      <w:r w:rsidR="00157A56" w:rsidRPr="00B86130">
        <w:rPr>
          <w:b/>
          <w:szCs w:val="22"/>
        </w:rPr>
        <w:t>omuni</w:t>
      </w:r>
      <w:r w:rsidRPr="00B86130">
        <w:rPr>
          <w:b/>
          <w:szCs w:val="22"/>
        </w:rPr>
        <w:t xml:space="preserve"> </w:t>
      </w:r>
      <w:r w:rsidRPr="00B86130">
        <w:rPr>
          <w:szCs w:val="22"/>
        </w:rPr>
        <w:t>(possono interessare fino a 1 persona su 10)</w:t>
      </w:r>
    </w:p>
    <w:p w14:paraId="690B1EE1" w14:textId="77777777" w:rsidR="00717A16" w:rsidRPr="00B86130" w:rsidRDefault="00157A56">
      <w:pPr>
        <w:keepNext/>
        <w:widowControl w:val="0"/>
        <w:numPr>
          <w:ilvl w:val="0"/>
          <w:numId w:val="4"/>
        </w:numPr>
        <w:tabs>
          <w:tab w:val="clear" w:pos="567"/>
        </w:tabs>
        <w:ind w:left="567" w:right="-2" w:hanging="567"/>
        <w:rPr>
          <w:i/>
          <w:szCs w:val="22"/>
        </w:rPr>
      </w:pPr>
      <w:r w:rsidRPr="00B86130">
        <w:rPr>
          <w:szCs w:val="22"/>
        </w:rPr>
        <w:t xml:space="preserve">infiammazione del rivestimento dell’intestino </w:t>
      </w:r>
      <w:r w:rsidRPr="00AB2512">
        <w:rPr>
          <w:szCs w:val="22"/>
        </w:rPr>
        <w:t>(gastroenterite)</w:t>
      </w:r>
    </w:p>
    <w:p w14:paraId="6AAC9971" w14:textId="204BCF79" w:rsidR="00717A16" w:rsidRPr="00B86130" w:rsidRDefault="00157A56">
      <w:pPr>
        <w:keepNext/>
        <w:widowControl w:val="0"/>
        <w:numPr>
          <w:ilvl w:val="0"/>
          <w:numId w:val="4"/>
        </w:numPr>
        <w:tabs>
          <w:tab w:val="clear" w:pos="567"/>
        </w:tabs>
        <w:ind w:left="567" w:right="-2" w:hanging="567"/>
        <w:rPr>
          <w:szCs w:val="22"/>
        </w:rPr>
      </w:pPr>
      <w:r w:rsidRPr="00B86130">
        <w:rPr>
          <w:szCs w:val="22"/>
        </w:rPr>
        <w:t>vomito</w:t>
      </w:r>
    </w:p>
    <w:p w14:paraId="7A877FFB" w14:textId="77777777" w:rsidR="00717A16" w:rsidRPr="00AB2512" w:rsidRDefault="00157A56">
      <w:pPr>
        <w:keepNext/>
        <w:widowControl w:val="0"/>
        <w:numPr>
          <w:ilvl w:val="0"/>
          <w:numId w:val="4"/>
        </w:numPr>
        <w:tabs>
          <w:tab w:val="clear" w:pos="567"/>
        </w:tabs>
        <w:ind w:left="567" w:right="-2" w:hanging="567"/>
        <w:rPr>
          <w:szCs w:val="22"/>
        </w:rPr>
      </w:pPr>
      <w:r w:rsidRPr="00B86130">
        <w:rPr>
          <w:szCs w:val="22"/>
        </w:rPr>
        <w:t xml:space="preserve">indigestione </w:t>
      </w:r>
      <w:r w:rsidRPr="00AB2512">
        <w:rPr>
          <w:szCs w:val="22"/>
        </w:rPr>
        <w:t>(</w:t>
      </w:r>
      <w:r w:rsidRPr="00AB2512">
        <w:rPr>
          <w:szCs w:val="22"/>
          <w:u w:val="single"/>
        </w:rPr>
        <w:t>dispepsia</w:t>
      </w:r>
      <w:r w:rsidRPr="00AB2512">
        <w:rPr>
          <w:szCs w:val="22"/>
        </w:rPr>
        <w:t>)</w:t>
      </w:r>
    </w:p>
    <w:p w14:paraId="3B45AAA8" w14:textId="77777777" w:rsidR="00717A16" w:rsidRPr="00B86130" w:rsidRDefault="00157A56">
      <w:pPr>
        <w:keepNext/>
        <w:widowControl w:val="0"/>
        <w:numPr>
          <w:ilvl w:val="0"/>
          <w:numId w:val="4"/>
        </w:numPr>
        <w:tabs>
          <w:tab w:val="clear" w:pos="567"/>
        </w:tabs>
        <w:ind w:left="567" w:right="-2" w:hanging="567"/>
        <w:rPr>
          <w:i/>
          <w:szCs w:val="22"/>
        </w:rPr>
      </w:pPr>
      <w:r w:rsidRPr="00B86130">
        <w:rPr>
          <w:szCs w:val="22"/>
        </w:rPr>
        <w:t xml:space="preserve">infiammazione dello stomaco </w:t>
      </w:r>
      <w:r w:rsidRPr="00AB2512">
        <w:rPr>
          <w:szCs w:val="22"/>
        </w:rPr>
        <w:t>(gastrite)</w:t>
      </w:r>
    </w:p>
    <w:p w14:paraId="7AB0CD36" w14:textId="17631639" w:rsidR="00717A16" w:rsidRPr="00B86130" w:rsidRDefault="00656926">
      <w:pPr>
        <w:keepNext/>
        <w:widowControl w:val="0"/>
        <w:numPr>
          <w:ilvl w:val="0"/>
          <w:numId w:val="4"/>
        </w:numPr>
        <w:tabs>
          <w:tab w:val="clear" w:pos="567"/>
        </w:tabs>
        <w:ind w:left="567" w:right="-2" w:hanging="567"/>
        <w:rPr>
          <w:szCs w:val="22"/>
        </w:rPr>
      </w:pPr>
      <w:r w:rsidRPr="00B86130">
        <w:rPr>
          <w:szCs w:val="22"/>
        </w:rPr>
        <w:t xml:space="preserve">disturbo </w:t>
      </w:r>
      <w:r w:rsidR="00157A56" w:rsidRPr="00B86130">
        <w:rPr>
          <w:szCs w:val="22"/>
        </w:rPr>
        <w:t>gastrointestinale</w:t>
      </w:r>
    </w:p>
    <w:p w14:paraId="6BBD9D2E" w14:textId="77777777" w:rsidR="00717A16" w:rsidRPr="00B86130" w:rsidRDefault="00157A56">
      <w:pPr>
        <w:keepNext/>
        <w:widowControl w:val="0"/>
        <w:numPr>
          <w:ilvl w:val="0"/>
          <w:numId w:val="4"/>
        </w:numPr>
        <w:tabs>
          <w:tab w:val="clear" w:pos="567"/>
        </w:tabs>
        <w:ind w:left="567" w:right="-2" w:hanging="567"/>
        <w:rPr>
          <w:szCs w:val="22"/>
        </w:rPr>
      </w:pPr>
      <w:r w:rsidRPr="00B86130">
        <w:rPr>
          <w:szCs w:val="22"/>
        </w:rPr>
        <w:t>sensazione di bruciore</w:t>
      </w:r>
    </w:p>
    <w:p w14:paraId="6443E49F" w14:textId="77777777" w:rsidR="00717A16" w:rsidRPr="00B86130" w:rsidRDefault="00157A56">
      <w:pPr>
        <w:keepNext/>
        <w:widowControl w:val="0"/>
        <w:numPr>
          <w:ilvl w:val="0"/>
          <w:numId w:val="4"/>
        </w:numPr>
        <w:tabs>
          <w:tab w:val="clear" w:pos="567"/>
        </w:tabs>
        <w:ind w:left="567" w:right="-2" w:hanging="567"/>
        <w:rPr>
          <w:szCs w:val="22"/>
        </w:rPr>
      </w:pPr>
      <w:r w:rsidRPr="00B86130">
        <w:rPr>
          <w:szCs w:val="22"/>
        </w:rPr>
        <w:t>vampata di calore, sensazione di calore</w:t>
      </w:r>
    </w:p>
    <w:p w14:paraId="1BA68BCB" w14:textId="77777777" w:rsidR="00717A16" w:rsidRPr="00B86130" w:rsidRDefault="00157A56">
      <w:pPr>
        <w:keepNext/>
        <w:widowControl w:val="0"/>
        <w:numPr>
          <w:ilvl w:val="0"/>
          <w:numId w:val="4"/>
        </w:numPr>
        <w:tabs>
          <w:tab w:val="clear" w:pos="567"/>
        </w:tabs>
        <w:ind w:left="567" w:right="-2" w:hanging="567"/>
        <w:rPr>
          <w:szCs w:val="22"/>
        </w:rPr>
      </w:pPr>
      <w:r w:rsidRPr="00B86130">
        <w:rPr>
          <w:szCs w:val="22"/>
        </w:rPr>
        <w:t>prurito</w:t>
      </w:r>
    </w:p>
    <w:p w14:paraId="5F4DB107" w14:textId="77777777" w:rsidR="00717A16" w:rsidRPr="00B86130" w:rsidRDefault="00157A56">
      <w:pPr>
        <w:keepNext/>
        <w:widowControl w:val="0"/>
        <w:numPr>
          <w:ilvl w:val="0"/>
          <w:numId w:val="4"/>
        </w:numPr>
        <w:tabs>
          <w:tab w:val="clear" w:pos="567"/>
        </w:tabs>
        <w:ind w:left="567" w:right="-2" w:hanging="567"/>
        <w:rPr>
          <w:szCs w:val="22"/>
        </w:rPr>
      </w:pPr>
      <w:r w:rsidRPr="00B86130">
        <w:rPr>
          <w:szCs w:val="22"/>
        </w:rPr>
        <w:t>eruzione cutanea</w:t>
      </w:r>
    </w:p>
    <w:p w14:paraId="428D41EB" w14:textId="77777777" w:rsidR="00717A16" w:rsidRPr="00B86130" w:rsidRDefault="00157A56">
      <w:pPr>
        <w:keepNext/>
        <w:widowControl w:val="0"/>
        <w:numPr>
          <w:ilvl w:val="0"/>
          <w:numId w:val="4"/>
        </w:numPr>
        <w:tabs>
          <w:tab w:val="clear" w:pos="567"/>
        </w:tabs>
        <w:ind w:left="567" w:right="-2" w:hanging="567"/>
        <w:rPr>
          <w:szCs w:val="22"/>
        </w:rPr>
      </w:pPr>
      <w:r w:rsidRPr="00B86130">
        <w:rPr>
          <w:szCs w:val="22"/>
        </w:rPr>
        <w:t xml:space="preserve">macchie rosa o rosse sulla pelle </w:t>
      </w:r>
      <w:r w:rsidRPr="002E2337">
        <w:rPr>
          <w:szCs w:val="22"/>
        </w:rPr>
        <w:t>(</w:t>
      </w:r>
      <w:r w:rsidRPr="00AB2512">
        <w:rPr>
          <w:szCs w:val="22"/>
        </w:rPr>
        <w:t>eritema</w:t>
      </w:r>
      <w:r w:rsidRPr="002E2337">
        <w:rPr>
          <w:szCs w:val="22"/>
        </w:rPr>
        <w:t>)</w:t>
      </w:r>
    </w:p>
    <w:p w14:paraId="137ACFFB" w14:textId="69898C0D" w:rsidR="00BC1861" w:rsidRPr="00B86130" w:rsidRDefault="00BC1861">
      <w:pPr>
        <w:keepNext/>
        <w:widowControl w:val="0"/>
        <w:numPr>
          <w:ilvl w:val="0"/>
          <w:numId w:val="4"/>
        </w:numPr>
        <w:tabs>
          <w:tab w:val="clear" w:pos="567"/>
        </w:tabs>
        <w:ind w:left="567" w:right="-2" w:hanging="567"/>
        <w:rPr>
          <w:szCs w:val="22"/>
        </w:rPr>
      </w:pPr>
      <w:r w:rsidRPr="00B86130">
        <w:rPr>
          <w:szCs w:val="22"/>
        </w:rPr>
        <w:t>perdita di capelli (alopecia)</w:t>
      </w:r>
    </w:p>
    <w:p w14:paraId="4026AF2F" w14:textId="77777777" w:rsidR="00717A16" w:rsidRPr="00B86130" w:rsidRDefault="00717A16">
      <w:pPr>
        <w:widowControl w:val="0"/>
        <w:rPr>
          <w:b/>
          <w:szCs w:val="22"/>
        </w:rPr>
      </w:pPr>
    </w:p>
    <w:p w14:paraId="271B7D9C" w14:textId="77777777" w:rsidR="00717A16" w:rsidRPr="00B86130" w:rsidRDefault="00157A56">
      <w:pPr>
        <w:widowControl w:val="0"/>
        <w:ind w:left="567" w:hanging="567"/>
        <w:rPr>
          <w:b/>
          <w:szCs w:val="22"/>
        </w:rPr>
      </w:pPr>
      <w:r w:rsidRPr="00B86130">
        <w:rPr>
          <w:szCs w:val="22"/>
          <w:u w:val="single"/>
        </w:rPr>
        <w:t>Effetti indesiderati che possono emergere dagli esami del sangue o delle urine</w:t>
      </w:r>
    </w:p>
    <w:p w14:paraId="64AE93D9" w14:textId="4F584433" w:rsidR="00717A16" w:rsidRPr="00B86130" w:rsidRDefault="00157A56">
      <w:pPr>
        <w:widowControl w:val="0"/>
        <w:numPr>
          <w:ilvl w:val="0"/>
          <w:numId w:val="4"/>
        </w:numPr>
        <w:tabs>
          <w:tab w:val="clear" w:pos="0"/>
          <w:tab w:val="clear" w:pos="567"/>
          <w:tab w:val="num" w:pos="1134"/>
        </w:tabs>
        <w:ind w:left="1134" w:right="-2" w:hanging="567"/>
        <w:rPr>
          <w:szCs w:val="22"/>
        </w:rPr>
      </w:pPr>
      <w:r w:rsidRPr="00B86130">
        <w:rPr>
          <w:szCs w:val="22"/>
        </w:rPr>
        <w:t xml:space="preserve">bassi livelli di globuli bianchi </w:t>
      </w:r>
      <w:r w:rsidRPr="00AB2512">
        <w:rPr>
          <w:i/>
          <w:szCs w:val="22"/>
        </w:rPr>
        <w:t>(</w:t>
      </w:r>
      <w:r w:rsidRPr="00AE2875">
        <w:rPr>
          <w:i/>
          <w:szCs w:val="22"/>
        </w:rPr>
        <w:t>linfocitopenia, leucopenia</w:t>
      </w:r>
      <w:r w:rsidRPr="00AB2512">
        <w:rPr>
          <w:i/>
          <w:szCs w:val="22"/>
        </w:rPr>
        <w:t>)</w:t>
      </w:r>
      <w:r w:rsidRPr="00B86130">
        <w:rPr>
          <w:szCs w:val="22"/>
        </w:rPr>
        <w:t xml:space="preserve"> nel sangue. La riduzione del numero dei globuli bianchi nel sangue potrebbe indicare che non è in grado di combattere un’infezione in modo adeguato. Se ha un’infezione grave (come la polmonite), si rivolga immediatamente al medico</w:t>
      </w:r>
    </w:p>
    <w:p w14:paraId="186AE54B" w14:textId="77777777" w:rsidR="00717A16" w:rsidRPr="00B86130" w:rsidRDefault="00157A56">
      <w:pPr>
        <w:widowControl w:val="0"/>
        <w:numPr>
          <w:ilvl w:val="0"/>
          <w:numId w:val="4"/>
        </w:numPr>
        <w:tabs>
          <w:tab w:val="clear" w:pos="0"/>
          <w:tab w:val="clear" w:pos="567"/>
          <w:tab w:val="num" w:pos="1134"/>
        </w:tabs>
        <w:ind w:left="1134" w:right="-2" w:hanging="567"/>
        <w:rPr>
          <w:szCs w:val="22"/>
        </w:rPr>
      </w:pPr>
      <w:r w:rsidRPr="00B86130">
        <w:rPr>
          <w:szCs w:val="22"/>
        </w:rPr>
        <w:t>proteine (</w:t>
      </w:r>
      <w:r w:rsidRPr="00B86130">
        <w:rPr>
          <w:i/>
          <w:szCs w:val="22"/>
        </w:rPr>
        <w:t>albumina</w:t>
      </w:r>
      <w:r w:rsidRPr="00B86130">
        <w:rPr>
          <w:szCs w:val="22"/>
        </w:rPr>
        <w:t>) nelle urine</w:t>
      </w:r>
    </w:p>
    <w:p w14:paraId="57EB3294" w14:textId="69768E85" w:rsidR="00717A16" w:rsidRPr="00B86130" w:rsidRDefault="00157A56">
      <w:pPr>
        <w:widowControl w:val="0"/>
        <w:numPr>
          <w:ilvl w:val="0"/>
          <w:numId w:val="4"/>
        </w:numPr>
        <w:tabs>
          <w:tab w:val="clear" w:pos="0"/>
          <w:tab w:val="clear" w:pos="567"/>
          <w:tab w:val="num" w:pos="1134"/>
        </w:tabs>
        <w:ind w:left="1134" w:right="-2" w:hanging="567"/>
        <w:rPr>
          <w:szCs w:val="22"/>
        </w:rPr>
      </w:pPr>
      <w:r w:rsidRPr="00B86130">
        <w:rPr>
          <w:szCs w:val="22"/>
        </w:rPr>
        <w:t>aumento dei livelli degli enzimi del fegato (</w:t>
      </w:r>
      <w:r w:rsidRPr="00B86130">
        <w:rPr>
          <w:rStyle w:val="Emphasis"/>
          <w:szCs w:val="22"/>
        </w:rPr>
        <w:t>alanina-aminotransferasi,</w:t>
      </w:r>
      <w:r w:rsidR="00C913CA" w:rsidRPr="00B86130">
        <w:rPr>
          <w:rStyle w:val="Emphasis"/>
          <w:szCs w:val="22"/>
        </w:rPr>
        <w:t xml:space="preserve"> </w:t>
      </w:r>
      <w:r w:rsidRPr="00B86130">
        <w:rPr>
          <w:i/>
          <w:szCs w:val="22"/>
        </w:rPr>
        <w:t>ALT</w:t>
      </w:r>
      <w:r w:rsidRPr="00B86130">
        <w:rPr>
          <w:szCs w:val="22"/>
        </w:rPr>
        <w:t xml:space="preserve"> e </w:t>
      </w:r>
      <w:r w:rsidRPr="00B86130">
        <w:rPr>
          <w:rStyle w:val="Emphasis"/>
          <w:szCs w:val="22"/>
        </w:rPr>
        <w:t>aspartato-aminotransferasi</w:t>
      </w:r>
      <w:r w:rsidRPr="00B86130">
        <w:rPr>
          <w:rStyle w:val="Emphasis"/>
          <w:i w:val="0"/>
          <w:szCs w:val="22"/>
        </w:rPr>
        <w:t>,</w:t>
      </w:r>
      <w:r w:rsidRPr="00B86130">
        <w:rPr>
          <w:i/>
          <w:szCs w:val="22"/>
        </w:rPr>
        <w:t xml:space="preserve"> AST</w:t>
      </w:r>
      <w:r w:rsidRPr="00B86130">
        <w:rPr>
          <w:szCs w:val="22"/>
        </w:rPr>
        <w:t>) nel sangue</w:t>
      </w:r>
    </w:p>
    <w:p w14:paraId="75004AC7" w14:textId="77777777" w:rsidR="00717A16" w:rsidRPr="00B86130" w:rsidRDefault="00717A16">
      <w:pPr>
        <w:widowControl w:val="0"/>
        <w:tabs>
          <w:tab w:val="clear" w:pos="567"/>
        </w:tabs>
        <w:ind w:right="-2"/>
        <w:rPr>
          <w:szCs w:val="22"/>
        </w:rPr>
      </w:pPr>
    </w:p>
    <w:p w14:paraId="2741AD87" w14:textId="4A7A6B86" w:rsidR="00717A16" w:rsidRPr="00B86130" w:rsidRDefault="009E0E66">
      <w:pPr>
        <w:keepNext/>
        <w:widowControl w:val="0"/>
        <w:rPr>
          <w:szCs w:val="22"/>
        </w:rPr>
      </w:pPr>
      <w:r w:rsidRPr="00B86130">
        <w:rPr>
          <w:b/>
          <w:szCs w:val="22"/>
        </w:rPr>
        <w:t>N</w:t>
      </w:r>
      <w:r w:rsidR="00157A56" w:rsidRPr="00B86130">
        <w:rPr>
          <w:b/>
          <w:szCs w:val="22"/>
        </w:rPr>
        <w:t>on comuni</w:t>
      </w:r>
      <w:r w:rsidRPr="00B86130">
        <w:rPr>
          <w:b/>
          <w:szCs w:val="22"/>
        </w:rPr>
        <w:t xml:space="preserve"> </w:t>
      </w:r>
      <w:r w:rsidRPr="00B86130">
        <w:rPr>
          <w:szCs w:val="22"/>
        </w:rPr>
        <w:t>(possono interessare fino a 1 persona sul 100)</w:t>
      </w:r>
    </w:p>
    <w:p w14:paraId="51F9AB01" w14:textId="77777777" w:rsidR="00717A16" w:rsidRPr="00B86130" w:rsidRDefault="00157A56">
      <w:pPr>
        <w:keepNext/>
        <w:widowControl w:val="0"/>
        <w:numPr>
          <w:ilvl w:val="0"/>
          <w:numId w:val="4"/>
        </w:numPr>
        <w:tabs>
          <w:tab w:val="clear" w:pos="567"/>
        </w:tabs>
        <w:ind w:left="567" w:right="-2" w:hanging="567"/>
        <w:rPr>
          <w:i/>
          <w:szCs w:val="22"/>
        </w:rPr>
      </w:pPr>
      <w:r w:rsidRPr="00B86130">
        <w:rPr>
          <w:szCs w:val="22"/>
        </w:rPr>
        <w:t xml:space="preserve">reazioni allergiche </w:t>
      </w:r>
      <w:r w:rsidRPr="00B86130">
        <w:rPr>
          <w:i/>
          <w:szCs w:val="22"/>
        </w:rPr>
        <w:t>(ipersensibilità</w:t>
      </w:r>
      <w:r w:rsidRPr="00B86130">
        <w:rPr>
          <w:szCs w:val="22"/>
        </w:rPr>
        <w:t>)</w:t>
      </w:r>
    </w:p>
    <w:p w14:paraId="72222678" w14:textId="77777777" w:rsidR="00717A16" w:rsidRDefault="00157A56">
      <w:pPr>
        <w:keepNext/>
        <w:widowControl w:val="0"/>
        <w:numPr>
          <w:ilvl w:val="0"/>
          <w:numId w:val="4"/>
        </w:numPr>
        <w:tabs>
          <w:tab w:val="clear" w:pos="567"/>
        </w:tabs>
        <w:ind w:left="567" w:right="-2" w:hanging="567"/>
        <w:rPr>
          <w:szCs w:val="22"/>
        </w:rPr>
      </w:pPr>
      <w:r w:rsidRPr="00B86130">
        <w:rPr>
          <w:szCs w:val="22"/>
        </w:rPr>
        <w:t>riduzione delle piastrine nel sangue</w:t>
      </w:r>
    </w:p>
    <w:p w14:paraId="401B42A1" w14:textId="77777777" w:rsidR="005477D4" w:rsidRDefault="005477D4" w:rsidP="005477D4">
      <w:pPr>
        <w:keepNext/>
        <w:widowControl w:val="0"/>
        <w:tabs>
          <w:tab w:val="clear" w:pos="567"/>
        </w:tabs>
        <w:ind w:right="-2"/>
        <w:rPr>
          <w:szCs w:val="22"/>
        </w:rPr>
      </w:pPr>
    </w:p>
    <w:p w14:paraId="72418939" w14:textId="77777777" w:rsidR="005477D4" w:rsidRDefault="005477D4" w:rsidP="005477D4">
      <w:pPr>
        <w:keepNext/>
        <w:widowControl w:val="0"/>
        <w:tabs>
          <w:tab w:val="clear" w:pos="567"/>
        </w:tabs>
        <w:ind w:right="-2"/>
        <w:rPr>
          <w:szCs w:val="22"/>
        </w:rPr>
      </w:pPr>
      <w:r w:rsidRPr="005010FD">
        <w:rPr>
          <w:b/>
          <w:bCs/>
          <w:szCs w:val="22"/>
        </w:rPr>
        <w:t xml:space="preserve">Raro </w:t>
      </w:r>
      <w:r w:rsidRPr="005477D4">
        <w:rPr>
          <w:szCs w:val="22"/>
        </w:rPr>
        <w:t>(possono interessare fino a 1 persona su 1 000)</w:t>
      </w:r>
    </w:p>
    <w:p w14:paraId="70DACA03" w14:textId="67F9B92B" w:rsidR="005477D4" w:rsidRPr="00B86130" w:rsidRDefault="005477D4" w:rsidP="005010FD">
      <w:pPr>
        <w:keepNext/>
        <w:widowControl w:val="0"/>
        <w:tabs>
          <w:tab w:val="clear" w:pos="567"/>
        </w:tabs>
        <w:ind w:right="-2"/>
        <w:rPr>
          <w:szCs w:val="22"/>
        </w:rPr>
      </w:pPr>
      <w:r w:rsidRPr="005477D4">
        <w:rPr>
          <w:szCs w:val="22"/>
        </w:rPr>
        <w:t xml:space="preserve"> - infiammazione del fegato e aumento dei livelli degli enzimi del fegato (ALT o AST in combinazione con bilirubina)</w:t>
      </w:r>
    </w:p>
    <w:p w14:paraId="232AB305" w14:textId="77777777" w:rsidR="00717A16" w:rsidRPr="00B86130" w:rsidRDefault="00717A16">
      <w:pPr>
        <w:keepNext/>
        <w:widowControl w:val="0"/>
        <w:tabs>
          <w:tab w:val="clear" w:pos="567"/>
        </w:tabs>
        <w:ind w:right="-2"/>
        <w:rPr>
          <w:i/>
          <w:szCs w:val="22"/>
        </w:rPr>
      </w:pPr>
    </w:p>
    <w:p w14:paraId="3822902C" w14:textId="77777777" w:rsidR="00717A16" w:rsidRPr="00B86130" w:rsidRDefault="00157A56">
      <w:pPr>
        <w:widowControl w:val="0"/>
        <w:numPr>
          <w:ilvl w:val="12"/>
          <w:numId w:val="0"/>
        </w:numPr>
        <w:tabs>
          <w:tab w:val="clear" w:pos="567"/>
        </w:tabs>
        <w:ind w:right="-2"/>
        <w:rPr>
          <w:szCs w:val="22"/>
        </w:rPr>
      </w:pPr>
      <w:r w:rsidRPr="00B86130">
        <w:rPr>
          <w:b/>
          <w:szCs w:val="22"/>
        </w:rPr>
        <w:t>Non nota</w:t>
      </w:r>
      <w:r w:rsidRPr="00B86130">
        <w:rPr>
          <w:szCs w:val="22"/>
        </w:rPr>
        <w:t xml:space="preserve"> (la frequenza non può essere definita sulla base dei dati disponibili)</w:t>
      </w:r>
    </w:p>
    <w:p w14:paraId="7140B245" w14:textId="018DA638" w:rsidR="00717A16" w:rsidRPr="00B86130" w:rsidRDefault="00157A56">
      <w:pPr>
        <w:pStyle w:val="Bullet-"/>
      </w:pPr>
      <w:r w:rsidRPr="00B86130">
        <w:t xml:space="preserve">infezione da herpes zoster (fuoco di S. Antonio) con sintomi quali vesciche, bruciore, prurito o dolore </w:t>
      </w:r>
      <w:r w:rsidR="00656926" w:rsidRPr="00B86130">
        <w:t>della pelle</w:t>
      </w:r>
      <w:r w:rsidRPr="00B86130">
        <w:t>, in genere su un lato del torso o del viso, e altri sintomi, quali febbre e debolezza nelle prime fasi dell'infezione, seguiti da intorpidimento, macchie rosse o pruriginose con dolore forte</w:t>
      </w:r>
    </w:p>
    <w:p w14:paraId="15E67B68" w14:textId="1C4CFBF1" w:rsidR="00FD5C1D" w:rsidRPr="00B86130" w:rsidRDefault="00FD5C1D">
      <w:pPr>
        <w:pStyle w:val="Bullet-"/>
      </w:pPr>
      <w:r w:rsidRPr="00B86130">
        <w:t>naso che cola (</w:t>
      </w:r>
      <w:r w:rsidRPr="00B86130">
        <w:rPr>
          <w:i/>
        </w:rPr>
        <w:t>rinorrea</w:t>
      </w:r>
      <w:r w:rsidRPr="00B86130">
        <w:t>)</w:t>
      </w:r>
    </w:p>
    <w:p w14:paraId="5A03FAAC" w14:textId="70256359" w:rsidR="00717A16" w:rsidRPr="00B86130" w:rsidRDefault="00717A16">
      <w:pPr>
        <w:tabs>
          <w:tab w:val="left" w:pos="0"/>
        </w:tabs>
        <w:rPr>
          <w:b/>
          <w:szCs w:val="22"/>
        </w:rPr>
      </w:pPr>
    </w:p>
    <w:p w14:paraId="61586D8C" w14:textId="77777777" w:rsidR="000253A1" w:rsidRPr="00B86130" w:rsidRDefault="000253A1" w:rsidP="00100121">
      <w:pPr>
        <w:keepNext/>
        <w:tabs>
          <w:tab w:val="left" w:pos="0"/>
        </w:tabs>
        <w:rPr>
          <w:b/>
          <w:szCs w:val="22"/>
        </w:rPr>
      </w:pPr>
      <w:r w:rsidRPr="00B86130">
        <w:rPr>
          <w:b/>
          <w:szCs w:val="22"/>
        </w:rPr>
        <w:lastRenderedPageBreak/>
        <w:t>Bambini (13 anni di età e oltre) e adolescenti</w:t>
      </w:r>
    </w:p>
    <w:p w14:paraId="186F73EC" w14:textId="77777777" w:rsidR="000253A1" w:rsidRPr="00B86130" w:rsidRDefault="000253A1" w:rsidP="00100121">
      <w:pPr>
        <w:keepNext/>
        <w:tabs>
          <w:tab w:val="left" w:pos="0"/>
        </w:tabs>
        <w:rPr>
          <w:szCs w:val="22"/>
        </w:rPr>
      </w:pPr>
      <w:r w:rsidRPr="00B86130">
        <w:rPr>
          <w:szCs w:val="22"/>
        </w:rPr>
        <w:t>Gli effetti indesiderati sopra elencati valgono anche per i bambini e gli adolescenti.</w:t>
      </w:r>
    </w:p>
    <w:p w14:paraId="06BED2F8" w14:textId="77777777" w:rsidR="000253A1" w:rsidRPr="00B86130" w:rsidRDefault="000253A1" w:rsidP="000253A1">
      <w:pPr>
        <w:tabs>
          <w:tab w:val="left" w:pos="0"/>
        </w:tabs>
        <w:rPr>
          <w:szCs w:val="22"/>
        </w:rPr>
      </w:pPr>
      <w:r w:rsidRPr="00B86130">
        <w:rPr>
          <w:szCs w:val="22"/>
        </w:rPr>
        <w:t>Alcuni effetti indesiderati sono stati segnalati con maggiore frequenza nei bambini e negli adolescenti rispetto agli adulti, ad esempio mal di testa, mal di stomaco o crampi allo stomaco, vomito, mal di gola, tosse e mestruazioni dolorose.</w:t>
      </w:r>
    </w:p>
    <w:p w14:paraId="65B49131" w14:textId="77777777" w:rsidR="00717A16" w:rsidRPr="00B86130" w:rsidRDefault="00157A56" w:rsidP="00DE7A7B">
      <w:pPr>
        <w:keepNext/>
        <w:tabs>
          <w:tab w:val="left" w:pos="0"/>
        </w:tabs>
        <w:rPr>
          <w:b/>
          <w:szCs w:val="22"/>
        </w:rPr>
      </w:pPr>
      <w:r w:rsidRPr="00B86130">
        <w:rPr>
          <w:b/>
          <w:szCs w:val="22"/>
        </w:rPr>
        <w:t>Segnalazione degli effetti indesiderati</w:t>
      </w:r>
    </w:p>
    <w:p w14:paraId="5B32F68A" w14:textId="114C9E10" w:rsidR="00717A16" w:rsidRPr="00B86130" w:rsidRDefault="00157A56">
      <w:pPr>
        <w:tabs>
          <w:tab w:val="left" w:pos="0"/>
        </w:tabs>
        <w:rPr>
          <w:szCs w:val="22"/>
          <w:lang w:eastAsia="zh-CN"/>
        </w:rPr>
      </w:pPr>
      <w:r w:rsidRPr="00B86130">
        <w:rPr>
          <w:szCs w:val="22"/>
        </w:rPr>
        <w:t xml:space="preserve">Se manifesta un qualsiasi effetto indesiderato, compresi quelli non elencati in questo foglio, si rivolga al medico o al farmacista. </w:t>
      </w:r>
      <w:bookmarkStart w:id="22" w:name="_Hlk69744792"/>
      <w:bookmarkStart w:id="23" w:name="_Hlk83036145"/>
      <w:r w:rsidRPr="00B86130">
        <w:rPr>
          <w:szCs w:val="22"/>
        </w:rPr>
        <w:t xml:space="preserve">Può inoltre segnalare gli effetti indesiderati direttamente tramite </w:t>
      </w:r>
      <w:bookmarkEnd w:id="22"/>
      <w:bookmarkEnd w:id="23"/>
      <w:r w:rsidRPr="00B86130">
        <w:rPr>
          <w:szCs w:val="22"/>
          <w:highlight w:val="lightGray"/>
          <w:shd w:val="clear" w:color="auto" w:fill="A6A6A6"/>
        </w:rPr>
        <w:t>il sistema nazionale di segnalazione riportato nell’</w:t>
      </w:r>
      <w:hyperlink r:id="rId12" w:history="1">
        <w:r w:rsidRPr="00B86130">
          <w:rPr>
            <w:rStyle w:val="Hyperlink"/>
            <w:color w:val="auto"/>
            <w:szCs w:val="22"/>
            <w:highlight w:val="lightGray"/>
            <w:shd w:val="clear" w:color="auto" w:fill="A6A6A6"/>
          </w:rPr>
          <w:t>allegato</w:t>
        </w:r>
        <w:r w:rsidR="007D055B" w:rsidRPr="00B86130">
          <w:rPr>
            <w:rStyle w:val="Hyperlink"/>
            <w:color w:val="auto"/>
            <w:szCs w:val="22"/>
            <w:highlight w:val="lightGray"/>
            <w:shd w:val="clear" w:color="auto" w:fill="A6A6A6"/>
          </w:rPr>
          <w:t> </w:t>
        </w:r>
        <w:r w:rsidRPr="00B86130">
          <w:rPr>
            <w:rStyle w:val="Hyperlink"/>
            <w:color w:val="auto"/>
            <w:szCs w:val="22"/>
            <w:highlight w:val="lightGray"/>
            <w:shd w:val="clear" w:color="auto" w:fill="A6A6A6"/>
          </w:rPr>
          <w:t>V</w:t>
        </w:r>
      </w:hyperlink>
      <w:r w:rsidRPr="00B86130">
        <w:rPr>
          <w:szCs w:val="22"/>
        </w:rPr>
        <w:t>. Segnalando gli effetti indesiderati può contribuire a fornire maggiori informazioni sulla sicurezza di questo medicinale.</w:t>
      </w:r>
    </w:p>
    <w:p w14:paraId="4D2901FF" w14:textId="77777777" w:rsidR="00717A16" w:rsidRPr="00B86130" w:rsidRDefault="00717A16">
      <w:pPr>
        <w:widowControl w:val="0"/>
        <w:tabs>
          <w:tab w:val="clear" w:pos="567"/>
        </w:tabs>
        <w:ind w:right="-2"/>
        <w:rPr>
          <w:szCs w:val="22"/>
        </w:rPr>
      </w:pPr>
    </w:p>
    <w:p w14:paraId="393E62C3" w14:textId="77777777" w:rsidR="00717A16" w:rsidRPr="00B86130" w:rsidRDefault="00717A16">
      <w:pPr>
        <w:widowControl w:val="0"/>
        <w:tabs>
          <w:tab w:val="clear" w:pos="567"/>
        </w:tabs>
        <w:ind w:right="-2"/>
        <w:rPr>
          <w:szCs w:val="22"/>
        </w:rPr>
      </w:pPr>
    </w:p>
    <w:p w14:paraId="295FA57D" w14:textId="322E5E8D" w:rsidR="00717A16" w:rsidRPr="00B86130" w:rsidRDefault="00157A56">
      <w:pPr>
        <w:widowControl w:val="0"/>
        <w:rPr>
          <w:b/>
          <w:szCs w:val="22"/>
        </w:rPr>
      </w:pPr>
      <w:r w:rsidRPr="00B86130">
        <w:rPr>
          <w:b/>
          <w:szCs w:val="22"/>
        </w:rPr>
        <w:t>5.</w:t>
      </w:r>
      <w:r w:rsidRPr="00B86130">
        <w:rPr>
          <w:b/>
          <w:szCs w:val="22"/>
        </w:rPr>
        <w:tab/>
        <w:t xml:space="preserve">Come conservare </w:t>
      </w:r>
      <w:r w:rsidR="00C934D8" w:rsidRPr="00B86130">
        <w:rPr>
          <w:b/>
          <w:szCs w:val="22"/>
        </w:rPr>
        <w:t>Dimetilfumarato</w:t>
      </w:r>
      <w:r w:rsidR="00C934D8" w:rsidRPr="00B86130" w:rsidDel="00C934D8">
        <w:rPr>
          <w:b/>
          <w:szCs w:val="22"/>
        </w:rPr>
        <w:t xml:space="preserve"> </w:t>
      </w:r>
      <w:r w:rsidR="009E0E66" w:rsidRPr="00B86130">
        <w:rPr>
          <w:b/>
          <w:szCs w:val="22"/>
        </w:rPr>
        <w:t>Accord</w:t>
      </w:r>
    </w:p>
    <w:p w14:paraId="555C6D4C" w14:textId="77777777" w:rsidR="00717A16" w:rsidRPr="00B86130" w:rsidRDefault="00717A16">
      <w:pPr>
        <w:widowControl w:val="0"/>
        <w:tabs>
          <w:tab w:val="clear" w:pos="567"/>
        </w:tabs>
        <w:ind w:right="-2"/>
        <w:rPr>
          <w:szCs w:val="22"/>
        </w:rPr>
      </w:pPr>
    </w:p>
    <w:p w14:paraId="55D9E1FD" w14:textId="77777777" w:rsidR="00717A16" w:rsidRPr="00B86130" w:rsidRDefault="00157A56">
      <w:pPr>
        <w:widowControl w:val="0"/>
        <w:tabs>
          <w:tab w:val="clear" w:pos="567"/>
        </w:tabs>
        <w:ind w:right="-2"/>
        <w:rPr>
          <w:szCs w:val="22"/>
        </w:rPr>
      </w:pPr>
      <w:r w:rsidRPr="00B86130">
        <w:rPr>
          <w:szCs w:val="22"/>
        </w:rPr>
        <w:t>Conservi questo medicinale fuori dalla vista e dalla portata dei bambini.</w:t>
      </w:r>
    </w:p>
    <w:p w14:paraId="22BF7789" w14:textId="77777777" w:rsidR="00717A16" w:rsidRPr="00B86130" w:rsidRDefault="00717A16">
      <w:pPr>
        <w:widowControl w:val="0"/>
        <w:tabs>
          <w:tab w:val="clear" w:pos="567"/>
        </w:tabs>
        <w:ind w:right="-2"/>
        <w:rPr>
          <w:szCs w:val="22"/>
        </w:rPr>
      </w:pPr>
    </w:p>
    <w:p w14:paraId="26598755" w14:textId="4AD8D9F1" w:rsidR="00717A16" w:rsidRPr="00B86130" w:rsidRDefault="00157A56">
      <w:pPr>
        <w:widowControl w:val="0"/>
        <w:tabs>
          <w:tab w:val="clear" w:pos="567"/>
        </w:tabs>
        <w:ind w:right="-2"/>
        <w:rPr>
          <w:szCs w:val="22"/>
        </w:rPr>
      </w:pPr>
      <w:r w:rsidRPr="00B86130">
        <w:rPr>
          <w:szCs w:val="22"/>
        </w:rPr>
        <w:t>Non usi questo medicinale dopo la data di scadenza che è riportata sul blister e sulla scatola dopo Scad.</w:t>
      </w:r>
      <w:r w:rsidR="00656926" w:rsidRPr="00B86130">
        <w:rPr>
          <w:szCs w:val="22"/>
        </w:rPr>
        <w:t>/EXP</w:t>
      </w:r>
      <w:r w:rsidRPr="00B86130">
        <w:rPr>
          <w:szCs w:val="22"/>
        </w:rPr>
        <w:t>.</w:t>
      </w:r>
      <w:r w:rsidR="009E0E66" w:rsidRPr="00B86130">
        <w:rPr>
          <w:szCs w:val="22"/>
        </w:rPr>
        <w:t xml:space="preserve"> La data di scadenza si riferisce all’ultimo giorno di quel mese.</w:t>
      </w:r>
    </w:p>
    <w:p w14:paraId="16C52B64" w14:textId="77777777" w:rsidR="009E0E66" w:rsidRPr="00B86130" w:rsidRDefault="009E0E66">
      <w:pPr>
        <w:widowControl w:val="0"/>
        <w:tabs>
          <w:tab w:val="clear" w:pos="567"/>
        </w:tabs>
        <w:ind w:right="-2"/>
        <w:rPr>
          <w:szCs w:val="22"/>
        </w:rPr>
      </w:pPr>
    </w:p>
    <w:p w14:paraId="251E4E0E" w14:textId="05084609" w:rsidR="009E0E66" w:rsidRPr="00B86130" w:rsidRDefault="009E0E66">
      <w:pPr>
        <w:widowControl w:val="0"/>
        <w:tabs>
          <w:tab w:val="clear" w:pos="567"/>
        </w:tabs>
        <w:ind w:right="-2"/>
        <w:rPr>
          <w:szCs w:val="22"/>
        </w:rPr>
      </w:pPr>
      <w:r w:rsidRPr="00B86130">
        <w:rPr>
          <w:szCs w:val="22"/>
        </w:rPr>
        <w:t>Questo medicinale non richiede alcuna particolare condizione di conservazione.</w:t>
      </w:r>
    </w:p>
    <w:p w14:paraId="69EA47FF" w14:textId="77777777" w:rsidR="00717A16" w:rsidRPr="00B86130" w:rsidRDefault="00717A16">
      <w:pPr>
        <w:widowControl w:val="0"/>
        <w:tabs>
          <w:tab w:val="clear" w:pos="567"/>
        </w:tabs>
        <w:ind w:right="-2"/>
        <w:rPr>
          <w:szCs w:val="22"/>
        </w:rPr>
      </w:pPr>
    </w:p>
    <w:p w14:paraId="5BD8E79D" w14:textId="77777777" w:rsidR="00717A16" w:rsidRPr="00B86130" w:rsidRDefault="00157A56">
      <w:pPr>
        <w:widowControl w:val="0"/>
        <w:tabs>
          <w:tab w:val="clear" w:pos="567"/>
        </w:tabs>
        <w:ind w:right="-2"/>
        <w:rPr>
          <w:szCs w:val="22"/>
        </w:rPr>
      </w:pPr>
      <w:r w:rsidRPr="00B86130">
        <w:rPr>
          <w:szCs w:val="22"/>
        </w:rPr>
        <w:t>Non getti alcun medicinale nell’acqua di scarico e nei rifiuti domestici. Chieda al farmacista come eliminare i medicinali che non utilizza più. Questo aiuterà a proteggere l’ambiente.</w:t>
      </w:r>
    </w:p>
    <w:p w14:paraId="2B3A540B" w14:textId="77777777" w:rsidR="00717A16" w:rsidRPr="00B86130" w:rsidRDefault="00717A16">
      <w:pPr>
        <w:widowControl w:val="0"/>
        <w:tabs>
          <w:tab w:val="clear" w:pos="567"/>
        </w:tabs>
        <w:ind w:right="-2"/>
        <w:rPr>
          <w:szCs w:val="22"/>
        </w:rPr>
      </w:pPr>
    </w:p>
    <w:p w14:paraId="77B6F3F2" w14:textId="77777777" w:rsidR="00717A16" w:rsidRPr="00B86130" w:rsidRDefault="00717A16">
      <w:pPr>
        <w:widowControl w:val="0"/>
        <w:tabs>
          <w:tab w:val="clear" w:pos="567"/>
        </w:tabs>
        <w:ind w:right="-2"/>
        <w:rPr>
          <w:szCs w:val="22"/>
        </w:rPr>
      </w:pPr>
    </w:p>
    <w:p w14:paraId="40B995D5" w14:textId="77777777" w:rsidR="00717A16" w:rsidRPr="00B86130" w:rsidRDefault="00157A56">
      <w:pPr>
        <w:keepNext/>
        <w:widowControl w:val="0"/>
        <w:rPr>
          <w:b/>
          <w:szCs w:val="22"/>
        </w:rPr>
      </w:pPr>
      <w:r w:rsidRPr="00B86130">
        <w:rPr>
          <w:b/>
          <w:szCs w:val="22"/>
        </w:rPr>
        <w:t>6.</w:t>
      </w:r>
      <w:r w:rsidRPr="00B86130">
        <w:rPr>
          <w:b/>
          <w:szCs w:val="22"/>
        </w:rPr>
        <w:tab/>
        <w:t>Contenuto della confezione e altre informazioni</w:t>
      </w:r>
    </w:p>
    <w:p w14:paraId="2AB5DD3A" w14:textId="77777777" w:rsidR="00717A16" w:rsidRPr="00B86130" w:rsidRDefault="00717A16">
      <w:pPr>
        <w:keepNext/>
        <w:widowControl w:val="0"/>
        <w:tabs>
          <w:tab w:val="clear" w:pos="567"/>
        </w:tabs>
        <w:rPr>
          <w:szCs w:val="22"/>
        </w:rPr>
      </w:pPr>
    </w:p>
    <w:p w14:paraId="1DF4D389" w14:textId="37EE2782" w:rsidR="00717A16" w:rsidRPr="00B86130" w:rsidRDefault="00157A56">
      <w:pPr>
        <w:keepNext/>
        <w:widowControl w:val="0"/>
        <w:rPr>
          <w:b/>
          <w:szCs w:val="22"/>
        </w:rPr>
      </w:pPr>
      <w:r w:rsidRPr="00B86130">
        <w:rPr>
          <w:b/>
          <w:szCs w:val="22"/>
        </w:rPr>
        <w:t xml:space="preserve">Cosa contiene </w:t>
      </w:r>
      <w:r w:rsidR="00C934D8" w:rsidRPr="00B86130">
        <w:rPr>
          <w:b/>
          <w:szCs w:val="22"/>
        </w:rPr>
        <w:t>Dimetilfumarato</w:t>
      </w:r>
      <w:r w:rsidR="00C934D8" w:rsidRPr="00B86130" w:rsidDel="00C934D8">
        <w:rPr>
          <w:b/>
          <w:szCs w:val="22"/>
        </w:rPr>
        <w:t xml:space="preserve"> </w:t>
      </w:r>
      <w:r w:rsidR="009E0E66" w:rsidRPr="00B86130">
        <w:rPr>
          <w:b/>
          <w:szCs w:val="22"/>
        </w:rPr>
        <w:t>Accord</w:t>
      </w:r>
    </w:p>
    <w:p w14:paraId="546403F6" w14:textId="77777777" w:rsidR="00717A16" w:rsidRPr="00B86130" w:rsidRDefault="00717A16">
      <w:pPr>
        <w:keepNext/>
        <w:widowControl w:val="0"/>
        <w:rPr>
          <w:szCs w:val="22"/>
        </w:rPr>
      </w:pPr>
    </w:p>
    <w:p w14:paraId="1BF8E25D" w14:textId="77777777" w:rsidR="00717A16" w:rsidRPr="00B86130" w:rsidRDefault="00157A56">
      <w:pPr>
        <w:keepNext/>
        <w:widowControl w:val="0"/>
        <w:tabs>
          <w:tab w:val="clear" w:pos="567"/>
        </w:tabs>
        <w:rPr>
          <w:szCs w:val="22"/>
        </w:rPr>
      </w:pPr>
      <w:r w:rsidRPr="00B86130">
        <w:rPr>
          <w:b/>
          <w:szCs w:val="22"/>
        </w:rPr>
        <w:t>Il principio attivo</w:t>
      </w:r>
      <w:r w:rsidRPr="00B86130">
        <w:rPr>
          <w:szCs w:val="22"/>
        </w:rPr>
        <w:t xml:space="preserve"> è dimetilfumarato.</w:t>
      </w:r>
    </w:p>
    <w:p w14:paraId="3610D623" w14:textId="16862126" w:rsidR="00717A16" w:rsidRPr="00B86130" w:rsidRDefault="00C934D8">
      <w:pPr>
        <w:keepNext/>
        <w:widowControl w:val="0"/>
        <w:tabs>
          <w:tab w:val="clear" w:pos="567"/>
        </w:tabs>
        <w:rPr>
          <w:szCs w:val="22"/>
        </w:rPr>
      </w:pPr>
      <w:r w:rsidRPr="00B86130">
        <w:rPr>
          <w:szCs w:val="22"/>
        </w:rPr>
        <w:t>Dimetilfumarato</w:t>
      </w:r>
      <w:r w:rsidRPr="00B86130" w:rsidDel="00C934D8">
        <w:rPr>
          <w:szCs w:val="22"/>
        </w:rPr>
        <w:t xml:space="preserve"> </w:t>
      </w:r>
      <w:r w:rsidR="009E0E66" w:rsidRPr="00B86130">
        <w:rPr>
          <w:szCs w:val="22"/>
        </w:rPr>
        <w:t>Accord</w:t>
      </w:r>
      <w:r w:rsidR="00157A56" w:rsidRPr="00B86130">
        <w:rPr>
          <w:szCs w:val="22"/>
        </w:rPr>
        <w:t xml:space="preserve"> 120 mg: ogni capsula contiene 120 mg di dimetilfumarato.</w:t>
      </w:r>
    </w:p>
    <w:p w14:paraId="3EF3DA13" w14:textId="32B260A2" w:rsidR="00717A16" w:rsidRPr="00B86130" w:rsidRDefault="00C934D8">
      <w:pPr>
        <w:widowControl w:val="0"/>
        <w:tabs>
          <w:tab w:val="clear" w:pos="567"/>
        </w:tabs>
        <w:rPr>
          <w:szCs w:val="22"/>
        </w:rPr>
      </w:pPr>
      <w:r w:rsidRPr="00B86130">
        <w:rPr>
          <w:szCs w:val="22"/>
        </w:rPr>
        <w:t>Dimetilfumarato</w:t>
      </w:r>
      <w:r w:rsidRPr="00B86130" w:rsidDel="00C934D8">
        <w:rPr>
          <w:szCs w:val="22"/>
        </w:rPr>
        <w:t xml:space="preserve"> </w:t>
      </w:r>
      <w:r w:rsidR="009E0E66" w:rsidRPr="00B86130">
        <w:rPr>
          <w:szCs w:val="22"/>
        </w:rPr>
        <w:t xml:space="preserve">Accord </w:t>
      </w:r>
      <w:r w:rsidR="00157A56" w:rsidRPr="00B86130">
        <w:rPr>
          <w:szCs w:val="22"/>
        </w:rPr>
        <w:t>240 mg: ogni capsula contiene 240 mg di dimetilfumarato.</w:t>
      </w:r>
    </w:p>
    <w:p w14:paraId="2C01F12E" w14:textId="77777777" w:rsidR="00717A16" w:rsidRPr="00B86130" w:rsidRDefault="00717A16">
      <w:pPr>
        <w:widowControl w:val="0"/>
        <w:tabs>
          <w:tab w:val="clear" w:pos="567"/>
        </w:tabs>
        <w:rPr>
          <w:b/>
          <w:szCs w:val="22"/>
        </w:rPr>
      </w:pPr>
    </w:p>
    <w:p w14:paraId="2AF0BEA3" w14:textId="77777777" w:rsidR="00FA3296" w:rsidRPr="00B86130" w:rsidRDefault="00157A56">
      <w:pPr>
        <w:widowControl w:val="0"/>
        <w:tabs>
          <w:tab w:val="clear" w:pos="567"/>
        </w:tabs>
        <w:rPr>
          <w:szCs w:val="22"/>
        </w:rPr>
      </w:pPr>
      <w:r w:rsidRPr="00B86130">
        <w:rPr>
          <w:b/>
          <w:szCs w:val="22"/>
        </w:rPr>
        <w:t>Gli altri componenti</w:t>
      </w:r>
      <w:r w:rsidRPr="00B86130">
        <w:rPr>
          <w:szCs w:val="22"/>
        </w:rPr>
        <w:t xml:space="preserve"> sono</w:t>
      </w:r>
      <w:r w:rsidR="00FA3296" w:rsidRPr="00B86130">
        <w:rPr>
          <w:szCs w:val="22"/>
        </w:rPr>
        <w:t>:</w:t>
      </w:r>
    </w:p>
    <w:p w14:paraId="618E493A" w14:textId="7039970B" w:rsidR="00717A16" w:rsidRPr="00B86130" w:rsidRDefault="00656926">
      <w:pPr>
        <w:widowControl w:val="0"/>
        <w:tabs>
          <w:tab w:val="clear" w:pos="567"/>
        </w:tabs>
        <w:rPr>
          <w:szCs w:val="22"/>
        </w:rPr>
      </w:pPr>
      <w:r w:rsidRPr="00B86130">
        <w:rPr>
          <w:szCs w:val="22"/>
          <w:u w:val="single"/>
        </w:rPr>
        <w:t>C</w:t>
      </w:r>
      <w:r w:rsidRPr="00A61F9B">
        <w:rPr>
          <w:szCs w:val="22"/>
          <w:u w:val="single"/>
        </w:rPr>
        <w:t xml:space="preserve">ontenuto </w:t>
      </w:r>
      <w:r w:rsidR="00FA3296" w:rsidRPr="00A61F9B">
        <w:rPr>
          <w:szCs w:val="22"/>
          <w:u w:val="single"/>
        </w:rPr>
        <w:t xml:space="preserve">della capsula (mini compresse </w:t>
      </w:r>
      <w:r w:rsidRPr="00B86130">
        <w:rPr>
          <w:szCs w:val="22"/>
          <w:u w:val="single"/>
        </w:rPr>
        <w:t>con rivestimento enterico</w:t>
      </w:r>
      <w:r w:rsidR="00FA3296" w:rsidRPr="00A61F9B">
        <w:rPr>
          <w:szCs w:val="22"/>
          <w:u w:val="single"/>
        </w:rPr>
        <w:t>)</w:t>
      </w:r>
      <w:r w:rsidR="00FA3296" w:rsidRPr="00B86130">
        <w:rPr>
          <w:szCs w:val="22"/>
        </w:rPr>
        <w:t>:</w:t>
      </w:r>
      <w:r w:rsidR="00157A56" w:rsidRPr="00B86130">
        <w:rPr>
          <w:szCs w:val="22"/>
        </w:rPr>
        <w:t xml:space="preserve"> cellulosa microcristallina</w:t>
      </w:r>
      <w:r w:rsidR="00FA3296" w:rsidRPr="00B86130">
        <w:rPr>
          <w:szCs w:val="22"/>
        </w:rPr>
        <w:t xml:space="preserve"> sili</w:t>
      </w:r>
      <w:r w:rsidR="00FE2394" w:rsidRPr="00B86130">
        <w:rPr>
          <w:szCs w:val="22"/>
        </w:rPr>
        <w:t>cificata</w:t>
      </w:r>
      <w:r w:rsidR="00157A56" w:rsidRPr="00B86130">
        <w:rPr>
          <w:szCs w:val="22"/>
        </w:rPr>
        <w:t>,</w:t>
      </w:r>
      <w:r w:rsidR="00FE2394" w:rsidRPr="00B86130">
        <w:rPr>
          <w:szCs w:val="22"/>
        </w:rPr>
        <w:t xml:space="preserve"> talco,</w:t>
      </w:r>
      <w:r w:rsidR="00157A56" w:rsidRPr="00B86130">
        <w:rPr>
          <w:szCs w:val="22"/>
        </w:rPr>
        <w:t xml:space="preserve"> </w:t>
      </w:r>
      <w:r w:rsidR="005A71B4">
        <w:rPr>
          <w:szCs w:val="22"/>
        </w:rPr>
        <w:t>sodio c</w:t>
      </w:r>
      <w:r w:rsidR="005A71B4" w:rsidRPr="00B86130">
        <w:rPr>
          <w:szCs w:val="22"/>
        </w:rPr>
        <w:t>roscarmellos</w:t>
      </w:r>
      <w:r w:rsidR="005A71B4">
        <w:rPr>
          <w:szCs w:val="22"/>
        </w:rPr>
        <w:t>o</w:t>
      </w:r>
      <w:r w:rsidR="00157A56" w:rsidRPr="00B86130">
        <w:rPr>
          <w:szCs w:val="22"/>
        </w:rPr>
        <w:t>, silice colloidale anidra, magnesio stearato,  copolimero acido metacrilico–metilmetacrilato (1:1),</w:t>
      </w:r>
      <w:r w:rsidR="00C04768" w:rsidRPr="00B86130">
        <w:rPr>
          <w:szCs w:val="22"/>
        </w:rPr>
        <w:t xml:space="preserve"> trietilcitrato,</w:t>
      </w:r>
      <w:r w:rsidR="00157A56" w:rsidRPr="00B86130">
        <w:rPr>
          <w:szCs w:val="22"/>
        </w:rPr>
        <w:t xml:space="preserve"> copolimero acido metacrilico–etilacrilato (1:1) dispersione 30%</w:t>
      </w:r>
      <w:r w:rsidR="00C04768" w:rsidRPr="00B86130">
        <w:rPr>
          <w:szCs w:val="22"/>
        </w:rPr>
        <w:t>.</w:t>
      </w:r>
      <w:r w:rsidR="00157A56" w:rsidRPr="00B86130">
        <w:rPr>
          <w:szCs w:val="22"/>
        </w:rPr>
        <w:t xml:space="preserve"> </w:t>
      </w:r>
    </w:p>
    <w:p w14:paraId="2D429FE6" w14:textId="77777777" w:rsidR="00876320" w:rsidRPr="00B86130" w:rsidRDefault="00876320">
      <w:pPr>
        <w:widowControl w:val="0"/>
        <w:tabs>
          <w:tab w:val="clear" w:pos="567"/>
        </w:tabs>
        <w:rPr>
          <w:szCs w:val="22"/>
        </w:rPr>
      </w:pPr>
    </w:p>
    <w:p w14:paraId="6FFCF871" w14:textId="2D37D389" w:rsidR="00876320" w:rsidRPr="00B86130" w:rsidRDefault="00876320">
      <w:pPr>
        <w:widowControl w:val="0"/>
        <w:tabs>
          <w:tab w:val="clear" w:pos="567"/>
        </w:tabs>
        <w:rPr>
          <w:szCs w:val="22"/>
        </w:rPr>
      </w:pPr>
      <w:r w:rsidRPr="00A61F9B">
        <w:rPr>
          <w:szCs w:val="22"/>
          <w:u w:val="single"/>
        </w:rPr>
        <w:t>Rivestimento della capsula</w:t>
      </w:r>
      <w:r w:rsidRPr="00B86130">
        <w:rPr>
          <w:szCs w:val="22"/>
        </w:rPr>
        <w:t>: gelatina, titanio diossido (E171), blu brillante FCF (E133), ossido di ferro nero (E172), ossido di ferro giallo (E172).</w:t>
      </w:r>
    </w:p>
    <w:p w14:paraId="4484943D" w14:textId="77777777" w:rsidR="00876320" w:rsidRPr="00B86130" w:rsidRDefault="00876320">
      <w:pPr>
        <w:widowControl w:val="0"/>
        <w:tabs>
          <w:tab w:val="clear" w:pos="567"/>
        </w:tabs>
        <w:rPr>
          <w:szCs w:val="22"/>
        </w:rPr>
      </w:pPr>
    </w:p>
    <w:p w14:paraId="51BAED69" w14:textId="0179310E" w:rsidR="00876320" w:rsidRPr="00B86130" w:rsidRDefault="00876320">
      <w:pPr>
        <w:widowControl w:val="0"/>
        <w:tabs>
          <w:tab w:val="clear" w:pos="567"/>
        </w:tabs>
        <w:rPr>
          <w:szCs w:val="22"/>
        </w:rPr>
      </w:pPr>
      <w:r w:rsidRPr="00A61F9B">
        <w:rPr>
          <w:szCs w:val="22"/>
          <w:u w:val="single"/>
        </w:rPr>
        <w:t>Stampa sulla capsula (inchiostro nero)</w:t>
      </w:r>
      <w:r w:rsidRPr="00B86130">
        <w:rPr>
          <w:szCs w:val="22"/>
        </w:rPr>
        <w:t>: gommalacca (E904), ossido di ferro nero (E172), idrossido di potassio (E525).</w:t>
      </w:r>
    </w:p>
    <w:p w14:paraId="2A9C15E8" w14:textId="77777777" w:rsidR="00717A16" w:rsidRPr="00B86130" w:rsidRDefault="00717A16">
      <w:pPr>
        <w:widowControl w:val="0"/>
        <w:tabs>
          <w:tab w:val="clear" w:pos="567"/>
        </w:tabs>
        <w:ind w:right="-2"/>
        <w:rPr>
          <w:szCs w:val="22"/>
        </w:rPr>
      </w:pPr>
    </w:p>
    <w:p w14:paraId="410124F8" w14:textId="493A828C" w:rsidR="00717A16" w:rsidRPr="00B86130" w:rsidRDefault="00157A56">
      <w:pPr>
        <w:widowControl w:val="0"/>
        <w:rPr>
          <w:b/>
          <w:szCs w:val="22"/>
        </w:rPr>
      </w:pPr>
      <w:r w:rsidRPr="00B86130">
        <w:rPr>
          <w:b/>
          <w:szCs w:val="22"/>
        </w:rPr>
        <w:t xml:space="preserve">Descrizione dell’aspetto di </w:t>
      </w:r>
      <w:r w:rsidR="00C934D8" w:rsidRPr="00B86130">
        <w:rPr>
          <w:b/>
          <w:szCs w:val="22"/>
        </w:rPr>
        <w:t>Dimetilfumarato</w:t>
      </w:r>
      <w:r w:rsidR="00C934D8" w:rsidRPr="00B86130" w:rsidDel="00C934D8">
        <w:rPr>
          <w:b/>
          <w:szCs w:val="22"/>
        </w:rPr>
        <w:t xml:space="preserve"> </w:t>
      </w:r>
      <w:r w:rsidR="00C04768" w:rsidRPr="00B86130">
        <w:rPr>
          <w:b/>
          <w:szCs w:val="22"/>
        </w:rPr>
        <w:t>Accord</w:t>
      </w:r>
      <w:r w:rsidRPr="00B86130">
        <w:rPr>
          <w:b/>
          <w:szCs w:val="22"/>
        </w:rPr>
        <w:t xml:space="preserve"> e contenuto della confezione</w:t>
      </w:r>
    </w:p>
    <w:p w14:paraId="63F42711" w14:textId="77777777" w:rsidR="00717A16" w:rsidRPr="00B86130" w:rsidRDefault="00717A16">
      <w:pPr>
        <w:widowControl w:val="0"/>
        <w:tabs>
          <w:tab w:val="clear" w:pos="567"/>
        </w:tabs>
        <w:ind w:right="-2"/>
        <w:rPr>
          <w:b/>
          <w:szCs w:val="22"/>
        </w:rPr>
      </w:pPr>
    </w:p>
    <w:p w14:paraId="288BA360" w14:textId="7252CAA6" w:rsidR="00717A16" w:rsidRPr="00B86130" w:rsidRDefault="00C934D8">
      <w:pPr>
        <w:widowControl w:val="0"/>
        <w:rPr>
          <w:szCs w:val="22"/>
        </w:rPr>
      </w:pPr>
      <w:r w:rsidRPr="00B86130">
        <w:rPr>
          <w:szCs w:val="22"/>
        </w:rPr>
        <w:t>Dimetilfumarato</w:t>
      </w:r>
      <w:r w:rsidRPr="00B86130" w:rsidDel="00C934D8">
        <w:rPr>
          <w:szCs w:val="22"/>
        </w:rPr>
        <w:t xml:space="preserve"> </w:t>
      </w:r>
      <w:r w:rsidR="00C04768" w:rsidRPr="00B86130">
        <w:rPr>
          <w:szCs w:val="22"/>
        </w:rPr>
        <w:t>Accord</w:t>
      </w:r>
      <w:r w:rsidR="00157A56" w:rsidRPr="00B86130">
        <w:rPr>
          <w:szCs w:val="22"/>
        </w:rPr>
        <w:t>120</w:t>
      </w:r>
      <w:r w:rsidR="007D055B" w:rsidRPr="00B86130">
        <w:rPr>
          <w:szCs w:val="22"/>
        </w:rPr>
        <w:t> </w:t>
      </w:r>
      <w:r w:rsidR="00157A56" w:rsidRPr="00B86130">
        <w:rPr>
          <w:szCs w:val="22"/>
        </w:rPr>
        <w:t>mg capsule rigide gastroresistenti sono</w:t>
      </w:r>
      <w:r w:rsidR="00C04768" w:rsidRPr="00B86130">
        <w:rPr>
          <w:szCs w:val="22"/>
        </w:rPr>
        <w:t xml:space="preserve"> capsule rigide </w:t>
      </w:r>
      <w:r w:rsidR="00BC2BD0" w:rsidRPr="00B86130">
        <w:rPr>
          <w:szCs w:val="22"/>
        </w:rPr>
        <w:t>in</w:t>
      </w:r>
      <w:r w:rsidR="00C04768" w:rsidRPr="00B86130">
        <w:rPr>
          <w:szCs w:val="22"/>
        </w:rPr>
        <w:t xml:space="preserve"> gelatina di </w:t>
      </w:r>
      <w:r w:rsidR="00656926" w:rsidRPr="00B86130">
        <w:rPr>
          <w:szCs w:val="22"/>
        </w:rPr>
        <w:t xml:space="preserve">dimensione </w:t>
      </w:r>
      <w:r w:rsidR="00C04768" w:rsidRPr="00B86130">
        <w:rPr>
          <w:szCs w:val="22"/>
        </w:rPr>
        <w:t>“0” (21,3 x 7,5 mm circa) con testa verde e corpo bia</w:t>
      </w:r>
      <w:r w:rsidR="007B72F1" w:rsidRPr="00B86130">
        <w:rPr>
          <w:szCs w:val="22"/>
        </w:rPr>
        <w:t>n</w:t>
      </w:r>
      <w:r w:rsidR="00C04768" w:rsidRPr="00B86130">
        <w:rPr>
          <w:szCs w:val="22"/>
        </w:rPr>
        <w:t>co</w:t>
      </w:r>
      <w:r w:rsidR="00656926" w:rsidRPr="00B86130">
        <w:rPr>
          <w:szCs w:val="22"/>
        </w:rPr>
        <w:t>, con impresso</w:t>
      </w:r>
      <w:r w:rsidR="00157A56" w:rsidRPr="00B86130">
        <w:rPr>
          <w:szCs w:val="22"/>
        </w:rPr>
        <w:t xml:space="preserve"> </w:t>
      </w:r>
      <w:r w:rsidR="00C04768" w:rsidRPr="00B86130">
        <w:rPr>
          <w:szCs w:val="22"/>
        </w:rPr>
        <w:t xml:space="preserve">“HR1” </w:t>
      </w:r>
      <w:r w:rsidR="00EB212B" w:rsidRPr="00B86130">
        <w:rPr>
          <w:szCs w:val="22"/>
        </w:rPr>
        <w:t xml:space="preserve">in </w:t>
      </w:r>
      <w:r w:rsidR="00C04768" w:rsidRPr="00B86130">
        <w:rPr>
          <w:szCs w:val="22"/>
        </w:rPr>
        <w:t>inchiostro nero sul corpo della capsula</w:t>
      </w:r>
      <w:r w:rsidR="0050249A" w:rsidRPr="00B86130">
        <w:rPr>
          <w:szCs w:val="22"/>
        </w:rPr>
        <w:t>,</w:t>
      </w:r>
      <w:r w:rsidR="00C04768" w:rsidRPr="00B86130">
        <w:rPr>
          <w:szCs w:val="22"/>
        </w:rPr>
        <w:t xml:space="preserve"> contenenti mini compresse </w:t>
      </w:r>
      <w:r w:rsidR="00656926" w:rsidRPr="00B86130">
        <w:rPr>
          <w:szCs w:val="22"/>
        </w:rPr>
        <w:t xml:space="preserve">con rivestimento enterico </w:t>
      </w:r>
      <w:r w:rsidR="00C04768" w:rsidRPr="00B86130">
        <w:rPr>
          <w:szCs w:val="22"/>
        </w:rPr>
        <w:t>di colore da bianco a biancastro, rotonde, biconvesse,</w:t>
      </w:r>
      <w:r w:rsidR="00157A56" w:rsidRPr="00B86130">
        <w:rPr>
          <w:szCs w:val="22"/>
        </w:rPr>
        <w:t xml:space="preserve"> </w:t>
      </w:r>
      <w:r w:rsidR="00C04768" w:rsidRPr="00B86130">
        <w:rPr>
          <w:szCs w:val="22"/>
        </w:rPr>
        <w:t>lisce su entrambi i lati</w:t>
      </w:r>
      <w:r w:rsidR="00157A56" w:rsidRPr="00B86130">
        <w:rPr>
          <w:szCs w:val="22"/>
        </w:rPr>
        <w:t>.</w:t>
      </w:r>
    </w:p>
    <w:p w14:paraId="10075872" w14:textId="77777777" w:rsidR="00717A16" w:rsidRPr="00B86130" w:rsidRDefault="00717A16">
      <w:pPr>
        <w:widowControl w:val="0"/>
        <w:rPr>
          <w:szCs w:val="22"/>
        </w:rPr>
      </w:pPr>
    </w:p>
    <w:p w14:paraId="04D8B43B" w14:textId="0BB744F5" w:rsidR="00717A16" w:rsidRPr="00B86130" w:rsidRDefault="00C934D8">
      <w:pPr>
        <w:widowControl w:val="0"/>
        <w:rPr>
          <w:szCs w:val="22"/>
        </w:rPr>
      </w:pPr>
      <w:r w:rsidRPr="00B86130">
        <w:rPr>
          <w:szCs w:val="22"/>
        </w:rPr>
        <w:t>Dimetilfumarato</w:t>
      </w:r>
      <w:r w:rsidRPr="00B86130" w:rsidDel="00C934D8">
        <w:rPr>
          <w:szCs w:val="22"/>
        </w:rPr>
        <w:t xml:space="preserve"> </w:t>
      </w:r>
      <w:r w:rsidR="00C04768" w:rsidRPr="00B86130">
        <w:rPr>
          <w:szCs w:val="22"/>
        </w:rPr>
        <w:t>Accord</w:t>
      </w:r>
      <w:r w:rsidR="00157A56" w:rsidRPr="00B86130">
        <w:rPr>
          <w:szCs w:val="22"/>
        </w:rPr>
        <w:t xml:space="preserve"> 240</w:t>
      </w:r>
      <w:r w:rsidR="007D055B" w:rsidRPr="00B86130">
        <w:rPr>
          <w:szCs w:val="22"/>
        </w:rPr>
        <w:t> </w:t>
      </w:r>
      <w:r w:rsidR="00157A56" w:rsidRPr="00B86130">
        <w:rPr>
          <w:szCs w:val="22"/>
        </w:rPr>
        <w:t>mg capsule rigide gastroresistenti sono</w:t>
      </w:r>
      <w:r w:rsidR="007B72F1" w:rsidRPr="00B86130">
        <w:rPr>
          <w:szCs w:val="22"/>
        </w:rPr>
        <w:t xml:space="preserve"> capsule rigide </w:t>
      </w:r>
      <w:r w:rsidR="00BC2BD0" w:rsidRPr="00B86130">
        <w:rPr>
          <w:szCs w:val="22"/>
        </w:rPr>
        <w:t>in</w:t>
      </w:r>
      <w:r w:rsidR="007B72F1" w:rsidRPr="00B86130">
        <w:rPr>
          <w:szCs w:val="22"/>
        </w:rPr>
        <w:t xml:space="preserve"> gelatina di </w:t>
      </w:r>
      <w:r w:rsidR="00EB212B" w:rsidRPr="00B86130">
        <w:rPr>
          <w:szCs w:val="22"/>
        </w:rPr>
        <w:t xml:space="preserve">dimensione </w:t>
      </w:r>
      <w:r w:rsidR="007B72F1" w:rsidRPr="00B86130">
        <w:rPr>
          <w:szCs w:val="22"/>
        </w:rPr>
        <w:t>“0” (21,3 x 7,5 mm circa) con testa</w:t>
      </w:r>
      <w:r w:rsidR="002A5ACA" w:rsidRPr="00B86130">
        <w:rPr>
          <w:szCs w:val="22"/>
        </w:rPr>
        <w:t xml:space="preserve"> e corpo</w:t>
      </w:r>
      <w:r w:rsidR="007B72F1" w:rsidRPr="00B86130">
        <w:rPr>
          <w:szCs w:val="22"/>
        </w:rPr>
        <w:t xml:space="preserve"> verde</w:t>
      </w:r>
      <w:r w:rsidR="00EB212B" w:rsidRPr="00B86130">
        <w:rPr>
          <w:szCs w:val="22"/>
        </w:rPr>
        <w:t>,</w:t>
      </w:r>
      <w:r w:rsidR="007B72F1" w:rsidRPr="00B86130">
        <w:rPr>
          <w:szCs w:val="22"/>
        </w:rPr>
        <w:t xml:space="preserve"> </w:t>
      </w:r>
      <w:r w:rsidR="00157A56" w:rsidRPr="00B86130">
        <w:rPr>
          <w:szCs w:val="22"/>
        </w:rPr>
        <w:t xml:space="preserve">con </w:t>
      </w:r>
      <w:r w:rsidR="00EB212B" w:rsidRPr="00B86130">
        <w:rPr>
          <w:szCs w:val="22"/>
        </w:rPr>
        <w:t>impresso</w:t>
      </w:r>
      <w:r w:rsidR="007B72F1" w:rsidRPr="00B86130">
        <w:rPr>
          <w:szCs w:val="22"/>
        </w:rPr>
        <w:t xml:space="preserve"> “HR2” </w:t>
      </w:r>
      <w:r w:rsidR="00EB212B" w:rsidRPr="00B86130">
        <w:rPr>
          <w:szCs w:val="22"/>
        </w:rPr>
        <w:t xml:space="preserve">in </w:t>
      </w:r>
      <w:r w:rsidR="007B72F1" w:rsidRPr="00B86130">
        <w:rPr>
          <w:szCs w:val="22"/>
        </w:rPr>
        <w:t>inchiostro nero sul corpo della capsula</w:t>
      </w:r>
      <w:r w:rsidR="002A5ACA" w:rsidRPr="00B86130">
        <w:rPr>
          <w:szCs w:val="22"/>
        </w:rPr>
        <w:t>,</w:t>
      </w:r>
      <w:r w:rsidR="007B72F1" w:rsidRPr="00B86130">
        <w:rPr>
          <w:szCs w:val="22"/>
        </w:rPr>
        <w:t xml:space="preserve"> contenenti mini compresse </w:t>
      </w:r>
      <w:r w:rsidR="00EB212B" w:rsidRPr="00B86130">
        <w:rPr>
          <w:szCs w:val="22"/>
        </w:rPr>
        <w:t xml:space="preserve">con rivestimento enterico </w:t>
      </w:r>
      <w:r w:rsidR="007B72F1" w:rsidRPr="00B86130">
        <w:rPr>
          <w:szCs w:val="22"/>
        </w:rPr>
        <w:t>di colore da bianco a biancastro, rotonde, biconvesse, lisce su entrambi i lati</w:t>
      </w:r>
      <w:r w:rsidR="00157A56" w:rsidRPr="00B86130">
        <w:rPr>
          <w:szCs w:val="22"/>
        </w:rPr>
        <w:t>.</w:t>
      </w:r>
    </w:p>
    <w:p w14:paraId="0886F25C" w14:textId="77777777" w:rsidR="00717A16" w:rsidRPr="00B86130" w:rsidRDefault="00717A16">
      <w:pPr>
        <w:widowControl w:val="0"/>
        <w:rPr>
          <w:szCs w:val="22"/>
        </w:rPr>
      </w:pPr>
    </w:p>
    <w:p w14:paraId="6F45C318" w14:textId="77777777" w:rsidR="00337F02" w:rsidRDefault="0050720E">
      <w:pPr>
        <w:widowControl w:val="0"/>
        <w:rPr>
          <w:szCs w:val="22"/>
        </w:rPr>
      </w:pPr>
      <w:r w:rsidRPr="00B86130">
        <w:rPr>
          <w:szCs w:val="22"/>
        </w:rPr>
        <w:lastRenderedPageBreak/>
        <w:t xml:space="preserve">Capsule da 120 mg: </w:t>
      </w:r>
    </w:p>
    <w:p w14:paraId="106ADA4E" w14:textId="625A73AA" w:rsidR="0050720E" w:rsidRDefault="0050720E">
      <w:pPr>
        <w:widowControl w:val="0"/>
        <w:rPr>
          <w:szCs w:val="22"/>
        </w:rPr>
      </w:pPr>
      <w:r w:rsidRPr="00B86130">
        <w:rPr>
          <w:szCs w:val="22"/>
        </w:rPr>
        <w:t>14 capsule in confezioni con blister PVC/PE/PVDC-Alu.</w:t>
      </w:r>
    </w:p>
    <w:p w14:paraId="43143C04" w14:textId="61EE7746" w:rsidR="00337F02" w:rsidRDefault="00337F02">
      <w:pPr>
        <w:widowControl w:val="0"/>
        <w:rPr>
          <w:szCs w:val="22"/>
        </w:rPr>
      </w:pPr>
      <w:r>
        <w:rPr>
          <w:szCs w:val="22"/>
        </w:rPr>
        <w:t>14x1 capsule in confezioni con blister perforati per dose unitaria di PVC/PE/PVDC-Alu.</w:t>
      </w:r>
    </w:p>
    <w:p w14:paraId="37EDEAD0" w14:textId="77777777" w:rsidR="00337F02" w:rsidRPr="00B86130" w:rsidRDefault="00337F02">
      <w:pPr>
        <w:widowControl w:val="0"/>
        <w:rPr>
          <w:szCs w:val="22"/>
        </w:rPr>
      </w:pPr>
    </w:p>
    <w:p w14:paraId="14629738" w14:textId="77777777" w:rsidR="00337F02" w:rsidRDefault="0050720E">
      <w:pPr>
        <w:widowControl w:val="0"/>
        <w:rPr>
          <w:szCs w:val="22"/>
        </w:rPr>
      </w:pPr>
      <w:r w:rsidRPr="00B86130">
        <w:rPr>
          <w:szCs w:val="22"/>
        </w:rPr>
        <w:t xml:space="preserve">Capsule da 240 mg: </w:t>
      </w:r>
    </w:p>
    <w:p w14:paraId="3C752857" w14:textId="254FF7D7" w:rsidR="0050720E" w:rsidRPr="00B86130" w:rsidRDefault="0050720E">
      <w:pPr>
        <w:widowControl w:val="0"/>
        <w:rPr>
          <w:szCs w:val="22"/>
        </w:rPr>
      </w:pPr>
      <w:r w:rsidRPr="00B86130">
        <w:rPr>
          <w:szCs w:val="22"/>
        </w:rPr>
        <w:t>56 o 168 capsule in confezioni con blister PVC/PE/PVDC-Alu.</w:t>
      </w:r>
    </w:p>
    <w:p w14:paraId="7B74A92C" w14:textId="7635EB6E" w:rsidR="00337F02" w:rsidRPr="00337F02" w:rsidRDefault="00337F02" w:rsidP="00337F02">
      <w:pPr>
        <w:widowControl w:val="0"/>
        <w:rPr>
          <w:szCs w:val="22"/>
        </w:rPr>
      </w:pPr>
      <w:r>
        <w:rPr>
          <w:szCs w:val="22"/>
        </w:rPr>
        <w:t>56</w:t>
      </w:r>
      <w:r w:rsidRPr="00337F02">
        <w:rPr>
          <w:szCs w:val="22"/>
        </w:rPr>
        <w:t>x1</w:t>
      </w:r>
      <w:r>
        <w:rPr>
          <w:szCs w:val="22"/>
        </w:rPr>
        <w:t xml:space="preserve"> or 168x1</w:t>
      </w:r>
      <w:r w:rsidRPr="00337F02">
        <w:rPr>
          <w:szCs w:val="22"/>
        </w:rPr>
        <w:t xml:space="preserve"> capsule in confezioni con blister perforati per dose unitaria di PVC/PE/PVDC-Alu.</w:t>
      </w:r>
    </w:p>
    <w:p w14:paraId="48FAF46E" w14:textId="77777777" w:rsidR="00337F02" w:rsidRPr="00B86130" w:rsidRDefault="00337F02">
      <w:pPr>
        <w:widowControl w:val="0"/>
        <w:rPr>
          <w:szCs w:val="22"/>
        </w:rPr>
      </w:pPr>
    </w:p>
    <w:p w14:paraId="3C0C6C5E" w14:textId="77777777" w:rsidR="00717A16" w:rsidRPr="00B86130" w:rsidRDefault="00157A56">
      <w:pPr>
        <w:widowControl w:val="0"/>
        <w:rPr>
          <w:szCs w:val="22"/>
        </w:rPr>
      </w:pPr>
      <w:r w:rsidRPr="00B86130">
        <w:rPr>
          <w:szCs w:val="22"/>
        </w:rPr>
        <w:t>È possibile che non tutte le confezioni siano commercializzate.</w:t>
      </w:r>
    </w:p>
    <w:p w14:paraId="43A62DC9" w14:textId="77777777" w:rsidR="00717A16" w:rsidRPr="00B86130" w:rsidRDefault="00717A16">
      <w:pPr>
        <w:widowControl w:val="0"/>
        <w:tabs>
          <w:tab w:val="clear" w:pos="567"/>
        </w:tabs>
        <w:rPr>
          <w:szCs w:val="22"/>
        </w:rPr>
      </w:pPr>
    </w:p>
    <w:p w14:paraId="5937577A" w14:textId="77777777" w:rsidR="00717A16" w:rsidRPr="00B86130" w:rsidRDefault="00717A16">
      <w:pPr>
        <w:widowControl w:val="0"/>
        <w:tabs>
          <w:tab w:val="clear" w:pos="567"/>
        </w:tabs>
        <w:ind w:right="-2"/>
        <w:rPr>
          <w:szCs w:val="22"/>
        </w:rPr>
      </w:pPr>
    </w:p>
    <w:p w14:paraId="3B23CCE5" w14:textId="77777777" w:rsidR="00717A16" w:rsidRPr="00B86130" w:rsidRDefault="00157A56">
      <w:pPr>
        <w:keepNext/>
        <w:widowControl w:val="0"/>
        <w:rPr>
          <w:b/>
          <w:szCs w:val="22"/>
        </w:rPr>
      </w:pPr>
      <w:r w:rsidRPr="00B86130">
        <w:rPr>
          <w:b/>
          <w:szCs w:val="22"/>
        </w:rPr>
        <w:t>Titolare dell’autorizzazione all’immissione in commercio</w:t>
      </w:r>
    </w:p>
    <w:p w14:paraId="67784468" w14:textId="77777777" w:rsidR="00717A16" w:rsidRPr="00B86130" w:rsidRDefault="00717A16">
      <w:pPr>
        <w:keepNext/>
        <w:widowControl w:val="0"/>
        <w:tabs>
          <w:tab w:val="clear" w:pos="567"/>
        </w:tabs>
        <w:ind w:right="-2"/>
        <w:rPr>
          <w:szCs w:val="22"/>
        </w:rPr>
      </w:pPr>
    </w:p>
    <w:p w14:paraId="0AD79C1A" w14:textId="77777777" w:rsidR="00FD792E" w:rsidRPr="00B86130" w:rsidRDefault="00FD792E" w:rsidP="00FD792E">
      <w:pPr>
        <w:rPr>
          <w:szCs w:val="22"/>
        </w:rPr>
      </w:pPr>
      <w:r w:rsidRPr="00B86130">
        <w:rPr>
          <w:szCs w:val="22"/>
        </w:rPr>
        <w:t>Accord Healthcare S.L.U.</w:t>
      </w:r>
    </w:p>
    <w:p w14:paraId="0C8C53FC" w14:textId="77777777" w:rsidR="00FD792E" w:rsidRPr="00E91670" w:rsidRDefault="00FD792E" w:rsidP="00FD792E">
      <w:pPr>
        <w:rPr>
          <w:szCs w:val="22"/>
          <w:lang w:val="es-ES_tradnl"/>
        </w:rPr>
      </w:pPr>
      <w:r w:rsidRPr="00E91670">
        <w:rPr>
          <w:szCs w:val="22"/>
          <w:lang w:val="es-ES_tradnl"/>
        </w:rPr>
        <w:t>World Trade Center, Moll de Barcelona, s/n,</w:t>
      </w:r>
    </w:p>
    <w:p w14:paraId="7E7EA969" w14:textId="77777777" w:rsidR="00FD792E" w:rsidRPr="00E91670" w:rsidRDefault="00FD792E" w:rsidP="00FD792E">
      <w:pPr>
        <w:rPr>
          <w:szCs w:val="22"/>
          <w:lang w:val="es-ES_tradnl"/>
        </w:rPr>
      </w:pPr>
      <w:r w:rsidRPr="00E91670">
        <w:rPr>
          <w:szCs w:val="22"/>
          <w:lang w:val="es-ES_tradnl"/>
        </w:rPr>
        <w:t>Edifici Est, 6</w:t>
      </w:r>
      <w:r w:rsidRPr="00E91670">
        <w:rPr>
          <w:szCs w:val="22"/>
          <w:vertAlign w:val="superscript"/>
          <w:lang w:val="es-ES_tradnl"/>
        </w:rPr>
        <w:t>a</w:t>
      </w:r>
      <w:r w:rsidRPr="00E91670">
        <w:rPr>
          <w:szCs w:val="22"/>
          <w:lang w:val="es-ES_tradnl"/>
        </w:rPr>
        <w:t xml:space="preserve"> Planta,</w:t>
      </w:r>
    </w:p>
    <w:p w14:paraId="5C360A31" w14:textId="009A58DF" w:rsidR="00FD792E" w:rsidRPr="00E91670" w:rsidRDefault="00FD792E" w:rsidP="00FD792E">
      <w:pPr>
        <w:rPr>
          <w:szCs w:val="22"/>
          <w:lang w:val="es-ES_tradnl"/>
        </w:rPr>
      </w:pPr>
      <w:r w:rsidRPr="00E91670">
        <w:rPr>
          <w:szCs w:val="22"/>
          <w:lang w:val="es-ES_tradnl"/>
        </w:rPr>
        <w:t>08039 Barcelona,</w:t>
      </w:r>
    </w:p>
    <w:p w14:paraId="2031ECF8" w14:textId="723FA777" w:rsidR="00FD792E" w:rsidRPr="00B86130" w:rsidRDefault="00FD792E" w:rsidP="00FD792E">
      <w:pPr>
        <w:rPr>
          <w:szCs w:val="22"/>
        </w:rPr>
      </w:pPr>
      <w:r w:rsidRPr="00B86130">
        <w:rPr>
          <w:szCs w:val="22"/>
        </w:rPr>
        <w:t>Spagna</w:t>
      </w:r>
    </w:p>
    <w:p w14:paraId="6557518E" w14:textId="77777777" w:rsidR="00717A16" w:rsidRPr="00B86130" w:rsidRDefault="00717A16">
      <w:pPr>
        <w:widowControl w:val="0"/>
        <w:tabs>
          <w:tab w:val="clear" w:pos="567"/>
        </w:tabs>
        <w:ind w:right="-2"/>
        <w:rPr>
          <w:szCs w:val="22"/>
        </w:rPr>
      </w:pPr>
    </w:p>
    <w:p w14:paraId="61E09C82" w14:textId="77777777" w:rsidR="00717A16" w:rsidRPr="00B86130" w:rsidRDefault="00157A56" w:rsidP="00DE7A7B">
      <w:pPr>
        <w:widowControl w:val="0"/>
        <w:rPr>
          <w:b/>
          <w:szCs w:val="22"/>
        </w:rPr>
      </w:pPr>
      <w:r w:rsidRPr="00B86130">
        <w:rPr>
          <w:b/>
          <w:szCs w:val="22"/>
        </w:rPr>
        <w:t>Produttore</w:t>
      </w:r>
    </w:p>
    <w:p w14:paraId="00E124F6" w14:textId="77777777" w:rsidR="00717A16" w:rsidRPr="00B86130" w:rsidRDefault="00717A16" w:rsidP="00DE7A7B">
      <w:pPr>
        <w:widowControl w:val="0"/>
        <w:tabs>
          <w:tab w:val="clear" w:pos="567"/>
        </w:tabs>
        <w:ind w:right="-2"/>
        <w:rPr>
          <w:szCs w:val="22"/>
        </w:rPr>
      </w:pPr>
    </w:p>
    <w:p w14:paraId="29A7F6DD" w14:textId="411684F7" w:rsidR="00FD792E" w:rsidRPr="00B86130" w:rsidRDefault="00FD792E" w:rsidP="00FD792E">
      <w:pPr>
        <w:widowControl w:val="0"/>
        <w:autoSpaceDE w:val="0"/>
        <w:autoSpaceDN w:val="0"/>
        <w:adjustRightInd w:val="0"/>
        <w:contextualSpacing/>
      </w:pPr>
      <w:r w:rsidRPr="00B86130">
        <w:t>Accord Healthcare Polska Sp. z.o.o.</w:t>
      </w:r>
    </w:p>
    <w:p w14:paraId="2BB64558" w14:textId="77777777" w:rsidR="00FD792E" w:rsidRPr="00B86130" w:rsidRDefault="00FD792E" w:rsidP="00FD792E">
      <w:pPr>
        <w:widowControl w:val="0"/>
        <w:autoSpaceDE w:val="0"/>
        <w:autoSpaceDN w:val="0"/>
        <w:adjustRightInd w:val="0"/>
        <w:contextualSpacing/>
      </w:pPr>
      <w:r w:rsidRPr="00B86130">
        <w:t>ul.Lutomierska 50,</w:t>
      </w:r>
    </w:p>
    <w:p w14:paraId="0A8EF845" w14:textId="3B7606D5" w:rsidR="00FD792E" w:rsidRPr="00B86130" w:rsidRDefault="00FD792E" w:rsidP="00FD792E">
      <w:pPr>
        <w:widowControl w:val="0"/>
        <w:autoSpaceDE w:val="0"/>
        <w:autoSpaceDN w:val="0"/>
        <w:adjustRightInd w:val="0"/>
        <w:contextualSpacing/>
      </w:pPr>
      <w:r w:rsidRPr="00B86130">
        <w:t>95</w:t>
      </w:r>
      <w:r w:rsidRPr="00B86130">
        <w:noBreakHyphen/>
        <w:t>200, Pabianice, Polonia</w:t>
      </w:r>
    </w:p>
    <w:p w14:paraId="29D7247E" w14:textId="77777777" w:rsidR="00FD792E" w:rsidRPr="00B86130" w:rsidRDefault="00FD792E" w:rsidP="00FD792E">
      <w:pPr>
        <w:widowControl w:val="0"/>
        <w:autoSpaceDE w:val="0"/>
        <w:autoSpaceDN w:val="0"/>
        <w:adjustRightInd w:val="0"/>
        <w:contextualSpacing/>
      </w:pPr>
    </w:p>
    <w:p w14:paraId="3D9FBCCE" w14:textId="77777777" w:rsidR="00FD792E" w:rsidRPr="00B86130" w:rsidRDefault="00FD792E" w:rsidP="00FD792E">
      <w:pPr>
        <w:widowControl w:val="0"/>
        <w:autoSpaceDE w:val="0"/>
        <w:autoSpaceDN w:val="0"/>
        <w:adjustRightInd w:val="0"/>
        <w:contextualSpacing/>
        <w:rPr>
          <w:highlight w:val="lightGray"/>
        </w:rPr>
      </w:pPr>
      <w:r w:rsidRPr="00B86130">
        <w:rPr>
          <w:highlight w:val="lightGray"/>
        </w:rPr>
        <w:t>Pharmadox Healthcare Limited</w:t>
      </w:r>
    </w:p>
    <w:p w14:paraId="341B0C2B" w14:textId="77777777" w:rsidR="00FD792E" w:rsidRPr="00B86130" w:rsidRDefault="00FD792E" w:rsidP="00FD792E">
      <w:pPr>
        <w:widowControl w:val="0"/>
        <w:autoSpaceDE w:val="0"/>
        <w:autoSpaceDN w:val="0"/>
        <w:adjustRightInd w:val="0"/>
        <w:contextualSpacing/>
        <w:rPr>
          <w:highlight w:val="lightGray"/>
        </w:rPr>
      </w:pPr>
      <w:r w:rsidRPr="00B86130">
        <w:rPr>
          <w:highlight w:val="lightGray"/>
        </w:rPr>
        <w:t>KW20A Kordin Industrial Park,</w:t>
      </w:r>
    </w:p>
    <w:p w14:paraId="0CAEA597" w14:textId="77777777" w:rsidR="00FD792E" w:rsidRPr="00B86130" w:rsidRDefault="00FD792E" w:rsidP="00FD792E">
      <w:pPr>
        <w:widowControl w:val="0"/>
        <w:rPr>
          <w:highlight w:val="lightGray"/>
        </w:rPr>
      </w:pPr>
      <w:r w:rsidRPr="00B86130">
        <w:rPr>
          <w:highlight w:val="lightGray"/>
        </w:rPr>
        <w:t>Paola PLA 3000, Malta</w:t>
      </w:r>
    </w:p>
    <w:p w14:paraId="23134EC6" w14:textId="77777777" w:rsidR="00FD792E" w:rsidRPr="00B86130" w:rsidRDefault="00FD792E" w:rsidP="00FD792E">
      <w:pPr>
        <w:widowControl w:val="0"/>
        <w:rPr>
          <w:highlight w:val="lightGray"/>
        </w:rPr>
      </w:pPr>
    </w:p>
    <w:p w14:paraId="36C1CF42" w14:textId="77777777" w:rsidR="00FD792E" w:rsidRPr="00B86130" w:rsidRDefault="00FD792E" w:rsidP="00A61F9B">
      <w:pPr>
        <w:widowControl w:val="0"/>
        <w:autoSpaceDE w:val="0"/>
        <w:autoSpaceDN w:val="0"/>
        <w:adjustRightInd w:val="0"/>
        <w:contextualSpacing/>
        <w:rPr>
          <w:highlight w:val="lightGray"/>
        </w:rPr>
      </w:pPr>
      <w:r w:rsidRPr="00B86130">
        <w:rPr>
          <w:highlight w:val="lightGray"/>
        </w:rPr>
        <w:t>Accord Healthcare B.V.</w:t>
      </w:r>
    </w:p>
    <w:p w14:paraId="4438DBD6" w14:textId="77777777" w:rsidR="00FD792E" w:rsidRPr="00B86130" w:rsidRDefault="00FD792E" w:rsidP="00A61F9B">
      <w:pPr>
        <w:widowControl w:val="0"/>
        <w:autoSpaceDE w:val="0"/>
        <w:autoSpaceDN w:val="0"/>
        <w:adjustRightInd w:val="0"/>
        <w:contextualSpacing/>
        <w:rPr>
          <w:highlight w:val="lightGray"/>
        </w:rPr>
      </w:pPr>
      <w:r w:rsidRPr="00B86130">
        <w:rPr>
          <w:highlight w:val="lightGray"/>
        </w:rPr>
        <w:t xml:space="preserve">Winthontlaan 200, </w:t>
      </w:r>
    </w:p>
    <w:p w14:paraId="0808A8E4" w14:textId="20CC35D7" w:rsidR="003D4ECF" w:rsidRPr="00A61F9B" w:rsidRDefault="00FD792E" w:rsidP="00A61F9B">
      <w:pPr>
        <w:widowControl w:val="0"/>
        <w:autoSpaceDE w:val="0"/>
        <w:autoSpaceDN w:val="0"/>
        <w:adjustRightInd w:val="0"/>
        <w:contextualSpacing/>
        <w:rPr>
          <w:highlight w:val="lightGray"/>
        </w:rPr>
      </w:pPr>
      <w:r w:rsidRPr="00B86130">
        <w:rPr>
          <w:highlight w:val="lightGray"/>
        </w:rPr>
        <w:t>3526 KV Utrecht,</w:t>
      </w:r>
    </w:p>
    <w:p w14:paraId="4F43E34E" w14:textId="2F14F02C" w:rsidR="003D4ECF" w:rsidRPr="00A61F9B" w:rsidRDefault="003D4ECF" w:rsidP="00A61F9B">
      <w:pPr>
        <w:widowControl w:val="0"/>
        <w:autoSpaceDE w:val="0"/>
        <w:autoSpaceDN w:val="0"/>
        <w:adjustRightInd w:val="0"/>
        <w:contextualSpacing/>
        <w:rPr>
          <w:highlight w:val="lightGray"/>
        </w:rPr>
      </w:pPr>
      <w:r w:rsidRPr="00A61F9B">
        <w:rPr>
          <w:highlight w:val="lightGray"/>
        </w:rPr>
        <w:t>Paesi Bassi</w:t>
      </w:r>
    </w:p>
    <w:p w14:paraId="514E953C" w14:textId="77777777" w:rsidR="00365105" w:rsidRDefault="00365105" w:rsidP="0074786F">
      <w:pPr>
        <w:pStyle w:val="BodytextAgency"/>
        <w:spacing w:after="0" w:line="240" w:lineRule="auto"/>
        <w:rPr>
          <w:ins w:id="24" w:author="Daniela Rocca" w:date="2025-08-04T16:48:00Z" w16du:dateUtc="2025-08-04T14:48:00Z"/>
          <w:rFonts w:ascii="Times New Roman" w:hAnsi="Times New Roman" w:cs="Times New Roman"/>
          <w:sz w:val="22"/>
        </w:rPr>
      </w:pPr>
    </w:p>
    <w:p w14:paraId="0E98CF8C" w14:textId="77777777" w:rsidR="00190C7E" w:rsidRPr="00190C7E" w:rsidRDefault="00190C7E" w:rsidP="00190C7E">
      <w:pPr>
        <w:widowControl w:val="0"/>
        <w:rPr>
          <w:ins w:id="25" w:author="Daniela Rocca" w:date="2025-08-04T16:48:00Z" w16du:dateUtc="2025-08-04T14:48:00Z"/>
          <w:highlight w:val="lightGray"/>
          <w:rPrChange w:id="26" w:author="Daniela Rocca" w:date="2025-08-04T16:48:00Z" w16du:dateUtc="2025-08-04T14:48:00Z">
            <w:rPr>
              <w:ins w:id="27" w:author="Daniela Rocca" w:date="2025-08-04T16:48:00Z" w16du:dateUtc="2025-08-04T14:48:00Z"/>
            </w:rPr>
          </w:rPrChange>
        </w:rPr>
      </w:pPr>
      <w:ins w:id="28" w:author="Daniela Rocca" w:date="2025-08-04T16:48:00Z" w16du:dateUtc="2025-08-04T14:48:00Z">
        <w:r w:rsidRPr="00190C7E">
          <w:rPr>
            <w:highlight w:val="lightGray"/>
            <w:rPrChange w:id="29" w:author="Daniela Rocca" w:date="2025-08-04T16:48:00Z" w16du:dateUtc="2025-08-04T14:48:00Z">
              <w:rPr/>
            </w:rPrChange>
          </w:rPr>
          <w:t>Accord Healthcare single member S.A.</w:t>
        </w:r>
      </w:ins>
    </w:p>
    <w:p w14:paraId="175EEA08" w14:textId="77777777" w:rsidR="00190C7E" w:rsidRPr="00190C7E" w:rsidRDefault="00190C7E" w:rsidP="00190C7E">
      <w:pPr>
        <w:widowControl w:val="0"/>
        <w:rPr>
          <w:ins w:id="30" w:author="Daniela Rocca" w:date="2025-08-04T16:48:00Z" w16du:dateUtc="2025-08-04T14:48:00Z"/>
          <w:highlight w:val="lightGray"/>
          <w:rPrChange w:id="31" w:author="Daniela Rocca" w:date="2025-08-04T16:48:00Z" w16du:dateUtc="2025-08-04T14:48:00Z">
            <w:rPr>
              <w:ins w:id="32" w:author="Daniela Rocca" w:date="2025-08-04T16:48:00Z" w16du:dateUtc="2025-08-04T14:48:00Z"/>
            </w:rPr>
          </w:rPrChange>
        </w:rPr>
      </w:pPr>
      <w:ins w:id="33" w:author="Daniela Rocca" w:date="2025-08-04T16:48:00Z" w16du:dateUtc="2025-08-04T14:48:00Z">
        <w:r w:rsidRPr="00190C7E">
          <w:rPr>
            <w:highlight w:val="lightGray"/>
            <w:rPrChange w:id="34" w:author="Daniela Rocca" w:date="2025-08-04T16:48:00Z" w16du:dateUtc="2025-08-04T14:48:00Z">
              <w:rPr/>
            </w:rPrChange>
          </w:rPr>
          <w:t xml:space="preserve">64th Km National Road Athens </w:t>
        </w:r>
      </w:ins>
    </w:p>
    <w:p w14:paraId="2F44E2EA" w14:textId="77777777" w:rsidR="00190C7E" w:rsidRPr="00190C7E" w:rsidRDefault="00190C7E" w:rsidP="00190C7E">
      <w:pPr>
        <w:tabs>
          <w:tab w:val="clear" w:pos="567"/>
        </w:tabs>
        <w:rPr>
          <w:ins w:id="35" w:author="Daniela Rocca" w:date="2025-08-04T16:48:00Z" w16du:dateUtc="2025-08-04T14:48:00Z"/>
          <w:highlight w:val="lightGray"/>
          <w:rPrChange w:id="36" w:author="Daniela Rocca" w:date="2025-08-04T16:48:00Z" w16du:dateUtc="2025-08-04T14:48:00Z">
            <w:rPr>
              <w:ins w:id="37" w:author="Daniela Rocca" w:date="2025-08-04T16:48:00Z" w16du:dateUtc="2025-08-04T14:48:00Z"/>
            </w:rPr>
          </w:rPrChange>
        </w:rPr>
      </w:pPr>
      <w:ins w:id="38" w:author="Daniela Rocca" w:date="2025-08-04T16:48:00Z" w16du:dateUtc="2025-08-04T14:48:00Z">
        <w:r w:rsidRPr="00190C7E">
          <w:rPr>
            <w:highlight w:val="lightGray"/>
            <w:rPrChange w:id="39" w:author="Daniela Rocca" w:date="2025-08-04T16:48:00Z" w16du:dateUtc="2025-08-04T14:48:00Z">
              <w:rPr/>
            </w:rPrChange>
          </w:rPr>
          <w:t xml:space="preserve">Lamia, Schimatari, 32009, </w:t>
        </w:r>
      </w:ins>
    </w:p>
    <w:p w14:paraId="00C1F2B8" w14:textId="77777777" w:rsidR="00190C7E" w:rsidRPr="00B86130" w:rsidRDefault="00190C7E" w:rsidP="00190C7E">
      <w:pPr>
        <w:tabs>
          <w:tab w:val="clear" w:pos="567"/>
        </w:tabs>
        <w:rPr>
          <w:ins w:id="40" w:author="Daniela Rocca" w:date="2025-08-04T16:48:00Z" w16du:dateUtc="2025-08-04T14:48:00Z"/>
        </w:rPr>
      </w:pPr>
      <w:ins w:id="41" w:author="Daniela Rocca" w:date="2025-08-04T16:48:00Z" w16du:dateUtc="2025-08-04T14:48:00Z">
        <w:r w:rsidRPr="00190C7E">
          <w:rPr>
            <w:highlight w:val="lightGray"/>
            <w:rPrChange w:id="42" w:author="Daniela Rocca" w:date="2025-08-04T16:48:00Z" w16du:dateUtc="2025-08-04T14:48:00Z">
              <w:rPr/>
            </w:rPrChange>
          </w:rPr>
          <w:t>Grecia</w:t>
        </w:r>
      </w:ins>
    </w:p>
    <w:p w14:paraId="2271B45D" w14:textId="77777777" w:rsidR="00190C7E" w:rsidRPr="00B86130" w:rsidRDefault="00190C7E" w:rsidP="0074786F">
      <w:pPr>
        <w:pStyle w:val="BodytextAgency"/>
        <w:spacing w:after="0" w:line="240" w:lineRule="auto"/>
        <w:rPr>
          <w:rFonts w:ascii="Times New Roman" w:hAnsi="Times New Roman" w:cs="Times New Roman"/>
          <w:sz w:val="22"/>
        </w:rPr>
      </w:pPr>
    </w:p>
    <w:p w14:paraId="14C4FCE1" w14:textId="77777777" w:rsidR="00327D20" w:rsidRPr="00327D20" w:rsidRDefault="00327D20" w:rsidP="00327D20">
      <w:pPr>
        <w:widowControl w:val="0"/>
        <w:tabs>
          <w:tab w:val="clear" w:pos="567"/>
        </w:tabs>
        <w:ind w:right="-2"/>
        <w:rPr>
          <w:szCs w:val="22"/>
        </w:rPr>
      </w:pPr>
      <w:r w:rsidRPr="00327D20">
        <w:rPr>
          <w:szCs w:val="22"/>
        </w:rPr>
        <w:t>Per ulteriori informazioni su questo medicinale, contatti il rappresentante locale del titolare dell’autorizzazione all’immissione in commercio:</w:t>
      </w:r>
    </w:p>
    <w:p w14:paraId="35966A58" w14:textId="77777777" w:rsidR="003D4ECF" w:rsidRDefault="003D4ECF">
      <w:pPr>
        <w:widowControl w:val="0"/>
        <w:tabs>
          <w:tab w:val="clear" w:pos="567"/>
        </w:tabs>
        <w:ind w:right="-2"/>
        <w:rPr>
          <w:szCs w:val="22"/>
        </w:rPr>
      </w:pPr>
    </w:p>
    <w:p w14:paraId="00C2AF12" w14:textId="3C5000AF" w:rsidR="008262DF" w:rsidRPr="00D46724" w:rsidRDefault="008262DF" w:rsidP="008262DF">
      <w:pPr>
        <w:tabs>
          <w:tab w:val="clear" w:pos="567"/>
        </w:tabs>
        <w:suppressAutoHyphens w:val="0"/>
        <w:rPr>
          <w:bCs/>
          <w:szCs w:val="22"/>
          <w:lang w:val="en-GB"/>
        </w:rPr>
      </w:pPr>
      <w:r w:rsidRPr="00D46724">
        <w:rPr>
          <w:bCs/>
          <w:szCs w:val="22"/>
          <w:lang w:val="en-GB"/>
        </w:rPr>
        <w:t xml:space="preserve">AT / BE / BG / CY / CZ / DE / DK / EE / ES / FI / FR / HR / HU / IE / IS / IT / LT / LV / </w:t>
      </w:r>
      <w:r w:rsidR="006970DF" w:rsidRPr="00D46724">
        <w:rPr>
          <w:bCs/>
          <w:szCs w:val="22"/>
          <w:lang w:val="en-GB"/>
        </w:rPr>
        <w:t>L</w:t>
      </w:r>
      <w:r w:rsidR="006970DF">
        <w:rPr>
          <w:bCs/>
          <w:szCs w:val="22"/>
          <w:lang w:val="en-GB"/>
        </w:rPr>
        <w:t>U</w:t>
      </w:r>
      <w:r w:rsidR="006970DF" w:rsidRPr="00D46724">
        <w:rPr>
          <w:bCs/>
          <w:szCs w:val="22"/>
          <w:lang w:val="en-GB"/>
        </w:rPr>
        <w:t xml:space="preserve"> </w:t>
      </w:r>
      <w:r w:rsidRPr="00D46724">
        <w:rPr>
          <w:bCs/>
          <w:szCs w:val="22"/>
          <w:lang w:val="en-GB"/>
        </w:rPr>
        <w:t xml:space="preserve">/ MT / NL / NO / PL / PT / RO / SE / SI / SK </w:t>
      </w:r>
    </w:p>
    <w:p w14:paraId="7F2BA10D" w14:textId="77777777" w:rsidR="008262DF" w:rsidRPr="00D46724" w:rsidRDefault="008262DF" w:rsidP="008262DF">
      <w:pPr>
        <w:tabs>
          <w:tab w:val="clear" w:pos="567"/>
        </w:tabs>
        <w:suppressAutoHyphens w:val="0"/>
        <w:rPr>
          <w:bCs/>
          <w:szCs w:val="22"/>
          <w:lang w:val="en-GB"/>
        </w:rPr>
      </w:pPr>
    </w:p>
    <w:p w14:paraId="75D3FFC6" w14:textId="77777777" w:rsidR="008262DF" w:rsidRPr="00327D20" w:rsidRDefault="008262DF" w:rsidP="008262DF">
      <w:pPr>
        <w:tabs>
          <w:tab w:val="clear" w:pos="567"/>
        </w:tabs>
        <w:suppressAutoHyphens w:val="0"/>
        <w:rPr>
          <w:bCs/>
          <w:szCs w:val="22"/>
          <w:lang w:val="en-GB"/>
        </w:rPr>
      </w:pPr>
      <w:r w:rsidRPr="00327D20">
        <w:rPr>
          <w:bCs/>
          <w:szCs w:val="22"/>
          <w:lang w:val="en-GB"/>
        </w:rPr>
        <w:t xml:space="preserve">Accord Healthcare S.L.U. </w:t>
      </w:r>
    </w:p>
    <w:p w14:paraId="61084025" w14:textId="77777777" w:rsidR="008262DF" w:rsidRPr="00327D20" w:rsidRDefault="008262DF" w:rsidP="008262DF">
      <w:pPr>
        <w:tabs>
          <w:tab w:val="clear" w:pos="567"/>
        </w:tabs>
        <w:suppressAutoHyphens w:val="0"/>
        <w:rPr>
          <w:bCs/>
          <w:szCs w:val="22"/>
          <w:lang w:val="es-ES"/>
        </w:rPr>
      </w:pPr>
      <w:r w:rsidRPr="00327D20">
        <w:rPr>
          <w:bCs/>
          <w:szCs w:val="22"/>
          <w:lang w:val="es-ES"/>
        </w:rPr>
        <w:t xml:space="preserve">Tel: +34 93 301 00 64 </w:t>
      </w:r>
    </w:p>
    <w:p w14:paraId="67272ABE" w14:textId="77777777" w:rsidR="008262DF" w:rsidRPr="00E91670" w:rsidRDefault="008262DF" w:rsidP="00E91670">
      <w:pPr>
        <w:tabs>
          <w:tab w:val="clear" w:pos="567"/>
        </w:tabs>
        <w:suppressAutoHyphens w:val="0"/>
        <w:rPr>
          <w:bCs/>
          <w:szCs w:val="22"/>
        </w:rPr>
      </w:pPr>
    </w:p>
    <w:tbl>
      <w:tblPr>
        <w:tblW w:w="9558" w:type="dxa"/>
        <w:tblInd w:w="-34" w:type="dxa"/>
        <w:tblLayout w:type="fixed"/>
        <w:tblLook w:val="0000" w:firstRow="0" w:lastRow="0" w:firstColumn="0" w:lastColumn="0" w:noHBand="0" w:noVBand="0"/>
      </w:tblPr>
      <w:tblGrid>
        <w:gridCol w:w="4880"/>
        <w:gridCol w:w="4678"/>
      </w:tblGrid>
      <w:tr w:rsidR="00717A16" w:rsidRPr="00B86130" w14:paraId="6F7E1B9B" w14:textId="77777777">
        <w:trPr>
          <w:cantSplit/>
          <w:trHeight w:val="246"/>
        </w:trPr>
        <w:tc>
          <w:tcPr>
            <w:tcW w:w="4880" w:type="dxa"/>
          </w:tcPr>
          <w:p w14:paraId="25F75448" w14:textId="77777777" w:rsidR="008262DF" w:rsidRPr="00327D20" w:rsidRDefault="008262DF" w:rsidP="008262DF">
            <w:pPr>
              <w:tabs>
                <w:tab w:val="clear" w:pos="567"/>
              </w:tabs>
              <w:suppressAutoHyphens w:val="0"/>
              <w:rPr>
                <w:bCs/>
                <w:szCs w:val="22"/>
                <w:lang w:val="es-ES"/>
              </w:rPr>
            </w:pPr>
            <w:r w:rsidRPr="00327D20">
              <w:rPr>
                <w:bCs/>
                <w:szCs w:val="22"/>
                <w:lang w:val="es-ES"/>
              </w:rPr>
              <w:t xml:space="preserve">EL </w:t>
            </w:r>
          </w:p>
          <w:p w14:paraId="1C690827" w14:textId="77777777" w:rsidR="008262DF" w:rsidRPr="00327D20" w:rsidRDefault="008262DF" w:rsidP="008262DF">
            <w:pPr>
              <w:tabs>
                <w:tab w:val="clear" w:pos="567"/>
              </w:tabs>
              <w:suppressAutoHyphens w:val="0"/>
              <w:rPr>
                <w:bCs/>
                <w:szCs w:val="22"/>
                <w:lang w:val="el-GR"/>
              </w:rPr>
            </w:pPr>
            <w:r w:rsidRPr="00327D20">
              <w:rPr>
                <w:bCs/>
                <w:szCs w:val="22"/>
                <w:lang w:val="es-ES"/>
              </w:rPr>
              <w:t xml:space="preserve">Win Medica </w:t>
            </w:r>
            <w:r w:rsidRPr="00327D20">
              <w:rPr>
                <w:bCs/>
                <w:szCs w:val="22"/>
                <w:lang w:val="el-GR"/>
              </w:rPr>
              <w:t>Α</w:t>
            </w:r>
            <w:r w:rsidRPr="00327D20">
              <w:rPr>
                <w:bCs/>
                <w:szCs w:val="22"/>
                <w:lang w:val="es-ES_tradnl"/>
              </w:rPr>
              <w:t>.</w:t>
            </w:r>
            <w:r w:rsidRPr="00327D20">
              <w:rPr>
                <w:bCs/>
                <w:szCs w:val="22"/>
                <w:lang w:val="el-GR"/>
              </w:rPr>
              <w:t>Ε</w:t>
            </w:r>
            <w:r w:rsidRPr="00327D20">
              <w:rPr>
                <w:bCs/>
                <w:szCs w:val="22"/>
                <w:lang w:val="es-ES_tradnl"/>
              </w:rPr>
              <w:t>.</w:t>
            </w:r>
          </w:p>
          <w:p w14:paraId="046A8A47" w14:textId="77777777" w:rsidR="008262DF" w:rsidRPr="00327D20" w:rsidRDefault="008262DF" w:rsidP="008262DF">
            <w:pPr>
              <w:tabs>
                <w:tab w:val="clear" w:pos="567"/>
              </w:tabs>
              <w:suppressAutoHyphens w:val="0"/>
              <w:rPr>
                <w:bCs/>
                <w:szCs w:val="22"/>
                <w:lang w:val="el-GR"/>
              </w:rPr>
            </w:pPr>
            <w:r w:rsidRPr="00327D20">
              <w:rPr>
                <w:bCs/>
                <w:szCs w:val="22"/>
                <w:lang w:val="el-GR"/>
              </w:rPr>
              <w:t>Τηλ</w:t>
            </w:r>
            <w:r w:rsidRPr="00327D20">
              <w:rPr>
                <w:bCs/>
                <w:szCs w:val="22"/>
                <w:lang w:val="en-GB"/>
              </w:rPr>
              <w:t>: +30 210 74 88 821</w:t>
            </w:r>
          </w:p>
          <w:p w14:paraId="788AB84D" w14:textId="77777777" w:rsidR="00717A16" w:rsidRPr="00B86130" w:rsidRDefault="00717A16" w:rsidP="008262DF">
            <w:pPr>
              <w:tabs>
                <w:tab w:val="clear" w:pos="567"/>
              </w:tabs>
              <w:suppressAutoHyphens w:val="0"/>
              <w:rPr>
                <w:szCs w:val="22"/>
              </w:rPr>
            </w:pPr>
          </w:p>
        </w:tc>
        <w:tc>
          <w:tcPr>
            <w:tcW w:w="4678" w:type="dxa"/>
          </w:tcPr>
          <w:p w14:paraId="7CCD6A90" w14:textId="77777777" w:rsidR="00717A16" w:rsidRPr="00B86130" w:rsidRDefault="00717A16">
            <w:pPr>
              <w:widowControl w:val="0"/>
              <w:tabs>
                <w:tab w:val="left" w:pos="-720"/>
              </w:tabs>
              <w:snapToGrid w:val="0"/>
              <w:rPr>
                <w:szCs w:val="22"/>
              </w:rPr>
            </w:pPr>
          </w:p>
        </w:tc>
      </w:tr>
    </w:tbl>
    <w:p w14:paraId="53F60EE8" w14:textId="643710B7" w:rsidR="00717A16" w:rsidRPr="00B86130" w:rsidRDefault="00157A56">
      <w:pPr>
        <w:widowControl w:val="0"/>
        <w:tabs>
          <w:tab w:val="clear" w:pos="567"/>
        </w:tabs>
        <w:ind w:right="-2"/>
        <w:rPr>
          <w:b/>
          <w:szCs w:val="22"/>
        </w:rPr>
      </w:pPr>
      <w:r w:rsidRPr="00B86130">
        <w:rPr>
          <w:b/>
          <w:szCs w:val="22"/>
        </w:rPr>
        <w:t>Questo foglio illustrativo è stato aggiornato il</w:t>
      </w:r>
      <w:r w:rsidRPr="00B86130">
        <w:t xml:space="preserve"> </w:t>
      </w:r>
      <w:r w:rsidR="00FD792E" w:rsidRPr="00B86130">
        <w:rPr>
          <w:b/>
          <w:szCs w:val="22"/>
        </w:rPr>
        <w:t>.</w:t>
      </w:r>
    </w:p>
    <w:p w14:paraId="21A6AF07" w14:textId="77777777" w:rsidR="00717A16" w:rsidRPr="00B86130" w:rsidRDefault="00717A16">
      <w:pPr>
        <w:widowControl w:val="0"/>
        <w:ind w:right="-2"/>
        <w:rPr>
          <w:szCs w:val="22"/>
        </w:rPr>
      </w:pPr>
    </w:p>
    <w:p w14:paraId="129563BB" w14:textId="1017AD24" w:rsidR="00717A16" w:rsidRPr="00B86130" w:rsidRDefault="00157A56">
      <w:pPr>
        <w:rPr>
          <w:szCs w:val="22"/>
        </w:rPr>
      </w:pPr>
      <w:r w:rsidRPr="00B86130">
        <w:rPr>
          <w:szCs w:val="22"/>
        </w:rPr>
        <w:t xml:space="preserve">Informazioni più dettagliate su questo medicinale sono disponibili sul sito web dell’Agenzia europea </w:t>
      </w:r>
      <w:r w:rsidR="00933D9B" w:rsidRPr="00B86130">
        <w:rPr>
          <w:szCs w:val="22"/>
        </w:rPr>
        <w:t xml:space="preserve">per i </w:t>
      </w:r>
      <w:r w:rsidRPr="00B86130">
        <w:rPr>
          <w:szCs w:val="22"/>
        </w:rPr>
        <w:t>medicinali,</w:t>
      </w:r>
      <w:r w:rsidR="006D79EB" w:rsidRPr="00B86130">
        <w:rPr>
          <w:szCs w:val="22"/>
        </w:rPr>
        <w:t xml:space="preserve"> </w:t>
      </w:r>
      <w:hyperlink r:id="rId13" w:history="1">
        <w:r w:rsidR="00DE7A7B" w:rsidRPr="00B86130">
          <w:rPr>
            <w:rStyle w:val="Hyperlink"/>
            <w:color w:val="auto"/>
            <w:szCs w:val="22"/>
          </w:rPr>
          <w:t>http://www.ema.europa.eu</w:t>
        </w:r>
      </w:hyperlink>
      <w:r w:rsidRPr="00B86130">
        <w:rPr>
          <w:szCs w:val="22"/>
        </w:rPr>
        <w:t>.</w:t>
      </w:r>
    </w:p>
    <w:sectPr w:rsidR="00717A16" w:rsidRPr="00B86130" w:rsidSect="00AB2512">
      <w:footerReference w:type="default" r:id="rId14"/>
      <w:pgSz w:w="11905" w:h="16837" w:code="9"/>
      <w:pgMar w:top="1138" w:right="1411" w:bottom="1138" w:left="1411"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F78D" w14:textId="77777777" w:rsidR="00477BA2" w:rsidRDefault="00477BA2">
      <w:r>
        <w:separator/>
      </w:r>
    </w:p>
  </w:endnote>
  <w:endnote w:type="continuationSeparator" w:id="0">
    <w:p w14:paraId="314897C2" w14:textId="77777777" w:rsidR="00477BA2" w:rsidRDefault="00477BA2">
      <w:r>
        <w:continuationSeparator/>
      </w:r>
    </w:p>
  </w:endnote>
  <w:endnote w:type="continuationNotice" w:id="1">
    <w:p w14:paraId="21B3442F" w14:textId="77777777" w:rsidR="00477BA2" w:rsidRDefault="00477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DejaVu Sans">
    <w:altName w:val="Calibri"/>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140B" w14:textId="5FCA7618" w:rsidR="00D46724" w:rsidRDefault="00D46724">
    <w:pPr>
      <w:pStyle w:val="Footer"/>
      <w:tabs>
        <w:tab w:val="right" w:pos="8931"/>
      </w:tabs>
      <w:ind w:right="96"/>
      <w:jc w:val="cent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3012A2">
      <w:rPr>
        <w:rStyle w:val="PageNumber"/>
        <w:rFonts w:cs="Arial"/>
        <w:noProof/>
      </w:rPr>
      <w:t>34</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B7E2" w14:textId="77777777" w:rsidR="00477BA2" w:rsidRDefault="00477BA2">
      <w:r>
        <w:separator/>
      </w:r>
    </w:p>
  </w:footnote>
  <w:footnote w:type="continuationSeparator" w:id="0">
    <w:p w14:paraId="45CCA628" w14:textId="77777777" w:rsidR="00477BA2" w:rsidRDefault="00477BA2">
      <w:r>
        <w:continuationSeparator/>
      </w:r>
    </w:p>
  </w:footnote>
  <w:footnote w:type="continuationNotice" w:id="1">
    <w:p w14:paraId="79B32E07" w14:textId="77777777" w:rsidR="00477BA2" w:rsidRDefault="00477B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8CF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05EE4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0629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46896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6A2BD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D6BFC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32A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B246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F4EE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8AB5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15969A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cs="Times New Roman"/>
        <w:b/>
        <w:sz w:val="22"/>
      </w:rPr>
    </w:lvl>
  </w:abstractNum>
  <w:abstractNum w:abstractNumId="1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cs="Times New Roman"/>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E15783"/>
    <w:multiLevelType w:val="hybridMultilevel"/>
    <w:tmpl w:val="B9D0F7A4"/>
    <w:lvl w:ilvl="0" w:tplc="EBDE6A7C">
      <w:start w:val="1"/>
      <w:numFmt w:val="upperLetter"/>
      <w:pStyle w:val="TitleB"/>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84D7221"/>
    <w:multiLevelType w:val="hybridMultilevel"/>
    <w:tmpl w:val="707CB860"/>
    <w:lvl w:ilvl="0" w:tplc="920C3EAA">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21F4762"/>
    <w:multiLevelType w:val="hybridMultilevel"/>
    <w:tmpl w:val="8C7258E4"/>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448E4"/>
    <w:multiLevelType w:val="hybridMultilevel"/>
    <w:tmpl w:val="9F9EF3C4"/>
    <w:lvl w:ilvl="0" w:tplc="B1660F98">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392C38"/>
    <w:multiLevelType w:val="hybridMultilevel"/>
    <w:tmpl w:val="BEE6F268"/>
    <w:lvl w:ilvl="0" w:tplc="14AC5D1E">
      <w:start w:val="1"/>
      <w:numFmt w:val="bullet"/>
      <w:lvlText w:val=""/>
      <w:lvlJc w:val="left"/>
      <w:pPr>
        <w:ind w:left="1134" w:hanging="56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0"/>
        </w:tabs>
        <w:ind w:left="360" w:hanging="360"/>
      </w:pPr>
      <w:rPr>
        <w:rFonts w:ascii="Symbol" w:hAnsi="Symbol" w:cs="Symbol"/>
        <w:color w:val="000000"/>
        <w:sz w:val="24"/>
        <w:szCs w:val="24"/>
      </w:rPr>
    </w:lvl>
    <w:lvl w:ilvl="1">
      <w:start w:val="1"/>
      <w:numFmt w:val="bullet"/>
      <w:lvlText w:val="o"/>
      <w:lvlJc w:val="left"/>
      <w:pPr>
        <w:tabs>
          <w:tab w:val="num" w:pos="1080"/>
        </w:tabs>
        <w:ind w:left="1080" w:hanging="360"/>
      </w:pPr>
      <w:rPr>
        <w:rFonts w:ascii="Courier New" w:hAnsi="Courier New" w:cs="Courier New"/>
        <w:color w:val="000000"/>
        <w:sz w:val="24"/>
        <w:szCs w:val="24"/>
      </w:rPr>
    </w:lvl>
    <w:lvl w:ilvl="2">
      <w:start w:val="1"/>
      <w:numFmt w:val="bullet"/>
      <w:lvlText w:val=""/>
      <w:lvlJc w:val="left"/>
      <w:pPr>
        <w:tabs>
          <w:tab w:val="num" w:pos="1800"/>
        </w:tabs>
        <w:ind w:left="1800" w:hanging="360"/>
      </w:pPr>
      <w:rPr>
        <w:rFonts w:ascii="Arial" w:hAnsi="Arial" w:cs="Arial"/>
        <w:color w:val="000000"/>
        <w:sz w:val="24"/>
        <w:szCs w:val="24"/>
      </w:rPr>
    </w:lvl>
    <w:lvl w:ilvl="3">
      <w:start w:val="1"/>
      <w:numFmt w:val="bullet"/>
      <w:lvlText w:val=""/>
      <w:lvlJc w:val="left"/>
      <w:pPr>
        <w:tabs>
          <w:tab w:val="num" w:pos="2520"/>
        </w:tabs>
        <w:ind w:left="2520" w:hanging="360"/>
      </w:pPr>
      <w:rPr>
        <w:rFonts w:ascii="Symbol" w:hAnsi="Symbol" w:cs="Symbol"/>
        <w:color w:val="000000"/>
        <w:sz w:val="24"/>
        <w:szCs w:val="24"/>
      </w:rPr>
    </w:lvl>
    <w:lvl w:ilvl="4">
      <w:start w:val="1"/>
      <w:numFmt w:val="bullet"/>
      <w:lvlText w:val="o"/>
      <w:lvlJc w:val="left"/>
      <w:pPr>
        <w:tabs>
          <w:tab w:val="num" w:pos="3240"/>
        </w:tabs>
        <w:ind w:left="3240" w:hanging="360"/>
      </w:pPr>
      <w:rPr>
        <w:rFonts w:ascii="Courier New" w:hAnsi="Courier New" w:cs="Courier New"/>
        <w:color w:val="000000"/>
        <w:sz w:val="24"/>
        <w:szCs w:val="24"/>
      </w:rPr>
    </w:lvl>
    <w:lvl w:ilvl="5">
      <w:start w:val="1"/>
      <w:numFmt w:val="bullet"/>
      <w:lvlText w:val=""/>
      <w:lvlJc w:val="left"/>
      <w:pPr>
        <w:tabs>
          <w:tab w:val="num" w:pos="3960"/>
        </w:tabs>
        <w:ind w:left="3960" w:hanging="360"/>
      </w:pPr>
      <w:rPr>
        <w:rFonts w:ascii="Arial" w:hAnsi="Arial" w:cs="Arial"/>
        <w:color w:val="000000"/>
        <w:sz w:val="24"/>
        <w:szCs w:val="24"/>
      </w:rPr>
    </w:lvl>
    <w:lvl w:ilvl="6">
      <w:start w:val="1"/>
      <w:numFmt w:val="bullet"/>
      <w:lvlText w:val=""/>
      <w:lvlJc w:val="left"/>
      <w:pPr>
        <w:tabs>
          <w:tab w:val="num" w:pos="4680"/>
        </w:tabs>
        <w:ind w:left="4680" w:hanging="360"/>
      </w:pPr>
      <w:rPr>
        <w:rFonts w:ascii="Symbol" w:hAnsi="Symbol" w:cs="Symbol"/>
        <w:color w:val="000000"/>
        <w:sz w:val="24"/>
        <w:szCs w:val="24"/>
      </w:rPr>
    </w:lvl>
    <w:lvl w:ilvl="7">
      <w:start w:val="1"/>
      <w:numFmt w:val="bullet"/>
      <w:lvlText w:val="o"/>
      <w:lvlJc w:val="left"/>
      <w:pPr>
        <w:tabs>
          <w:tab w:val="num" w:pos="5400"/>
        </w:tabs>
        <w:ind w:left="5400" w:hanging="360"/>
      </w:pPr>
      <w:rPr>
        <w:rFonts w:ascii="Courier New" w:hAnsi="Courier New" w:cs="Courier New"/>
        <w:color w:val="000000"/>
        <w:sz w:val="24"/>
        <w:szCs w:val="24"/>
      </w:rPr>
    </w:lvl>
    <w:lvl w:ilvl="8">
      <w:start w:val="1"/>
      <w:numFmt w:val="bullet"/>
      <w:lvlText w:val=""/>
      <w:lvlJc w:val="left"/>
      <w:pPr>
        <w:tabs>
          <w:tab w:val="num" w:pos="6120"/>
        </w:tabs>
        <w:ind w:left="6120" w:hanging="360"/>
      </w:pPr>
      <w:rPr>
        <w:rFonts w:ascii="Arial" w:hAnsi="Arial" w:cs="Arial"/>
        <w:color w:val="000000"/>
        <w:sz w:val="24"/>
        <w:szCs w:val="24"/>
      </w:rPr>
    </w:lvl>
  </w:abstractNum>
  <w:abstractNum w:abstractNumId="28" w15:restartNumberingAfterBreak="0">
    <w:nsid w:val="73973E07"/>
    <w:multiLevelType w:val="hybridMultilevel"/>
    <w:tmpl w:val="FFBA445C"/>
    <w:lvl w:ilvl="0" w:tplc="ECA64F2A">
      <w:start w:val="240"/>
      <w:numFmt w:val="bullet"/>
      <w:lvlText w:val=""/>
      <w:lvlJc w:val="left"/>
      <w:pPr>
        <w:ind w:left="720" w:hanging="360"/>
      </w:pPr>
      <w:rPr>
        <w:rFonts w:ascii="Wingdings" w:eastAsia="Wingdings" w:hAnsi="Wingdings" w:cs="Wingdings" w:hint="default"/>
        <w:w w:val="9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60BF1"/>
    <w:multiLevelType w:val="hybridMultilevel"/>
    <w:tmpl w:val="AADC2CE2"/>
    <w:lvl w:ilvl="0" w:tplc="11A2BE56">
      <w:start w:val="1"/>
      <w:numFmt w:val="bullet"/>
      <w:lvlText w:val=""/>
      <w:lvlJc w:val="left"/>
      <w:pPr>
        <w:ind w:left="720" w:hanging="360"/>
      </w:pPr>
      <w:rPr>
        <w:rFonts w:ascii="Symbol" w:hAnsi="Symbol" w:hint="default"/>
        <w:color w:val="auto"/>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68982594">
    <w:abstractNumId w:val="10"/>
  </w:num>
  <w:num w:numId="2" w16cid:durableId="106200199">
    <w:abstractNumId w:val="11"/>
  </w:num>
  <w:num w:numId="3" w16cid:durableId="930747532">
    <w:abstractNumId w:val="12"/>
  </w:num>
  <w:num w:numId="4" w16cid:durableId="935868265">
    <w:abstractNumId w:val="13"/>
  </w:num>
  <w:num w:numId="5" w16cid:durableId="2063361883">
    <w:abstractNumId w:val="14"/>
  </w:num>
  <w:num w:numId="6" w16cid:durableId="1738354326">
    <w:abstractNumId w:val="15"/>
  </w:num>
  <w:num w:numId="7" w16cid:durableId="1153066089">
    <w:abstractNumId w:val="16"/>
  </w:num>
  <w:num w:numId="8" w16cid:durableId="1685594971">
    <w:abstractNumId w:val="17"/>
  </w:num>
  <w:num w:numId="9" w16cid:durableId="1693725590">
    <w:abstractNumId w:val="27"/>
  </w:num>
  <w:num w:numId="10" w16cid:durableId="1577127201">
    <w:abstractNumId w:val="19"/>
  </w:num>
  <w:num w:numId="11" w16cid:durableId="1549493730">
    <w:abstractNumId w:val="18"/>
  </w:num>
  <w:num w:numId="12" w16cid:durableId="1210655288">
    <w:abstractNumId w:val="9"/>
  </w:num>
  <w:num w:numId="13" w16cid:durableId="2142069308">
    <w:abstractNumId w:val="7"/>
  </w:num>
  <w:num w:numId="14" w16cid:durableId="847410571">
    <w:abstractNumId w:val="6"/>
  </w:num>
  <w:num w:numId="15" w16cid:durableId="1430858243">
    <w:abstractNumId w:val="5"/>
  </w:num>
  <w:num w:numId="16" w16cid:durableId="392585897">
    <w:abstractNumId w:val="4"/>
  </w:num>
  <w:num w:numId="17" w16cid:durableId="167450442">
    <w:abstractNumId w:val="8"/>
  </w:num>
  <w:num w:numId="18" w16cid:durableId="2130008548">
    <w:abstractNumId w:val="3"/>
  </w:num>
  <w:num w:numId="19" w16cid:durableId="1694845810">
    <w:abstractNumId w:val="2"/>
  </w:num>
  <w:num w:numId="20" w16cid:durableId="823863242">
    <w:abstractNumId w:val="1"/>
  </w:num>
  <w:num w:numId="21" w16cid:durableId="1163668776">
    <w:abstractNumId w:val="0"/>
  </w:num>
  <w:num w:numId="22" w16cid:durableId="1845245200">
    <w:abstractNumId w:val="25"/>
  </w:num>
  <w:num w:numId="23" w16cid:durableId="1299990063">
    <w:abstractNumId w:val="21"/>
  </w:num>
  <w:num w:numId="24" w16cid:durableId="1638686779">
    <w:abstractNumId w:val="22"/>
  </w:num>
  <w:num w:numId="25" w16cid:durableId="2140224598">
    <w:abstractNumId w:val="26"/>
  </w:num>
  <w:num w:numId="26" w16cid:durableId="2062094644">
    <w:abstractNumId w:val="24"/>
  </w:num>
  <w:num w:numId="27" w16cid:durableId="1060403221">
    <w:abstractNumId w:val="23"/>
  </w:num>
  <w:num w:numId="28" w16cid:durableId="1234000339">
    <w:abstractNumId w:val="20"/>
  </w:num>
  <w:num w:numId="29" w16cid:durableId="1075857273">
    <w:abstractNumId w:val="29"/>
  </w:num>
  <w:num w:numId="30" w16cid:durableId="68513431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a Rocca">
    <w15:presenceInfo w15:providerId="AD" w15:userId="S::Daniela_Rocca@accord-healthcare.com::69b020e1-3298-40aa-8f32-657163b0e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es-ES" w:vendorID="64" w:dllVersion="4096" w:nlCheck="1" w:checkStyle="0"/>
  <w:activeWritingStyle w:appName="MSWord" w:lang="fr-CH" w:vendorID="64" w:dllVersion="4096" w:nlCheck="1" w:checkStyle="0"/>
  <w:activeWritingStyle w:appName="MSWord" w:lang="it-IT" w:vendorID="64" w:dllVersion="6" w:nlCheck="1" w:checkStyle="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de-CH" w:vendorID="64" w:dllVersion="6" w:nlCheck="1" w:checkStyle="0"/>
  <w:activeWritingStyle w:appName="MSWord" w:lang="de-CH" w:vendorID="64" w:dllVersion="0" w:nlCheck="1" w:checkStyle="0"/>
  <w:activeWritingStyle w:appName="MSWord" w:lang="fr-CH" w:vendorID="64" w:dllVersion="0" w:nlCheck="1" w:checkStyle="0"/>
  <w:activeWritingStyle w:appName="MSWord" w:lang="es-ES_tradnl" w:vendorID="64" w:dllVersion="6" w:nlCheck="1" w:checkStyle="0"/>
  <w:activeWritingStyle w:appName="MSWord" w:lang="es-ES" w:vendorID="64" w:dllVersion="6" w:nlCheck="1" w:checkStyle="0"/>
  <w:activeWritingStyle w:appName="MSWord" w:lang="es-ES_tradnl" w:vendorID="64" w:dllVersion="0" w:nlCheck="1" w:checkStyle="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283"/>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CB0904-822C-4C17-9FAC-AD1CD90B58DB}"/>
    <w:docVar w:name="dgnword-eventsink" w:val="376189504"/>
  </w:docVars>
  <w:rsids>
    <w:rsidRoot w:val="00717A16"/>
    <w:rsid w:val="00002FDD"/>
    <w:rsid w:val="00004356"/>
    <w:rsid w:val="00004BDD"/>
    <w:rsid w:val="00011BEF"/>
    <w:rsid w:val="00015752"/>
    <w:rsid w:val="00021C48"/>
    <w:rsid w:val="000253A1"/>
    <w:rsid w:val="0003227C"/>
    <w:rsid w:val="00037164"/>
    <w:rsid w:val="000447DD"/>
    <w:rsid w:val="00045D16"/>
    <w:rsid w:val="00051016"/>
    <w:rsid w:val="00051F2E"/>
    <w:rsid w:val="00056CC2"/>
    <w:rsid w:val="00064DD8"/>
    <w:rsid w:val="000668C2"/>
    <w:rsid w:val="000674CF"/>
    <w:rsid w:val="00085297"/>
    <w:rsid w:val="000865ED"/>
    <w:rsid w:val="00091830"/>
    <w:rsid w:val="00095981"/>
    <w:rsid w:val="000975D9"/>
    <w:rsid w:val="000A0406"/>
    <w:rsid w:val="000A556B"/>
    <w:rsid w:val="000A669B"/>
    <w:rsid w:val="000A712C"/>
    <w:rsid w:val="000B733C"/>
    <w:rsid w:val="000B7439"/>
    <w:rsid w:val="000B745C"/>
    <w:rsid w:val="000D271C"/>
    <w:rsid w:val="000D42E5"/>
    <w:rsid w:val="000D7499"/>
    <w:rsid w:val="000E0857"/>
    <w:rsid w:val="000F1285"/>
    <w:rsid w:val="000F6362"/>
    <w:rsid w:val="000F6D8B"/>
    <w:rsid w:val="000F747A"/>
    <w:rsid w:val="000F786A"/>
    <w:rsid w:val="000F7A15"/>
    <w:rsid w:val="000F7DCF"/>
    <w:rsid w:val="00100121"/>
    <w:rsid w:val="00104240"/>
    <w:rsid w:val="00105E03"/>
    <w:rsid w:val="00107284"/>
    <w:rsid w:val="0011369A"/>
    <w:rsid w:val="00122544"/>
    <w:rsid w:val="00134B47"/>
    <w:rsid w:val="00136B35"/>
    <w:rsid w:val="00140455"/>
    <w:rsid w:val="00154222"/>
    <w:rsid w:val="00155445"/>
    <w:rsid w:val="00156088"/>
    <w:rsid w:val="0015651B"/>
    <w:rsid w:val="00156F9D"/>
    <w:rsid w:val="00157A56"/>
    <w:rsid w:val="001618F1"/>
    <w:rsid w:val="00163455"/>
    <w:rsid w:val="00163D51"/>
    <w:rsid w:val="00165256"/>
    <w:rsid w:val="00171073"/>
    <w:rsid w:val="00172CD1"/>
    <w:rsid w:val="00174864"/>
    <w:rsid w:val="00180876"/>
    <w:rsid w:val="00181A89"/>
    <w:rsid w:val="001853E8"/>
    <w:rsid w:val="00190823"/>
    <w:rsid w:val="00190C7E"/>
    <w:rsid w:val="00192F6A"/>
    <w:rsid w:val="001A1F58"/>
    <w:rsid w:val="001A7E40"/>
    <w:rsid w:val="001B57CD"/>
    <w:rsid w:val="001C1A00"/>
    <w:rsid w:val="001C46BD"/>
    <w:rsid w:val="001D39D9"/>
    <w:rsid w:val="001D5652"/>
    <w:rsid w:val="001E196B"/>
    <w:rsid w:val="001E575A"/>
    <w:rsid w:val="001E601D"/>
    <w:rsid w:val="001F380C"/>
    <w:rsid w:val="001F4A3E"/>
    <w:rsid w:val="001F59B4"/>
    <w:rsid w:val="00203C09"/>
    <w:rsid w:val="002109A0"/>
    <w:rsid w:val="00210D7C"/>
    <w:rsid w:val="00211C6A"/>
    <w:rsid w:val="0021452D"/>
    <w:rsid w:val="00216B45"/>
    <w:rsid w:val="00217E0B"/>
    <w:rsid w:val="00220B05"/>
    <w:rsid w:val="00224DF8"/>
    <w:rsid w:val="00226E1D"/>
    <w:rsid w:val="00231C6F"/>
    <w:rsid w:val="0023477A"/>
    <w:rsid w:val="00242C1C"/>
    <w:rsid w:val="00246B12"/>
    <w:rsid w:val="00251DAE"/>
    <w:rsid w:val="0025209B"/>
    <w:rsid w:val="00252DA2"/>
    <w:rsid w:val="0025300A"/>
    <w:rsid w:val="00253D7D"/>
    <w:rsid w:val="00264478"/>
    <w:rsid w:val="00267167"/>
    <w:rsid w:val="002673F6"/>
    <w:rsid w:val="002707FA"/>
    <w:rsid w:val="002723E3"/>
    <w:rsid w:val="002729D1"/>
    <w:rsid w:val="00275A92"/>
    <w:rsid w:val="002765CA"/>
    <w:rsid w:val="00277770"/>
    <w:rsid w:val="00281B77"/>
    <w:rsid w:val="002865D3"/>
    <w:rsid w:val="002953BF"/>
    <w:rsid w:val="00296FD4"/>
    <w:rsid w:val="002A3BFD"/>
    <w:rsid w:val="002A4312"/>
    <w:rsid w:val="002A5ACA"/>
    <w:rsid w:val="002A76E2"/>
    <w:rsid w:val="002B5C6A"/>
    <w:rsid w:val="002B776A"/>
    <w:rsid w:val="002C151F"/>
    <w:rsid w:val="002D0C81"/>
    <w:rsid w:val="002D35A3"/>
    <w:rsid w:val="002E2337"/>
    <w:rsid w:val="002E29AB"/>
    <w:rsid w:val="002E558F"/>
    <w:rsid w:val="002F06BF"/>
    <w:rsid w:val="002F72CD"/>
    <w:rsid w:val="003012A2"/>
    <w:rsid w:val="00303FA0"/>
    <w:rsid w:val="00305A4D"/>
    <w:rsid w:val="00310811"/>
    <w:rsid w:val="003137AA"/>
    <w:rsid w:val="00324D2B"/>
    <w:rsid w:val="00327D20"/>
    <w:rsid w:val="00332561"/>
    <w:rsid w:val="00334954"/>
    <w:rsid w:val="00337F02"/>
    <w:rsid w:val="0034285F"/>
    <w:rsid w:val="00342BD4"/>
    <w:rsid w:val="00346BC5"/>
    <w:rsid w:val="00363FBD"/>
    <w:rsid w:val="00365105"/>
    <w:rsid w:val="0036708A"/>
    <w:rsid w:val="00367C5A"/>
    <w:rsid w:val="003724A8"/>
    <w:rsid w:val="00382C56"/>
    <w:rsid w:val="0038380F"/>
    <w:rsid w:val="00393E28"/>
    <w:rsid w:val="003979DB"/>
    <w:rsid w:val="00397B6C"/>
    <w:rsid w:val="003B0C36"/>
    <w:rsid w:val="003B1FAC"/>
    <w:rsid w:val="003B251D"/>
    <w:rsid w:val="003B7F5F"/>
    <w:rsid w:val="003C38A7"/>
    <w:rsid w:val="003D1021"/>
    <w:rsid w:val="003D4ECF"/>
    <w:rsid w:val="003D5A30"/>
    <w:rsid w:val="003E0DB7"/>
    <w:rsid w:val="003E24DE"/>
    <w:rsid w:val="003E5098"/>
    <w:rsid w:val="003E5859"/>
    <w:rsid w:val="003E5ED2"/>
    <w:rsid w:val="00401AF8"/>
    <w:rsid w:val="0041058C"/>
    <w:rsid w:val="00411518"/>
    <w:rsid w:val="0041261C"/>
    <w:rsid w:val="004213A6"/>
    <w:rsid w:val="00431420"/>
    <w:rsid w:val="004367F3"/>
    <w:rsid w:val="0043778A"/>
    <w:rsid w:val="00446A4B"/>
    <w:rsid w:val="0045064D"/>
    <w:rsid w:val="00450DFE"/>
    <w:rsid w:val="004559E7"/>
    <w:rsid w:val="00457DB0"/>
    <w:rsid w:val="0046084A"/>
    <w:rsid w:val="00460D72"/>
    <w:rsid w:val="00464D62"/>
    <w:rsid w:val="00465938"/>
    <w:rsid w:val="004663F0"/>
    <w:rsid w:val="00466411"/>
    <w:rsid w:val="00470283"/>
    <w:rsid w:val="004716FE"/>
    <w:rsid w:val="004775BC"/>
    <w:rsid w:val="00477BA2"/>
    <w:rsid w:val="00480DFF"/>
    <w:rsid w:val="004A27B9"/>
    <w:rsid w:val="004A7699"/>
    <w:rsid w:val="004B05BB"/>
    <w:rsid w:val="004B79A0"/>
    <w:rsid w:val="004C4AAC"/>
    <w:rsid w:val="004C68E6"/>
    <w:rsid w:val="004D3AF2"/>
    <w:rsid w:val="004D44F4"/>
    <w:rsid w:val="004D5BE4"/>
    <w:rsid w:val="004D618E"/>
    <w:rsid w:val="004D6A9D"/>
    <w:rsid w:val="004E194F"/>
    <w:rsid w:val="004F663A"/>
    <w:rsid w:val="004F7C4C"/>
    <w:rsid w:val="005010FD"/>
    <w:rsid w:val="0050249A"/>
    <w:rsid w:val="0050720E"/>
    <w:rsid w:val="00510D98"/>
    <w:rsid w:val="00510DC3"/>
    <w:rsid w:val="005116DF"/>
    <w:rsid w:val="0051175A"/>
    <w:rsid w:val="005123A6"/>
    <w:rsid w:val="00520700"/>
    <w:rsid w:val="005328A7"/>
    <w:rsid w:val="0053580D"/>
    <w:rsid w:val="005369D1"/>
    <w:rsid w:val="005477D4"/>
    <w:rsid w:val="005501E9"/>
    <w:rsid w:val="00551940"/>
    <w:rsid w:val="00553750"/>
    <w:rsid w:val="0055529F"/>
    <w:rsid w:val="0057555B"/>
    <w:rsid w:val="00580516"/>
    <w:rsid w:val="00585785"/>
    <w:rsid w:val="005917C0"/>
    <w:rsid w:val="00591DA3"/>
    <w:rsid w:val="005A71B4"/>
    <w:rsid w:val="005B2AB9"/>
    <w:rsid w:val="005B7263"/>
    <w:rsid w:val="005C0222"/>
    <w:rsid w:val="005C5A0B"/>
    <w:rsid w:val="005C7976"/>
    <w:rsid w:val="005D71BF"/>
    <w:rsid w:val="005E1510"/>
    <w:rsid w:val="005E206F"/>
    <w:rsid w:val="005E48E7"/>
    <w:rsid w:val="005F0009"/>
    <w:rsid w:val="005F5C20"/>
    <w:rsid w:val="006002FB"/>
    <w:rsid w:val="00605A62"/>
    <w:rsid w:val="00622741"/>
    <w:rsid w:val="00623D4D"/>
    <w:rsid w:val="006240DD"/>
    <w:rsid w:val="00624BD7"/>
    <w:rsid w:val="00630CAF"/>
    <w:rsid w:val="006341A6"/>
    <w:rsid w:val="0064082C"/>
    <w:rsid w:val="00642A3B"/>
    <w:rsid w:val="00644D39"/>
    <w:rsid w:val="006517E5"/>
    <w:rsid w:val="00655F09"/>
    <w:rsid w:val="00655F2E"/>
    <w:rsid w:val="00655FEF"/>
    <w:rsid w:val="00656926"/>
    <w:rsid w:val="006570B7"/>
    <w:rsid w:val="0065715E"/>
    <w:rsid w:val="00660854"/>
    <w:rsid w:val="00665917"/>
    <w:rsid w:val="00666AB3"/>
    <w:rsid w:val="00671D0B"/>
    <w:rsid w:val="006727D9"/>
    <w:rsid w:val="00673CE1"/>
    <w:rsid w:val="00673D82"/>
    <w:rsid w:val="00675E5A"/>
    <w:rsid w:val="00682AA2"/>
    <w:rsid w:val="00690145"/>
    <w:rsid w:val="00690D04"/>
    <w:rsid w:val="0069120E"/>
    <w:rsid w:val="006919EA"/>
    <w:rsid w:val="006947CF"/>
    <w:rsid w:val="00694D51"/>
    <w:rsid w:val="006970DF"/>
    <w:rsid w:val="006974C3"/>
    <w:rsid w:val="006A5997"/>
    <w:rsid w:val="006A7AFE"/>
    <w:rsid w:val="006B0D46"/>
    <w:rsid w:val="006B64DF"/>
    <w:rsid w:val="006C4D11"/>
    <w:rsid w:val="006D12B9"/>
    <w:rsid w:val="006D131B"/>
    <w:rsid w:val="006D79EB"/>
    <w:rsid w:val="006E0F21"/>
    <w:rsid w:val="006E1A6D"/>
    <w:rsid w:val="006E6D71"/>
    <w:rsid w:val="006F00B8"/>
    <w:rsid w:val="006F442C"/>
    <w:rsid w:val="007021FB"/>
    <w:rsid w:val="00706317"/>
    <w:rsid w:val="00717840"/>
    <w:rsid w:val="00717A16"/>
    <w:rsid w:val="007205E1"/>
    <w:rsid w:val="0072263F"/>
    <w:rsid w:val="00723195"/>
    <w:rsid w:val="00726D4A"/>
    <w:rsid w:val="00726F5A"/>
    <w:rsid w:val="0074509E"/>
    <w:rsid w:val="00745953"/>
    <w:rsid w:val="00745D8D"/>
    <w:rsid w:val="0074786F"/>
    <w:rsid w:val="0074787D"/>
    <w:rsid w:val="00750E18"/>
    <w:rsid w:val="0075363A"/>
    <w:rsid w:val="0075565D"/>
    <w:rsid w:val="00756193"/>
    <w:rsid w:val="00764D80"/>
    <w:rsid w:val="00767B82"/>
    <w:rsid w:val="00770785"/>
    <w:rsid w:val="00770859"/>
    <w:rsid w:val="00770E70"/>
    <w:rsid w:val="00773573"/>
    <w:rsid w:val="00774839"/>
    <w:rsid w:val="00775447"/>
    <w:rsid w:val="007835EA"/>
    <w:rsid w:val="00786559"/>
    <w:rsid w:val="007866E5"/>
    <w:rsid w:val="00787971"/>
    <w:rsid w:val="00791E3B"/>
    <w:rsid w:val="007A3760"/>
    <w:rsid w:val="007A4DED"/>
    <w:rsid w:val="007B1053"/>
    <w:rsid w:val="007B2951"/>
    <w:rsid w:val="007B72F1"/>
    <w:rsid w:val="007C1FB9"/>
    <w:rsid w:val="007C3F27"/>
    <w:rsid w:val="007C7365"/>
    <w:rsid w:val="007D055B"/>
    <w:rsid w:val="007D19D6"/>
    <w:rsid w:val="007D60DA"/>
    <w:rsid w:val="007D6DA0"/>
    <w:rsid w:val="0080003A"/>
    <w:rsid w:val="00803279"/>
    <w:rsid w:val="00805D0F"/>
    <w:rsid w:val="0080671A"/>
    <w:rsid w:val="0081291B"/>
    <w:rsid w:val="00815250"/>
    <w:rsid w:val="00823AF5"/>
    <w:rsid w:val="008240DA"/>
    <w:rsid w:val="008262DF"/>
    <w:rsid w:val="00826BE0"/>
    <w:rsid w:val="00840BC4"/>
    <w:rsid w:val="00850435"/>
    <w:rsid w:val="00853041"/>
    <w:rsid w:val="00853548"/>
    <w:rsid w:val="0086307D"/>
    <w:rsid w:val="008657A3"/>
    <w:rsid w:val="00865BB1"/>
    <w:rsid w:val="00866FCE"/>
    <w:rsid w:val="00871356"/>
    <w:rsid w:val="008738B5"/>
    <w:rsid w:val="00876320"/>
    <w:rsid w:val="00877306"/>
    <w:rsid w:val="008858B1"/>
    <w:rsid w:val="00886EB8"/>
    <w:rsid w:val="00890238"/>
    <w:rsid w:val="00890A58"/>
    <w:rsid w:val="00890F4D"/>
    <w:rsid w:val="00893A42"/>
    <w:rsid w:val="00894E0E"/>
    <w:rsid w:val="008A31D8"/>
    <w:rsid w:val="008A363D"/>
    <w:rsid w:val="008A45D9"/>
    <w:rsid w:val="008A4D89"/>
    <w:rsid w:val="008B31C1"/>
    <w:rsid w:val="008B382D"/>
    <w:rsid w:val="008B6BC3"/>
    <w:rsid w:val="008C0A74"/>
    <w:rsid w:val="008C229B"/>
    <w:rsid w:val="008C4012"/>
    <w:rsid w:val="008C61EE"/>
    <w:rsid w:val="008C6458"/>
    <w:rsid w:val="008D6F90"/>
    <w:rsid w:val="008F12CB"/>
    <w:rsid w:val="008F4FD6"/>
    <w:rsid w:val="009040B1"/>
    <w:rsid w:val="00907372"/>
    <w:rsid w:val="00913219"/>
    <w:rsid w:val="0092164B"/>
    <w:rsid w:val="00933D9B"/>
    <w:rsid w:val="00941CDA"/>
    <w:rsid w:val="00956FBA"/>
    <w:rsid w:val="00957F2E"/>
    <w:rsid w:val="009626AE"/>
    <w:rsid w:val="00964129"/>
    <w:rsid w:val="0097089C"/>
    <w:rsid w:val="00971BD1"/>
    <w:rsid w:val="00972DC3"/>
    <w:rsid w:val="0097489F"/>
    <w:rsid w:val="00977806"/>
    <w:rsid w:val="009805CE"/>
    <w:rsid w:val="0098357B"/>
    <w:rsid w:val="009854D9"/>
    <w:rsid w:val="00985ED7"/>
    <w:rsid w:val="00986E78"/>
    <w:rsid w:val="00996D70"/>
    <w:rsid w:val="009A3123"/>
    <w:rsid w:val="009A33DB"/>
    <w:rsid w:val="009A7530"/>
    <w:rsid w:val="009A76FB"/>
    <w:rsid w:val="009B3744"/>
    <w:rsid w:val="009B56E0"/>
    <w:rsid w:val="009C2FE4"/>
    <w:rsid w:val="009D20CA"/>
    <w:rsid w:val="009D4239"/>
    <w:rsid w:val="009D5A25"/>
    <w:rsid w:val="009D5C2B"/>
    <w:rsid w:val="009D66D4"/>
    <w:rsid w:val="009D6DEF"/>
    <w:rsid w:val="009D765F"/>
    <w:rsid w:val="009D7B46"/>
    <w:rsid w:val="009E0E66"/>
    <w:rsid w:val="009F7F4F"/>
    <w:rsid w:val="00A0294C"/>
    <w:rsid w:val="00A13269"/>
    <w:rsid w:val="00A169AD"/>
    <w:rsid w:val="00A2349B"/>
    <w:rsid w:val="00A25D11"/>
    <w:rsid w:val="00A25DDC"/>
    <w:rsid w:val="00A26384"/>
    <w:rsid w:val="00A320A1"/>
    <w:rsid w:val="00A46637"/>
    <w:rsid w:val="00A4692F"/>
    <w:rsid w:val="00A51586"/>
    <w:rsid w:val="00A53382"/>
    <w:rsid w:val="00A5486F"/>
    <w:rsid w:val="00A56ACF"/>
    <w:rsid w:val="00A57650"/>
    <w:rsid w:val="00A61F9B"/>
    <w:rsid w:val="00A65AA6"/>
    <w:rsid w:val="00A677B1"/>
    <w:rsid w:val="00A71524"/>
    <w:rsid w:val="00A73696"/>
    <w:rsid w:val="00A737D0"/>
    <w:rsid w:val="00A83BA2"/>
    <w:rsid w:val="00A8638D"/>
    <w:rsid w:val="00A93EED"/>
    <w:rsid w:val="00AA213B"/>
    <w:rsid w:val="00AA30FA"/>
    <w:rsid w:val="00AB1EAC"/>
    <w:rsid w:val="00AB2512"/>
    <w:rsid w:val="00AB403F"/>
    <w:rsid w:val="00AB49E7"/>
    <w:rsid w:val="00AB4EA7"/>
    <w:rsid w:val="00AB77AB"/>
    <w:rsid w:val="00AC349E"/>
    <w:rsid w:val="00AC77E9"/>
    <w:rsid w:val="00AD209B"/>
    <w:rsid w:val="00AD6097"/>
    <w:rsid w:val="00AE2875"/>
    <w:rsid w:val="00AE3AA8"/>
    <w:rsid w:val="00AE494F"/>
    <w:rsid w:val="00AF133F"/>
    <w:rsid w:val="00AF33BE"/>
    <w:rsid w:val="00AF5A5F"/>
    <w:rsid w:val="00B00570"/>
    <w:rsid w:val="00B16945"/>
    <w:rsid w:val="00B17C78"/>
    <w:rsid w:val="00B22A85"/>
    <w:rsid w:val="00B41B6F"/>
    <w:rsid w:val="00B43793"/>
    <w:rsid w:val="00B44CCD"/>
    <w:rsid w:val="00B50ECB"/>
    <w:rsid w:val="00B524DC"/>
    <w:rsid w:val="00B53290"/>
    <w:rsid w:val="00B6445B"/>
    <w:rsid w:val="00B663F0"/>
    <w:rsid w:val="00B71892"/>
    <w:rsid w:val="00B74655"/>
    <w:rsid w:val="00B751CA"/>
    <w:rsid w:val="00B76385"/>
    <w:rsid w:val="00B805FF"/>
    <w:rsid w:val="00B86130"/>
    <w:rsid w:val="00B90ECF"/>
    <w:rsid w:val="00B95831"/>
    <w:rsid w:val="00B976E6"/>
    <w:rsid w:val="00BA1AAB"/>
    <w:rsid w:val="00BA236A"/>
    <w:rsid w:val="00BA272B"/>
    <w:rsid w:val="00BA2A6A"/>
    <w:rsid w:val="00BA541F"/>
    <w:rsid w:val="00BC0F89"/>
    <w:rsid w:val="00BC1861"/>
    <w:rsid w:val="00BC2BD0"/>
    <w:rsid w:val="00BC41EE"/>
    <w:rsid w:val="00BE11C8"/>
    <w:rsid w:val="00BE136F"/>
    <w:rsid w:val="00BE551C"/>
    <w:rsid w:val="00BE75FA"/>
    <w:rsid w:val="00BF0007"/>
    <w:rsid w:val="00C021ED"/>
    <w:rsid w:val="00C04768"/>
    <w:rsid w:val="00C061CA"/>
    <w:rsid w:val="00C10E12"/>
    <w:rsid w:val="00C1280C"/>
    <w:rsid w:val="00C16273"/>
    <w:rsid w:val="00C2047D"/>
    <w:rsid w:val="00C20842"/>
    <w:rsid w:val="00C24C33"/>
    <w:rsid w:val="00C30EE7"/>
    <w:rsid w:val="00C3145D"/>
    <w:rsid w:val="00C314DA"/>
    <w:rsid w:val="00C316EE"/>
    <w:rsid w:val="00C33E3B"/>
    <w:rsid w:val="00C437BC"/>
    <w:rsid w:val="00C43850"/>
    <w:rsid w:val="00C43F6C"/>
    <w:rsid w:val="00C532A5"/>
    <w:rsid w:val="00C55D34"/>
    <w:rsid w:val="00C6772A"/>
    <w:rsid w:val="00C70B32"/>
    <w:rsid w:val="00C8481F"/>
    <w:rsid w:val="00C913CA"/>
    <w:rsid w:val="00C934D8"/>
    <w:rsid w:val="00C949FF"/>
    <w:rsid w:val="00C960CF"/>
    <w:rsid w:val="00CA64EE"/>
    <w:rsid w:val="00CA667A"/>
    <w:rsid w:val="00CB279F"/>
    <w:rsid w:val="00CB5435"/>
    <w:rsid w:val="00CC0148"/>
    <w:rsid w:val="00CC4760"/>
    <w:rsid w:val="00CE0F20"/>
    <w:rsid w:val="00CE1C95"/>
    <w:rsid w:val="00CF52EB"/>
    <w:rsid w:val="00CF6995"/>
    <w:rsid w:val="00D04D5D"/>
    <w:rsid w:val="00D052CA"/>
    <w:rsid w:val="00D10168"/>
    <w:rsid w:val="00D10D6A"/>
    <w:rsid w:val="00D16CD5"/>
    <w:rsid w:val="00D2746B"/>
    <w:rsid w:val="00D35457"/>
    <w:rsid w:val="00D35E2B"/>
    <w:rsid w:val="00D40841"/>
    <w:rsid w:val="00D4143B"/>
    <w:rsid w:val="00D44966"/>
    <w:rsid w:val="00D46724"/>
    <w:rsid w:val="00D50C00"/>
    <w:rsid w:val="00D60AD6"/>
    <w:rsid w:val="00D61721"/>
    <w:rsid w:val="00D61BAD"/>
    <w:rsid w:val="00D6378E"/>
    <w:rsid w:val="00D66313"/>
    <w:rsid w:val="00D8334D"/>
    <w:rsid w:val="00D85EA1"/>
    <w:rsid w:val="00D9064C"/>
    <w:rsid w:val="00D939DF"/>
    <w:rsid w:val="00D9640A"/>
    <w:rsid w:val="00D96F59"/>
    <w:rsid w:val="00D9745F"/>
    <w:rsid w:val="00D97A9F"/>
    <w:rsid w:val="00DA4C45"/>
    <w:rsid w:val="00DA6816"/>
    <w:rsid w:val="00DB1E8D"/>
    <w:rsid w:val="00DB2352"/>
    <w:rsid w:val="00DB3EBF"/>
    <w:rsid w:val="00DD69E9"/>
    <w:rsid w:val="00DD6A1D"/>
    <w:rsid w:val="00DE2B11"/>
    <w:rsid w:val="00DE3932"/>
    <w:rsid w:val="00DE441E"/>
    <w:rsid w:val="00DE5DB8"/>
    <w:rsid w:val="00DE738E"/>
    <w:rsid w:val="00DE7A7B"/>
    <w:rsid w:val="00DF57F7"/>
    <w:rsid w:val="00E01490"/>
    <w:rsid w:val="00E141A1"/>
    <w:rsid w:val="00E21A0A"/>
    <w:rsid w:val="00E25469"/>
    <w:rsid w:val="00E266A3"/>
    <w:rsid w:val="00E2719D"/>
    <w:rsid w:val="00E27626"/>
    <w:rsid w:val="00E30C64"/>
    <w:rsid w:val="00E313B7"/>
    <w:rsid w:val="00E34FEC"/>
    <w:rsid w:val="00E366ED"/>
    <w:rsid w:val="00E43E44"/>
    <w:rsid w:val="00E5124C"/>
    <w:rsid w:val="00E5688B"/>
    <w:rsid w:val="00E57471"/>
    <w:rsid w:val="00E66BCA"/>
    <w:rsid w:val="00E67142"/>
    <w:rsid w:val="00E674FC"/>
    <w:rsid w:val="00E67E4D"/>
    <w:rsid w:val="00E758AE"/>
    <w:rsid w:val="00E75BFD"/>
    <w:rsid w:val="00E75E4E"/>
    <w:rsid w:val="00E8510F"/>
    <w:rsid w:val="00E90D80"/>
    <w:rsid w:val="00E91670"/>
    <w:rsid w:val="00EA279B"/>
    <w:rsid w:val="00EB212B"/>
    <w:rsid w:val="00EB4FB1"/>
    <w:rsid w:val="00EB5CB9"/>
    <w:rsid w:val="00EB619A"/>
    <w:rsid w:val="00EC2498"/>
    <w:rsid w:val="00EC2AAE"/>
    <w:rsid w:val="00EC64F9"/>
    <w:rsid w:val="00ED17CD"/>
    <w:rsid w:val="00ED468C"/>
    <w:rsid w:val="00EE2F39"/>
    <w:rsid w:val="00EE6D4D"/>
    <w:rsid w:val="00EF064A"/>
    <w:rsid w:val="00EF1A9D"/>
    <w:rsid w:val="00EF31DF"/>
    <w:rsid w:val="00EF3E0A"/>
    <w:rsid w:val="00EF4044"/>
    <w:rsid w:val="00F00260"/>
    <w:rsid w:val="00F03990"/>
    <w:rsid w:val="00F065A4"/>
    <w:rsid w:val="00F171AF"/>
    <w:rsid w:val="00F23963"/>
    <w:rsid w:val="00F30083"/>
    <w:rsid w:val="00F3190C"/>
    <w:rsid w:val="00F37D13"/>
    <w:rsid w:val="00F423BD"/>
    <w:rsid w:val="00F429CD"/>
    <w:rsid w:val="00F4331B"/>
    <w:rsid w:val="00F43F6E"/>
    <w:rsid w:val="00F460A6"/>
    <w:rsid w:val="00F47B0E"/>
    <w:rsid w:val="00F53652"/>
    <w:rsid w:val="00F57613"/>
    <w:rsid w:val="00F615CC"/>
    <w:rsid w:val="00F6277E"/>
    <w:rsid w:val="00F631C8"/>
    <w:rsid w:val="00F65B10"/>
    <w:rsid w:val="00F67F5D"/>
    <w:rsid w:val="00F701F4"/>
    <w:rsid w:val="00F71777"/>
    <w:rsid w:val="00F7586C"/>
    <w:rsid w:val="00F77687"/>
    <w:rsid w:val="00F77731"/>
    <w:rsid w:val="00F86028"/>
    <w:rsid w:val="00F86232"/>
    <w:rsid w:val="00F94D60"/>
    <w:rsid w:val="00F96D6C"/>
    <w:rsid w:val="00FA3296"/>
    <w:rsid w:val="00FA7560"/>
    <w:rsid w:val="00FB2EF5"/>
    <w:rsid w:val="00FB6CB0"/>
    <w:rsid w:val="00FB7E66"/>
    <w:rsid w:val="00FC7AC5"/>
    <w:rsid w:val="00FD5C1D"/>
    <w:rsid w:val="00FD792E"/>
    <w:rsid w:val="00FD7E3B"/>
    <w:rsid w:val="00FE2394"/>
    <w:rsid w:val="00FF42AB"/>
    <w:rsid w:val="00FF5524"/>
    <w:rsid w:val="00FF7AF1"/>
    <w:rsid w:val="3A06084C"/>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1B911039"/>
  <w15:docId w15:val="{780A6E84-BEB0-4861-81AC-F8BAA53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FD"/>
    <w:pPr>
      <w:tabs>
        <w:tab w:val="left" w:pos="567"/>
      </w:tabs>
      <w:suppressAutoHyphens/>
    </w:pPr>
    <w:rPr>
      <w:sz w:val="22"/>
      <w:lang w:eastAsia="ar-SA"/>
    </w:rPr>
  </w:style>
  <w:style w:type="paragraph" w:styleId="Heading1">
    <w:name w:val="heading 1"/>
    <w:basedOn w:val="Normal"/>
    <w:next w:val="Normal"/>
    <w:link w:val="Heading1Char1"/>
    <w:qFormat/>
    <w:rsid w:val="00E75BFD"/>
    <w:pPr>
      <w:keepNext/>
      <w:numPr>
        <w:numId w:val="1"/>
      </w:numPr>
      <w:outlineLvl w:val="0"/>
    </w:pPr>
    <w:rPr>
      <w:b/>
      <w:bCs/>
      <w:kern w:val="1"/>
      <w:szCs w:val="32"/>
    </w:rPr>
  </w:style>
  <w:style w:type="paragraph" w:styleId="Heading2">
    <w:name w:val="heading 2"/>
    <w:basedOn w:val="Normal"/>
    <w:next w:val="BodyText"/>
    <w:qFormat/>
    <w:rsid w:val="00E75BFD"/>
    <w:pPr>
      <w:numPr>
        <w:ilvl w:val="1"/>
        <w:numId w:val="1"/>
      </w:numPr>
      <w:spacing w:before="100" w:after="100"/>
      <w:outlineLvl w:val="1"/>
    </w:pPr>
    <w:rPr>
      <w:b/>
      <w:bCs/>
      <w:sz w:val="36"/>
      <w:szCs w:val="36"/>
      <w:lang w:val="en-US"/>
    </w:rPr>
  </w:style>
  <w:style w:type="paragraph" w:styleId="Heading3">
    <w:name w:val="heading 3"/>
    <w:basedOn w:val="Normal"/>
    <w:next w:val="Normal"/>
    <w:qFormat/>
    <w:rsid w:val="00E75BFD"/>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75BFD"/>
    <w:pPr>
      <w:keepNext/>
      <w:spacing w:before="240" w:after="60"/>
      <w:outlineLvl w:val="3"/>
    </w:pPr>
    <w:rPr>
      <w:rFonts w:ascii="Calibri" w:hAnsi="Calibri"/>
      <w:b/>
      <w:bCs/>
      <w:sz w:val="28"/>
      <w:szCs w:val="28"/>
      <w:lang w:val="en-GB"/>
    </w:rPr>
  </w:style>
  <w:style w:type="paragraph" w:styleId="Heading5">
    <w:name w:val="heading 5"/>
    <w:basedOn w:val="Normal"/>
    <w:next w:val="Normal"/>
    <w:link w:val="Heading5Char"/>
    <w:uiPriority w:val="9"/>
    <w:semiHidden/>
    <w:unhideWhenUsed/>
    <w:qFormat/>
    <w:rsid w:val="00E75BFD"/>
    <w:pPr>
      <w:spacing w:before="240" w:after="60"/>
      <w:outlineLvl w:val="4"/>
    </w:pPr>
    <w:rPr>
      <w:rFonts w:ascii="Calibri" w:hAnsi="Calibri"/>
      <w:b/>
      <w:bCs/>
      <w:i/>
      <w:iCs/>
      <w:sz w:val="26"/>
      <w:szCs w:val="26"/>
      <w:lang w:val="en-GB"/>
    </w:rPr>
  </w:style>
  <w:style w:type="paragraph" w:styleId="Heading6">
    <w:name w:val="heading 6"/>
    <w:basedOn w:val="Normal"/>
    <w:next w:val="Normal"/>
    <w:link w:val="Heading6Char"/>
    <w:uiPriority w:val="9"/>
    <w:semiHidden/>
    <w:unhideWhenUsed/>
    <w:qFormat/>
    <w:rsid w:val="00E75BFD"/>
    <w:pPr>
      <w:spacing w:before="240" w:after="60"/>
      <w:outlineLvl w:val="5"/>
    </w:pPr>
    <w:rPr>
      <w:rFonts w:ascii="Calibri" w:hAnsi="Calibri"/>
      <w:b/>
      <w:bCs/>
      <w:szCs w:val="22"/>
      <w:lang w:val="en-GB"/>
    </w:rPr>
  </w:style>
  <w:style w:type="paragraph" w:styleId="Heading7">
    <w:name w:val="heading 7"/>
    <w:basedOn w:val="Normal"/>
    <w:next w:val="Normal"/>
    <w:link w:val="Heading7Char"/>
    <w:uiPriority w:val="9"/>
    <w:semiHidden/>
    <w:unhideWhenUsed/>
    <w:qFormat/>
    <w:rsid w:val="00E75BFD"/>
    <w:pPr>
      <w:spacing w:before="240" w:after="60"/>
      <w:outlineLvl w:val="6"/>
    </w:pPr>
    <w:rPr>
      <w:rFonts w:ascii="Calibri" w:hAnsi="Calibri"/>
      <w:sz w:val="24"/>
      <w:szCs w:val="24"/>
      <w:lang w:val="en-GB"/>
    </w:rPr>
  </w:style>
  <w:style w:type="paragraph" w:styleId="Heading8">
    <w:name w:val="heading 8"/>
    <w:basedOn w:val="Normal"/>
    <w:next w:val="Normal"/>
    <w:link w:val="Heading8Char"/>
    <w:uiPriority w:val="9"/>
    <w:semiHidden/>
    <w:unhideWhenUsed/>
    <w:qFormat/>
    <w:rsid w:val="00E75BFD"/>
    <w:pPr>
      <w:spacing w:before="240" w:after="60"/>
      <w:outlineLvl w:val="7"/>
    </w:pPr>
    <w:rPr>
      <w:rFonts w:ascii="Calibri" w:hAnsi="Calibri"/>
      <w:i/>
      <w:iCs/>
      <w:sz w:val="24"/>
      <w:szCs w:val="24"/>
      <w:lang w:val="en-GB"/>
    </w:rPr>
  </w:style>
  <w:style w:type="paragraph" w:styleId="Heading9">
    <w:name w:val="heading 9"/>
    <w:basedOn w:val="Normal"/>
    <w:next w:val="Normal"/>
    <w:link w:val="Heading9Char"/>
    <w:uiPriority w:val="9"/>
    <w:semiHidden/>
    <w:unhideWhenUsed/>
    <w:qFormat/>
    <w:rsid w:val="00E75BFD"/>
    <w:pPr>
      <w:spacing w:before="240" w:after="60"/>
      <w:outlineLvl w:val="8"/>
    </w:pPr>
    <w:rPr>
      <w:rFonts w:ascii="Cambria" w:hAnsi="Cambria"/>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E75BFD"/>
    <w:rPr>
      <w:rFonts w:ascii="OpenSymbol" w:hAnsi="OpenSymbol"/>
    </w:rPr>
  </w:style>
  <w:style w:type="character" w:customStyle="1" w:styleId="WW8Num3z0">
    <w:name w:val="WW8Num3z0"/>
    <w:rsid w:val="00E75BFD"/>
    <w:rPr>
      <w:rFonts w:ascii="Times New Roman" w:eastAsia="Times New Roman" w:hAnsi="Times New Roman" w:cs="Times New Roman"/>
      <w:b/>
      <w:sz w:val="22"/>
    </w:rPr>
  </w:style>
  <w:style w:type="character" w:customStyle="1" w:styleId="WW8Num4z0">
    <w:name w:val="WW8Num4z0"/>
    <w:rsid w:val="00E75BFD"/>
    <w:rPr>
      <w:rFonts w:ascii="Wingdings" w:eastAsia="Times New Roman" w:hAnsi="Wingdings" w:cs="Times New Roman"/>
    </w:rPr>
  </w:style>
  <w:style w:type="character" w:customStyle="1" w:styleId="WW8Num5z0">
    <w:name w:val="WW8Num5z0"/>
    <w:rsid w:val="00E75BFD"/>
    <w:rPr>
      <w:rFonts w:ascii="Wingdings" w:hAnsi="Wingdings"/>
    </w:rPr>
  </w:style>
  <w:style w:type="character" w:customStyle="1" w:styleId="WW8Num6z0">
    <w:name w:val="WW8Num6z0"/>
    <w:rsid w:val="00E75BFD"/>
    <w:rPr>
      <w:rFonts w:ascii="OpenSymbol" w:hAnsi="OpenSymbol"/>
    </w:rPr>
  </w:style>
  <w:style w:type="character" w:customStyle="1" w:styleId="WW8Num7z0">
    <w:name w:val="WW8Num7z0"/>
    <w:rsid w:val="00E75BFD"/>
    <w:rPr>
      <w:rFonts w:ascii="Wingdings" w:hAnsi="Wingdings"/>
    </w:rPr>
  </w:style>
  <w:style w:type="character" w:customStyle="1" w:styleId="WW8Num8z0">
    <w:name w:val="WW8Num8z0"/>
    <w:rsid w:val="00E75BFD"/>
    <w:rPr>
      <w:rFonts w:ascii="OpenSymbol" w:hAnsi="OpenSymbol"/>
    </w:rPr>
  </w:style>
  <w:style w:type="character" w:customStyle="1" w:styleId="Absatz-Standardschriftart">
    <w:name w:val="Absatz-Standardschriftart"/>
    <w:rsid w:val="00E75BFD"/>
  </w:style>
  <w:style w:type="character" w:customStyle="1" w:styleId="WW-Absatz-Standardschriftart">
    <w:name w:val="WW-Absatz-Standardschriftart"/>
    <w:rsid w:val="00E75BFD"/>
  </w:style>
  <w:style w:type="character" w:customStyle="1" w:styleId="WW-Absatz-Standardschriftart1">
    <w:name w:val="WW-Absatz-Standardschriftart1"/>
    <w:rsid w:val="00E75BFD"/>
  </w:style>
  <w:style w:type="character" w:customStyle="1" w:styleId="WW8Num2z1">
    <w:name w:val="WW8Num2z1"/>
    <w:rsid w:val="00E75BFD"/>
    <w:rPr>
      <w:rFonts w:ascii="Courier New" w:hAnsi="Courier New" w:cs="Courier New"/>
    </w:rPr>
  </w:style>
  <w:style w:type="character" w:customStyle="1" w:styleId="WW8Num2z2">
    <w:name w:val="WW8Num2z2"/>
    <w:rsid w:val="00E75BFD"/>
    <w:rPr>
      <w:rFonts w:ascii="Wingdings" w:hAnsi="Wingdings"/>
    </w:rPr>
  </w:style>
  <w:style w:type="character" w:customStyle="1" w:styleId="WW8Num2z3">
    <w:name w:val="WW8Num2z3"/>
    <w:rsid w:val="00E75BFD"/>
    <w:rPr>
      <w:rFonts w:ascii="Symbol" w:hAnsi="Symbol"/>
    </w:rPr>
  </w:style>
  <w:style w:type="character" w:customStyle="1" w:styleId="WW8Num3z1">
    <w:name w:val="WW8Num3z1"/>
    <w:rsid w:val="00E75BFD"/>
    <w:rPr>
      <w:rFonts w:ascii="Courier New" w:hAnsi="Courier New" w:cs="Courier New"/>
    </w:rPr>
  </w:style>
  <w:style w:type="character" w:customStyle="1" w:styleId="WW8Num3z2">
    <w:name w:val="WW8Num3z2"/>
    <w:rsid w:val="00E75BFD"/>
    <w:rPr>
      <w:rFonts w:ascii="Wingdings" w:hAnsi="Wingdings"/>
    </w:rPr>
  </w:style>
  <w:style w:type="character" w:customStyle="1" w:styleId="WW8Num3z3">
    <w:name w:val="WW8Num3z3"/>
    <w:rsid w:val="00E75BFD"/>
    <w:rPr>
      <w:rFonts w:ascii="Symbol" w:hAnsi="Symbol"/>
    </w:rPr>
  </w:style>
  <w:style w:type="character" w:customStyle="1" w:styleId="WW8Num4z1">
    <w:name w:val="WW8Num4z1"/>
    <w:rsid w:val="00E75BFD"/>
    <w:rPr>
      <w:rFonts w:ascii="Courier New" w:hAnsi="Courier New" w:cs="Courier New"/>
    </w:rPr>
  </w:style>
  <w:style w:type="character" w:customStyle="1" w:styleId="WW8Num4z2">
    <w:name w:val="WW8Num4z2"/>
    <w:rsid w:val="00E75BFD"/>
    <w:rPr>
      <w:rFonts w:ascii="Wingdings" w:hAnsi="Wingdings"/>
    </w:rPr>
  </w:style>
  <w:style w:type="character" w:customStyle="1" w:styleId="WW8Num4z3">
    <w:name w:val="WW8Num4z3"/>
    <w:rsid w:val="00E75BFD"/>
    <w:rPr>
      <w:rFonts w:ascii="Symbol" w:hAnsi="Symbol"/>
    </w:rPr>
  </w:style>
  <w:style w:type="character" w:customStyle="1" w:styleId="WW8Num6z1">
    <w:name w:val="WW8Num6z1"/>
    <w:rsid w:val="00E75BFD"/>
    <w:rPr>
      <w:rFonts w:ascii="Courier New" w:hAnsi="Courier New" w:cs="Courier New"/>
    </w:rPr>
  </w:style>
  <w:style w:type="character" w:customStyle="1" w:styleId="WW8Num6z2">
    <w:name w:val="WW8Num6z2"/>
    <w:rsid w:val="00E75BFD"/>
    <w:rPr>
      <w:rFonts w:ascii="Wingdings" w:hAnsi="Wingdings"/>
    </w:rPr>
  </w:style>
  <w:style w:type="character" w:customStyle="1" w:styleId="WW8Num6z3">
    <w:name w:val="WW8Num6z3"/>
    <w:rsid w:val="00E75BFD"/>
    <w:rPr>
      <w:rFonts w:ascii="Symbol" w:hAnsi="Symbol"/>
    </w:rPr>
  </w:style>
  <w:style w:type="character" w:customStyle="1" w:styleId="WW8Num7z1">
    <w:name w:val="WW8Num7z1"/>
    <w:rsid w:val="00E75BFD"/>
    <w:rPr>
      <w:rFonts w:ascii="Courier New" w:hAnsi="Courier New" w:cs="Courier New"/>
    </w:rPr>
  </w:style>
  <w:style w:type="character" w:customStyle="1" w:styleId="WW8Num7z3">
    <w:name w:val="WW8Num7z3"/>
    <w:rsid w:val="00E75BFD"/>
    <w:rPr>
      <w:rFonts w:ascii="Symbol" w:hAnsi="Symbol"/>
    </w:rPr>
  </w:style>
  <w:style w:type="character" w:customStyle="1" w:styleId="WW8Num8z1">
    <w:name w:val="WW8Num8z1"/>
    <w:rsid w:val="00E75BFD"/>
    <w:rPr>
      <w:rFonts w:ascii="Courier New" w:hAnsi="Courier New" w:cs="Courier New"/>
    </w:rPr>
  </w:style>
  <w:style w:type="character" w:customStyle="1" w:styleId="WW8Num8z2">
    <w:name w:val="WW8Num8z2"/>
    <w:rsid w:val="00E75BFD"/>
    <w:rPr>
      <w:rFonts w:ascii="Wingdings" w:hAnsi="Wingdings"/>
    </w:rPr>
  </w:style>
  <w:style w:type="character" w:customStyle="1" w:styleId="WW8Num8z3">
    <w:name w:val="WW8Num8z3"/>
    <w:rsid w:val="00E75BFD"/>
    <w:rPr>
      <w:rFonts w:ascii="Symbol" w:hAnsi="Symbol"/>
    </w:rPr>
  </w:style>
  <w:style w:type="character" w:customStyle="1" w:styleId="WW8Num9z1">
    <w:name w:val="WW8Num9z1"/>
    <w:rsid w:val="00E75BFD"/>
    <w:rPr>
      <w:rFonts w:ascii="Courier New" w:hAnsi="Courier New" w:cs="Courier New"/>
    </w:rPr>
  </w:style>
  <w:style w:type="character" w:customStyle="1" w:styleId="WW8Num9z2">
    <w:name w:val="WW8Num9z2"/>
    <w:rsid w:val="00E75BFD"/>
    <w:rPr>
      <w:rFonts w:ascii="Wingdings" w:hAnsi="Wingdings"/>
    </w:rPr>
  </w:style>
  <w:style w:type="character" w:customStyle="1" w:styleId="WW8Num9z3">
    <w:name w:val="WW8Num9z3"/>
    <w:rsid w:val="00E75BFD"/>
    <w:rPr>
      <w:rFonts w:ascii="Symbol" w:hAnsi="Symbol"/>
    </w:rPr>
  </w:style>
  <w:style w:type="character" w:customStyle="1" w:styleId="WW8Num10z1">
    <w:name w:val="WW8Num10z1"/>
    <w:rsid w:val="00E75BFD"/>
    <w:rPr>
      <w:rFonts w:ascii="Courier New" w:hAnsi="Courier New" w:cs="Courier New"/>
    </w:rPr>
  </w:style>
  <w:style w:type="character" w:customStyle="1" w:styleId="WW8Num10z2">
    <w:name w:val="WW8Num10z2"/>
    <w:rsid w:val="00E75BFD"/>
    <w:rPr>
      <w:rFonts w:ascii="Wingdings" w:hAnsi="Wingdings"/>
    </w:rPr>
  </w:style>
  <w:style w:type="character" w:customStyle="1" w:styleId="WW8Num10z3">
    <w:name w:val="WW8Num10z3"/>
    <w:rsid w:val="00E75BFD"/>
    <w:rPr>
      <w:rFonts w:ascii="Symbol" w:hAnsi="Symbol"/>
    </w:rPr>
  </w:style>
  <w:style w:type="character" w:customStyle="1" w:styleId="WW8Num11z0">
    <w:name w:val="WW8Num11z0"/>
    <w:rsid w:val="00E75BFD"/>
    <w:rPr>
      <w:rFonts w:ascii="Symbol" w:hAnsi="Symbol"/>
    </w:rPr>
  </w:style>
  <w:style w:type="character" w:customStyle="1" w:styleId="WW8Num11z1">
    <w:name w:val="WW8Num11z1"/>
    <w:rsid w:val="00E75BFD"/>
    <w:rPr>
      <w:rFonts w:ascii="Courier New" w:hAnsi="Courier New" w:cs="Courier New"/>
    </w:rPr>
  </w:style>
  <w:style w:type="character" w:customStyle="1" w:styleId="WW8Num11z2">
    <w:name w:val="WW8Num11z2"/>
    <w:rsid w:val="00E75BFD"/>
    <w:rPr>
      <w:rFonts w:ascii="Wingdings" w:hAnsi="Wingdings"/>
    </w:rPr>
  </w:style>
  <w:style w:type="character" w:styleId="PageNumber">
    <w:name w:val="page number"/>
    <w:basedOn w:val="DefaultParagraphFont"/>
    <w:rsid w:val="00E75BFD"/>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
    <w:rsid w:val="00E75BFD"/>
    <w:rPr>
      <w:color w:val="0000FF"/>
      <w:u w:val="single"/>
    </w:rPr>
  </w:style>
  <w:style w:type="character" w:customStyle="1" w:styleId="BodytextAgencyChar">
    <w:name w:val="Body text (Agency) Char"/>
    <w:rsid w:val="00E75BFD"/>
    <w:rPr>
      <w:rFonts w:ascii="Verdana" w:eastAsia="Verdana" w:hAnsi="Verdana" w:cs="Verdana"/>
      <w:sz w:val="18"/>
      <w:szCs w:val="18"/>
      <w:lang w:val="en-GB" w:eastAsia="ar-SA" w:bidi="ar-SA"/>
    </w:rPr>
  </w:style>
  <w:style w:type="character" w:customStyle="1" w:styleId="DraftingNotesAgencyChar">
    <w:name w:val="Drafting Notes (Agency) Char"/>
    <w:rsid w:val="00E75BFD"/>
    <w:rPr>
      <w:rFonts w:ascii="Courier New" w:eastAsia="Verdana" w:hAnsi="Courier New"/>
      <w:i/>
      <w:color w:val="339966"/>
      <w:sz w:val="22"/>
      <w:szCs w:val="18"/>
      <w:lang w:val="en-GB" w:eastAsia="ar-SA" w:bidi="ar-SA"/>
    </w:rPr>
  </w:style>
  <w:style w:type="character" w:customStyle="1" w:styleId="NormalAgencyChar">
    <w:name w:val="Normal (Agency) Char"/>
    <w:rsid w:val="00E75BFD"/>
    <w:rPr>
      <w:rFonts w:ascii="Verdana" w:eastAsia="Verdana" w:hAnsi="Verdana" w:cs="Verdana"/>
      <w:sz w:val="18"/>
      <w:szCs w:val="18"/>
      <w:lang w:val="en-GB" w:eastAsia="ar-SA" w:bidi="ar-SA"/>
    </w:rPr>
  </w:style>
  <w:style w:type="character" w:styleId="CommentReference">
    <w:name w:val="annotation reference"/>
    <w:rsid w:val="00E75BFD"/>
    <w:rPr>
      <w:sz w:val="16"/>
      <w:szCs w:val="16"/>
    </w:rPr>
  </w:style>
  <w:style w:type="character" w:customStyle="1" w:styleId="CommentTextChar">
    <w:name w:val="Comment Text Char"/>
    <w:rsid w:val="00E75BFD"/>
    <w:rPr>
      <w:rFonts w:eastAsia="Times New Roman"/>
    </w:rPr>
  </w:style>
  <w:style w:type="character" w:customStyle="1" w:styleId="CommentSubjectChar">
    <w:name w:val="Comment Subject Char"/>
    <w:rsid w:val="00E75BFD"/>
    <w:rPr>
      <w:rFonts w:eastAsia="Times New Roman"/>
      <w:b/>
      <w:bCs/>
    </w:rPr>
  </w:style>
  <w:style w:type="character" w:customStyle="1" w:styleId="Heading2Char">
    <w:name w:val="Heading 2 Char"/>
    <w:rsid w:val="00E75BFD"/>
    <w:rPr>
      <w:rFonts w:eastAsia="Times New Roman"/>
      <w:b/>
      <w:bCs/>
      <w:sz w:val="36"/>
      <w:szCs w:val="36"/>
      <w:lang w:val="en-US"/>
    </w:rPr>
  </w:style>
  <w:style w:type="character" w:customStyle="1" w:styleId="Heading3Char">
    <w:name w:val="Heading 3 Char"/>
    <w:rsid w:val="00E75BFD"/>
    <w:rPr>
      <w:rFonts w:ascii="Cambria" w:eastAsia="Times New Roman" w:hAnsi="Cambria" w:cs="Times New Roman"/>
      <w:b/>
      <w:bCs/>
      <w:sz w:val="26"/>
      <w:szCs w:val="26"/>
    </w:rPr>
  </w:style>
  <w:style w:type="character" w:customStyle="1" w:styleId="Heading1Char">
    <w:name w:val="Heading 1 Char"/>
    <w:rsid w:val="00E75BFD"/>
    <w:rPr>
      <w:rFonts w:eastAsia="Times New Roman" w:cs="Times New Roman"/>
      <w:b/>
      <w:bCs/>
      <w:kern w:val="1"/>
      <w:sz w:val="22"/>
      <w:szCs w:val="32"/>
    </w:rPr>
  </w:style>
  <w:style w:type="character" w:styleId="Emphasis">
    <w:name w:val="Emphasis"/>
    <w:qFormat/>
    <w:rsid w:val="00E75BFD"/>
    <w:rPr>
      <w:i/>
      <w:iCs/>
    </w:rPr>
  </w:style>
  <w:style w:type="character" w:customStyle="1" w:styleId="st">
    <w:name w:val="st"/>
    <w:basedOn w:val="DefaultParagraphFont"/>
    <w:rsid w:val="00E75BFD"/>
  </w:style>
  <w:style w:type="character" w:customStyle="1" w:styleId="tw4winTerm">
    <w:name w:val="tw4winTerm"/>
    <w:rsid w:val="00E75BFD"/>
    <w:rPr>
      <w:color w:val="0000FF"/>
    </w:rPr>
  </w:style>
  <w:style w:type="character" w:customStyle="1" w:styleId="PlainTextChar">
    <w:name w:val="Plain Text Char"/>
    <w:rsid w:val="00E75BFD"/>
    <w:rPr>
      <w:rFonts w:ascii="Consolas" w:eastAsia="Calibri" w:hAnsi="Consolas"/>
      <w:sz w:val="21"/>
      <w:szCs w:val="21"/>
    </w:rPr>
  </w:style>
  <w:style w:type="character" w:styleId="LineNumber">
    <w:name w:val="line number"/>
    <w:basedOn w:val="DefaultParagraphFont"/>
    <w:rsid w:val="00E75BFD"/>
  </w:style>
  <w:style w:type="paragraph" w:customStyle="1" w:styleId="Heading">
    <w:name w:val="Heading"/>
    <w:basedOn w:val="Normal"/>
    <w:next w:val="BodyText"/>
    <w:rsid w:val="00E75BFD"/>
    <w:pPr>
      <w:keepNext/>
      <w:spacing w:before="240" w:after="120"/>
    </w:pPr>
    <w:rPr>
      <w:rFonts w:ascii="Times" w:eastAsia="DejaVu Sans" w:hAnsi="Times" w:cs="DejaVu Sans"/>
      <w:sz w:val="28"/>
      <w:szCs w:val="28"/>
    </w:rPr>
  </w:style>
  <w:style w:type="paragraph" w:styleId="BodyText">
    <w:name w:val="Body Text"/>
    <w:basedOn w:val="Normal"/>
    <w:link w:val="BodyTextChar"/>
    <w:rsid w:val="00E75BFD"/>
    <w:rPr>
      <w:i/>
      <w:color w:val="008000"/>
      <w:lang w:val="en-GB"/>
    </w:rPr>
  </w:style>
  <w:style w:type="paragraph" w:styleId="List">
    <w:name w:val="List"/>
    <w:basedOn w:val="BodyText"/>
    <w:rsid w:val="00E75BFD"/>
    <w:rPr>
      <w:rFonts w:ascii="Times" w:hAnsi="Times"/>
    </w:rPr>
  </w:style>
  <w:style w:type="paragraph" w:styleId="Caption">
    <w:name w:val="caption"/>
    <w:basedOn w:val="Normal"/>
    <w:qFormat/>
    <w:rsid w:val="00E75BFD"/>
    <w:pPr>
      <w:suppressLineNumbers/>
      <w:spacing w:before="120" w:after="120"/>
    </w:pPr>
    <w:rPr>
      <w:rFonts w:ascii="Times" w:hAnsi="Times"/>
      <w:i/>
      <w:iCs/>
      <w:sz w:val="24"/>
      <w:szCs w:val="24"/>
    </w:rPr>
  </w:style>
  <w:style w:type="paragraph" w:customStyle="1" w:styleId="Index">
    <w:name w:val="Index"/>
    <w:basedOn w:val="Normal"/>
    <w:rsid w:val="00E75BFD"/>
    <w:pPr>
      <w:suppressLineNumbers/>
    </w:pPr>
    <w:rPr>
      <w:rFonts w:ascii="Times" w:hAnsi="Times"/>
    </w:rPr>
  </w:style>
  <w:style w:type="paragraph" w:styleId="Footer">
    <w:name w:val="footer"/>
    <w:basedOn w:val="Normal"/>
    <w:rsid w:val="00E75BFD"/>
    <w:pPr>
      <w:tabs>
        <w:tab w:val="center" w:pos="4536"/>
        <w:tab w:val="right" w:pos="8306"/>
      </w:tabs>
    </w:pPr>
    <w:rPr>
      <w:rFonts w:ascii="Arial" w:hAnsi="Arial"/>
      <w:sz w:val="16"/>
      <w:lang w:val="en-US"/>
    </w:rPr>
  </w:style>
  <w:style w:type="paragraph" w:styleId="Header">
    <w:name w:val="header"/>
    <w:basedOn w:val="Normal"/>
    <w:rsid w:val="00E75BFD"/>
    <w:pPr>
      <w:tabs>
        <w:tab w:val="center" w:pos="4153"/>
        <w:tab w:val="right" w:pos="8306"/>
      </w:tabs>
    </w:pPr>
    <w:rPr>
      <w:rFonts w:ascii="Arial" w:hAnsi="Arial"/>
      <w:sz w:val="20"/>
    </w:rPr>
  </w:style>
  <w:style w:type="paragraph" w:customStyle="1" w:styleId="MemoHeaderStyle">
    <w:name w:val="MemoHeaderStyle"/>
    <w:basedOn w:val="Normal"/>
    <w:next w:val="Normal"/>
    <w:rsid w:val="00E75BFD"/>
    <w:pPr>
      <w:spacing w:line="120" w:lineRule="atLeast"/>
      <w:ind w:left="1418"/>
      <w:jc w:val="both"/>
    </w:pPr>
    <w:rPr>
      <w:rFonts w:ascii="Arial" w:hAnsi="Arial"/>
      <w:b/>
      <w:smallCaps/>
    </w:rPr>
  </w:style>
  <w:style w:type="paragraph" w:styleId="CommentText">
    <w:name w:val="annotation text"/>
    <w:aliases w:val="Comments,Comment Text Char2,Comment Text Char1 Char1,Comment Text Char Char Char1,Comment Text Char1 Char Char,Comment Text Char Char Char Char,Comment Text Char Char1 Char,Comment Text Char Char2,Annotationtext, Char,Char, Cha,Cha,Char1"/>
    <w:basedOn w:val="Normal"/>
    <w:link w:val="CommentTextChar1"/>
    <w:qFormat/>
    <w:rsid w:val="00510DC3"/>
    <w:rPr>
      <w:sz w:val="20"/>
    </w:rPr>
  </w:style>
  <w:style w:type="paragraph" w:customStyle="1" w:styleId="EMEAEnBodyText">
    <w:name w:val="EMEA En Body Text"/>
    <w:basedOn w:val="Normal"/>
    <w:rsid w:val="00E75BFD"/>
    <w:pPr>
      <w:spacing w:before="120" w:after="120"/>
      <w:jc w:val="both"/>
    </w:pPr>
    <w:rPr>
      <w:lang w:val="en-US"/>
    </w:rPr>
  </w:style>
  <w:style w:type="paragraph" w:styleId="BalloonText">
    <w:name w:val="Balloon Text"/>
    <w:basedOn w:val="Normal"/>
    <w:rsid w:val="00E75BFD"/>
    <w:rPr>
      <w:rFonts w:ascii="Tahoma" w:hAnsi="Tahoma" w:cs="Tahoma"/>
      <w:sz w:val="16"/>
      <w:szCs w:val="16"/>
    </w:rPr>
  </w:style>
  <w:style w:type="paragraph" w:customStyle="1" w:styleId="BodytextAgency">
    <w:name w:val="Body text (Agency)"/>
    <w:basedOn w:val="Normal"/>
    <w:qFormat/>
    <w:rsid w:val="00E75BFD"/>
    <w:pPr>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rsid w:val="00E75BFD"/>
    <w:pPr>
      <w:spacing w:after="140" w:line="280" w:lineRule="atLeast"/>
    </w:pPr>
    <w:rPr>
      <w:rFonts w:ascii="Courier New" w:eastAsia="Verdana" w:hAnsi="Courier New"/>
      <w:i/>
      <w:color w:val="339966"/>
      <w:szCs w:val="18"/>
    </w:rPr>
  </w:style>
  <w:style w:type="paragraph" w:customStyle="1" w:styleId="NormalAgency">
    <w:name w:val="Normal (Agency)"/>
    <w:rsid w:val="00E75BFD"/>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rsid w:val="00E75BFD"/>
    <w:pPr>
      <w:keepNext/>
    </w:pPr>
    <w:rPr>
      <w:rFonts w:eastAsia="Times New Roman"/>
      <w:b/>
    </w:rPr>
  </w:style>
  <w:style w:type="paragraph" w:customStyle="1" w:styleId="TabletextrowsAgency">
    <w:name w:val="Table text rows (Agency)"/>
    <w:basedOn w:val="Normal"/>
    <w:rsid w:val="00E75BFD"/>
    <w:pPr>
      <w:spacing w:line="280" w:lineRule="exact"/>
    </w:pPr>
    <w:rPr>
      <w:rFonts w:ascii="Verdana" w:hAnsi="Verdana" w:cs="Verdana"/>
      <w:sz w:val="18"/>
      <w:szCs w:val="18"/>
    </w:rPr>
  </w:style>
  <w:style w:type="paragraph" w:styleId="CommentSubject">
    <w:name w:val="annotation subject"/>
    <w:basedOn w:val="CommentText"/>
    <w:next w:val="CommentText"/>
    <w:rsid w:val="00E75BFD"/>
    <w:rPr>
      <w:b/>
      <w:bCs/>
    </w:rPr>
  </w:style>
  <w:style w:type="paragraph" w:customStyle="1" w:styleId="GTCBodyText">
    <w:name w:val="GTC Body Text"/>
    <w:basedOn w:val="Normal"/>
    <w:rsid w:val="00E75BFD"/>
    <w:pPr>
      <w:spacing w:before="240" w:after="240" w:line="300" w:lineRule="auto"/>
      <w:jc w:val="both"/>
    </w:pPr>
    <w:rPr>
      <w:sz w:val="24"/>
      <w:szCs w:val="24"/>
      <w:lang w:val="en-US"/>
    </w:rPr>
  </w:style>
  <w:style w:type="paragraph" w:styleId="Revision">
    <w:name w:val="Revision"/>
    <w:rsid w:val="00E75BFD"/>
    <w:pPr>
      <w:suppressAutoHyphens/>
    </w:pPr>
    <w:rPr>
      <w:sz w:val="22"/>
      <w:lang w:val="en-GB" w:eastAsia="ar-SA"/>
    </w:rPr>
  </w:style>
  <w:style w:type="paragraph" w:customStyle="1" w:styleId="WW-Default">
    <w:name w:val="WW-Default"/>
    <w:rsid w:val="00E75BFD"/>
    <w:pPr>
      <w:suppressAutoHyphens/>
      <w:autoSpaceDE w:val="0"/>
    </w:pPr>
    <w:rPr>
      <w:rFonts w:eastAsia="SimSun"/>
      <w:color w:val="000000"/>
      <w:sz w:val="24"/>
      <w:szCs w:val="24"/>
      <w:lang w:val="en-GB" w:eastAsia="ar-SA"/>
    </w:rPr>
  </w:style>
  <w:style w:type="character" w:customStyle="1" w:styleId="HeadingUnderlinedChar">
    <w:name w:val="Heading Underlined Char"/>
    <w:link w:val="HeadingUnderlined"/>
    <w:locked/>
    <w:rsid w:val="00E75BFD"/>
    <w:rPr>
      <w:sz w:val="22"/>
      <w:szCs w:val="22"/>
      <w:u w:val="single"/>
      <w:lang w:eastAsia="zh-CN"/>
    </w:rPr>
  </w:style>
  <w:style w:type="paragraph" w:styleId="ListParagraph">
    <w:name w:val="List Paragraph"/>
    <w:basedOn w:val="Normal"/>
    <w:uiPriority w:val="34"/>
    <w:qFormat/>
    <w:rsid w:val="00E75BFD"/>
    <w:pPr>
      <w:ind w:left="720"/>
    </w:pPr>
  </w:style>
  <w:style w:type="paragraph" w:styleId="NormalWeb">
    <w:name w:val="Normal (Web)"/>
    <w:basedOn w:val="Normal"/>
    <w:rsid w:val="00E75BFD"/>
    <w:pPr>
      <w:spacing w:before="100" w:after="75"/>
    </w:pPr>
    <w:rPr>
      <w:color w:val="000000"/>
      <w:sz w:val="24"/>
      <w:szCs w:val="24"/>
    </w:rPr>
  </w:style>
  <w:style w:type="paragraph" w:styleId="PlainText">
    <w:name w:val="Plain Text"/>
    <w:basedOn w:val="Normal"/>
    <w:rsid w:val="00E75BFD"/>
    <w:rPr>
      <w:rFonts w:ascii="Consolas" w:eastAsia="Calibri" w:hAnsi="Consolas"/>
      <w:sz w:val="21"/>
      <w:szCs w:val="21"/>
    </w:rPr>
  </w:style>
  <w:style w:type="paragraph" w:customStyle="1" w:styleId="TableContents">
    <w:name w:val="Table Contents"/>
    <w:basedOn w:val="Normal"/>
    <w:rsid w:val="00E75BFD"/>
    <w:pPr>
      <w:suppressLineNumbers/>
    </w:pPr>
  </w:style>
  <w:style w:type="paragraph" w:customStyle="1" w:styleId="TableHeading">
    <w:name w:val="Table Heading"/>
    <w:basedOn w:val="TableContents"/>
    <w:rsid w:val="00E75BFD"/>
    <w:pPr>
      <w:jc w:val="center"/>
    </w:pPr>
    <w:rPr>
      <w:b/>
      <w:bCs/>
    </w:rPr>
  </w:style>
  <w:style w:type="paragraph" w:customStyle="1" w:styleId="TitleA">
    <w:name w:val="Title A"/>
    <w:basedOn w:val="Heading1"/>
    <w:link w:val="TitleAChar"/>
    <w:qFormat/>
    <w:rsid w:val="00E75BFD"/>
    <w:pPr>
      <w:keepNext w:val="0"/>
      <w:widowControl w:val="0"/>
      <w:jc w:val="center"/>
    </w:pPr>
    <w:rPr>
      <w:szCs w:val="22"/>
      <w:lang w:val="en-US"/>
    </w:rPr>
  </w:style>
  <w:style w:type="paragraph" w:styleId="Bibliography">
    <w:name w:val="Bibliography"/>
    <w:basedOn w:val="Normal"/>
    <w:next w:val="Normal"/>
    <w:uiPriority w:val="37"/>
    <w:semiHidden/>
    <w:unhideWhenUsed/>
    <w:rsid w:val="00E75BFD"/>
  </w:style>
  <w:style w:type="character" w:customStyle="1" w:styleId="Heading1Char1">
    <w:name w:val="Heading 1 Char1"/>
    <w:link w:val="Heading1"/>
    <w:rsid w:val="00E75BFD"/>
    <w:rPr>
      <w:b/>
      <w:bCs/>
      <w:kern w:val="1"/>
      <w:sz w:val="22"/>
      <w:szCs w:val="32"/>
      <w:lang w:eastAsia="ar-SA"/>
    </w:rPr>
  </w:style>
  <w:style w:type="character" w:customStyle="1" w:styleId="TitleAChar">
    <w:name w:val="Title A Char"/>
    <w:link w:val="TitleA"/>
    <w:rsid w:val="00E75BFD"/>
    <w:rPr>
      <w:b/>
      <w:bCs/>
      <w:kern w:val="1"/>
      <w:sz w:val="22"/>
      <w:szCs w:val="22"/>
      <w:lang w:val="en-US" w:eastAsia="ar-SA"/>
    </w:rPr>
  </w:style>
  <w:style w:type="paragraph" w:styleId="BlockText">
    <w:name w:val="Block Text"/>
    <w:basedOn w:val="Normal"/>
    <w:uiPriority w:val="99"/>
    <w:semiHidden/>
    <w:unhideWhenUsed/>
    <w:rsid w:val="00E75BFD"/>
    <w:pPr>
      <w:spacing w:after="120"/>
      <w:ind w:left="1440" w:right="1440"/>
    </w:pPr>
  </w:style>
  <w:style w:type="paragraph" w:styleId="BodyText2">
    <w:name w:val="Body Text 2"/>
    <w:basedOn w:val="Normal"/>
    <w:link w:val="BodyText2Char"/>
    <w:uiPriority w:val="99"/>
    <w:semiHidden/>
    <w:unhideWhenUsed/>
    <w:rsid w:val="00E75BFD"/>
    <w:pPr>
      <w:spacing w:after="120" w:line="480" w:lineRule="auto"/>
    </w:pPr>
    <w:rPr>
      <w:lang w:val="en-GB"/>
    </w:rPr>
  </w:style>
  <w:style w:type="character" w:customStyle="1" w:styleId="BodyText2Char">
    <w:name w:val="Body Text 2 Char"/>
    <w:link w:val="BodyText2"/>
    <w:uiPriority w:val="99"/>
    <w:semiHidden/>
    <w:rsid w:val="00E75BFD"/>
    <w:rPr>
      <w:sz w:val="22"/>
      <w:lang w:val="en-GB" w:eastAsia="ar-SA"/>
    </w:rPr>
  </w:style>
  <w:style w:type="paragraph" w:styleId="BodyText3">
    <w:name w:val="Body Text 3"/>
    <w:basedOn w:val="Normal"/>
    <w:link w:val="BodyText3Char"/>
    <w:uiPriority w:val="99"/>
    <w:semiHidden/>
    <w:unhideWhenUsed/>
    <w:rsid w:val="00E75BFD"/>
    <w:pPr>
      <w:spacing w:after="120"/>
    </w:pPr>
    <w:rPr>
      <w:sz w:val="16"/>
      <w:szCs w:val="16"/>
      <w:lang w:val="en-GB"/>
    </w:rPr>
  </w:style>
  <w:style w:type="character" w:customStyle="1" w:styleId="BodyText3Char">
    <w:name w:val="Body Text 3 Char"/>
    <w:link w:val="BodyText3"/>
    <w:uiPriority w:val="99"/>
    <w:semiHidden/>
    <w:rsid w:val="00E75BFD"/>
    <w:rPr>
      <w:sz w:val="16"/>
      <w:szCs w:val="16"/>
      <w:lang w:val="en-GB" w:eastAsia="ar-SA"/>
    </w:rPr>
  </w:style>
  <w:style w:type="paragraph" w:styleId="BodyTextFirstIndent">
    <w:name w:val="Body Text First Indent"/>
    <w:basedOn w:val="BodyText"/>
    <w:link w:val="BodyTextFirstIndentChar"/>
    <w:uiPriority w:val="99"/>
    <w:semiHidden/>
    <w:unhideWhenUsed/>
    <w:rsid w:val="00E75BFD"/>
    <w:pPr>
      <w:spacing w:after="120"/>
      <w:ind w:firstLine="210"/>
    </w:pPr>
    <w:rPr>
      <w:i w:val="0"/>
    </w:rPr>
  </w:style>
  <w:style w:type="character" w:customStyle="1" w:styleId="BodyTextChar">
    <w:name w:val="Body Text Char"/>
    <w:link w:val="BodyText"/>
    <w:rsid w:val="00E75BFD"/>
    <w:rPr>
      <w:i/>
      <w:color w:val="008000"/>
      <w:sz w:val="22"/>
      <w:lang w:val="en-GB" w:eastAsia="ar-SA"/>
    </w:rPr>
  </w:style>
  <w:style w:type="character" w:customStyle="1" w:styleId="BodyTextFirstIndentChar">
    <w:name w:val="Body Text First Indent Char"/>
    <w:link w:val="BodyTextFirstIndent"/>
    <w:uiPriority w:val="99"/>
    <w:semiHidden/>
    <w:rsid w:val="00E75BFD"/>
    <w:rPr>
      <w:i w:val="0"/>
      <w:color w:val="008000"/>
      <w:sz w:val="22"/>
      <w:lang w:val="en-GB" w:eastAsia="ar-SA"/>
    </w:rPr>
  </w:style>
  <w:style w:type="paragraph" w:styleId="BodyTextIndent">
    <w:name w:val="Body Text Indent"/>
    <w:basedOn w:val="Normal"/>
    <w:link w:val="BodyTextIndentChar"/>
    <w:uiPriority w:val="99"/>
    <w:semiHidden/>
    <w:unhideWhenUsed/>
    <w:rsid w:val="00E75BFD"/>
    <w:pPr>
      <w:spacing w:after="120"/>
      <w:ind w:left="283"/>
    </w:pPr>
    <w:rPr>
      <w:lang w:val="en-GB"/>
    </w:rPr>
  </w:style>
  <w:style w:type="character" w:customStyle="1" w:styleId="BodyTextIndentChar">
    <w:name w:val="Body Text Indent Char"/>
    <w:link w:val="BodyTextIndent"/>
    <w:uiPriority w:val="99"/>
    <w:semiHidden/>
    <w:rsid w:val="00E75BFD"/>
    <w:rPr>
      <w:sz w:val="22"/>
      <w:lang w:val="en-GB" w:eastAsia="ar-SA"/>
    </w:rPr>
  </w:style>
  <w:style w:type="paragraph" w:styleId="BodyTextFirstIndent2">
    <w:name w:val="Body Text First Indent 2"/>
    <w:basedOn w:val="BodyTextIndent"/>
    <w:link w:val="BodyTextFirstIndent2Char"/>
    <w:uiPriority w:val="99"/>
    <w:semiHidden/>
    <w:unhideWhenUsed/>
    <w:rsid w:val="00E75BFD"/>
    <w:pPr>
      <w:ind w:firstLine="210"/>
    </w:pPr>
  </w:style>
  <w:style w:type="character" w:customStyle="1" w:styleId="BodyTextFirstIndent2Char">
    <w:name w:val="Body Text First Indent 2 Char"/>
    <w:link w:val="BodyTextFirstIndent2"/>
    <w:uiPriority w:val="99"/>
    <w:semiHidden/>
    <w:rsid w:val="00E75BFD"/>
    <w:rPr>
      <w:sz w:val="22"/>
      <w:lang w:val="en-GB" w:eastAsia="ar-SA"/>
    </w:rPr>
  </w:style>
  <w:style w:type="paragraph" w:styleId="BodyTextIndent2">
    <w:name w:val="Body Text Indent 2"/>
    <w:basedOn w:val="Normal"/>
    <w:link w:val="BodyTextIndent2Char"/>
    <w:uiPriority w:val="99"/>
    <w:semiHidden/>
    <w:unhideWhenUsed/>
    <w:rsid w:val="00E75BFD"/>
    <w:pPr>
      <w:spacing w:after="120" w:line="480" w:lineRule="auto"/>
      <w:ind w:left="283"/>
    </w:pPr>
    <w:rPr>
      <w:lang w:val="en-GB"/>
    </w:rPr>
  </w:style>
  <w:style w:type="character" w:customStyle="1" w:styleId="BodyTextIndent2Char">
    <w:name w:val="Body Text Indent 2 Char"/>
    <w:link w:val="BodyTextIndent2"/>
    <w:uiPriority w:val="99"/>
    <w:semiHidden/>
    <w:rsid w:val="00E75BFD"/>
    <w:rPr>
      <w:sz w:val="22"/>
      <w:lang w:val="en-GB" w:eastAsia="ar-SA"/>
    </w:rPr>
  </w:style>
  <w:style w:type="paragraph" w:styleId="BodyTextIndent3">
    <w:name w:val="Body Text Indent 3"/>
    <w:basedOn w:val="Normal"/>
    <w:link w:val="BodyTextIndent3Char"/>
    <w:uiPriority w:val="99"/>
    <w:semiHidden/>
    <w:unhideWhenUsed/>
    <w:rsid w:val="00E75BFD"/>
    <w:pPr>
      <w:spacing w:after="120"/>
      <w:ind w:left="283"/>
    </w:pPr>
    <w:rPr>
      <w:sz w:val="16"/>
      <w:szCs w:val="16"/>
      <w:lang w:val="en-GB"/>
    </w:rPr>
  </w:style>
  <w:style w:type="character" w:customStyle="1" w:styleId="BodyTextIndent3Char">
    <w:name w:val="Body Text Indent 3 Char"/>
    <w:link w:val="BodyTextIndent3"/>
    <w:uiPriority w:val="99"/>
    <w:semiHidden/>
    <w:rsid w:val="00E75BFD"/>
    <w:rPr>
      <w:sz w:val="16"/>
      <w:szCs w:val="16"/>
      <w:lang w:val="en-GB" w:eastAsia="ar-SA"/>
    </w:rPr>
  </w:style>
  <w:style w:type="paragraph" w:styleId="Closing">
    <w:name w:val="Closing"/>
    <w:basedOn w:val="Normal"/>
    <w:link w:val="ClosingChar"/>
    <w:uiPriority w:val="99"/>
    <w:semiHidden/>
    <w:unhideWhenUsed/>
    <w:rsid w:val="00E75BFD"/>
    <w:pPr>
      <w:ind w:left="4252"/>
    </w:pPr>
    <w:rPr>
      <w:lang w:val="en-GB"/>
    </w:rPr>
  </w:style>
  <w:style w:type="character" w:customStyle="1" w:styleId="ClosingChar">
    <w:name w:val="Closing Char"/>
    <w:link w:val="Closing"/>
    <w:uiPriority w:val="99"/>
    <w:semiHidden/>
    <w:rsid w:val="00E75BFD"/>
    <w:rPr>
      <w:sz w:val="22"/>
      <w:lang w:val="en-GB" w:eastAsia="ar-SA"/>
    </w:rPr>
  </w:style>
  <w:style w:type="paragraph" w:styleId="Date">
    <w:name w:val="Date"/>
    <w:basedOn w:val="Normal"/>
    <w:next w:val="Normal"/>
    <w:link w:val="DateChar"/>
    <w:uiPriority w:val="99"/>
    <w:semiHidden/>
    <w:unhideWhenUsed/>
    <w:rsid w:val="00E75BFD"/>
    <w:rPr>
      <w:lang w:val="en-GB"/>
    </w:rPr>
  </w:style>
  <w:style w:type="character" w:customStyle="1" w:styleId="DateChar">
    <w:name w:val="Date Char"/>
    <w:link w:val="Date"/>
    <w:uiPriority w:val="99"/>
    <w:semiHidden/>
    <w:rsid w:val="00E75BFD"/>
    <w:rPr>
      <w:sz w:val="22"/>
      <w:lang w:val="en-GB" w:eastAsia="ar-SA"/>
    </w:rPr>
  </w:style>
  <w:style w:type="paragraph" w:styleId="DocumentMap">
    <w:name w:val="Document Map"/>
    <w:basedOn w:val="Normal"/>
    <w:link w:val="DocumentMapChar"/>
    <w:uiPriority w:val="99"/>
    <w:semiHidden/>
    <w:unhideWhenUsed/>
    <w:rsid w:val="00E75BFD"/>
    <w:rPr>
      <w:rFonts w:ascii="Tahoma" w:hAnsi="Tahoma"/>
      <w:sz w:val="16"/>
      <w:szCs w:val="16"/>
      <w:lang w:val="en-GB"/>
    </w:rPr>
  </w:style>
  <w:style w:type="character" w:customStyle="1" w:styleId="DocumentMapChar">
    <w:name w:val="Document Map Char"/>
    <w:link w:val="DocumentMap"/>
    <w:uiPriority w:val="99"/>
    <w:semiHidden/>
    <w:rsid w:val="00E75BFD"/>
    <w:rPr>
      <w:rFonts w:ascii="Tahoma" w:hAnsi="Tahoma" w:cs="Tahoma"/>
      <w:sz w:val="16"/>
      <w:szCs w:val="16"/>
      <w:lang w:val="en-GB" w:eastAsia="ar-SA"/>
    </w:rPr>
  </w:style>
  <w:style w:type="paragraph" w:styleId="E-mailSignature">
    <w:name w:val="E-mail Signature"/>
    <w:basedOn w:val="Normal"/>
    <w:link w:val="E-mailSignatureChar"/>
    <w:uiPriority w:val="99"/>
    <w:semiHidden/>
    <w:unhideWhenUsed/>
    <w:rsid w:val="00E75BFD"/>
    <w:rPr>
      <w:lang w:val="en-GB"/>
    </w:rPr>
  </w:style>
  <w:style w:type="character" w:customStyle="1" w:styleId="E-mailSignatureChar">
    <w:name w:val="E-mail Signature Char"/>
    <w:link w:val="E-mailSignature"/>
    <w:uiPriority w:val="99"/>
    <w:semiHidden/>
    <w:rsid w:val="00E75BFD"/>
    <w:rPr>
      <w:sz w:val="22"/>
      <w:lang w:val="en-GB" w:eastAsia="ar-SA"/>
    </w:rPr>
  </w:style>
  <w:style w:type="paragraph" w:styleId="EndnoteText">
    <w:name w:val="endnote text"/>
    <w:basedOn w:val="Normal"/>
    <w:link w:val="EndnoteTextChar"/>
    <w:uiPriority w:val="99"/>
    <w:semiHidden/>
    <w:unhideWhenUsed/>
    <w:rsid w:val="00E75BFD"/>
    <w:rPr>
      <w:sz w:val="20"/>
      <w:lang w:val="en-GB"/>
    </w:rPr>
  </w:style>
  <w:style w:type="character" w:customStyle="1" w:styleId="EndnoteTextChar">
    <w:name w:val="Endnote Text Char"/>
    <w:link w:val="EndnoteText"/>
    <w:uiPriority w:val="99"/>
    <w:semiHidden/>
    <w:rsid w:val="00E75BFD"/>
    <w:rPr>
      <w:lang w:val="en-GB" w:eastAsia="ar-SA"/>
    </w:rPr>
  </w:style>
  <w:style w:type="paragraph" w:styleId="EnvelopeAddress">
    <w:name w:val="envelope address"/>
    <w:basedOn w:val="Normal"/>
    <w:uiPriority w:val="99"/>
    <w:semiHidden/>
    <w:unhideWhenUsed/>
    <w:rsid w:val="00E75BF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E75BFD"/>
    <w:rPr>
      <w:rFonts w:ascii="Cambria" w:hAnsi="Cambria"/>
      <w:sz w:val="20"/>
    </w:rPr>
  </w:style>
  <w:style w:type="paragraph" w:styleId="FootnoteText">
    <w:name w:val="footnote text"/>
    <w:basedOn w:val="Normal"/>
    <w:link w:val="FootnoteTextChar"/>
    <w:uiPriority w:val="99"/>
    <w:semiHidden/>
    <w:unhideWhenUsed/>
    <w:rsid w:val="00E75BFD"/>
    <w:rPr>
      <w:sz w:val="20"/>
      <w:lang w:val="en-GB"/>
    </w:rPr>
  </w:style>
  <w:style w:type="character" w:customStyle="1" w:styleId="FootnoteTextChar">
    <w:name w:val="Footnote Text Char"/>
    <w:link w:val="FootnoteText"/>
    <w:uiPriority w:val="99"/>
    <w:semiHidden/>
    <w:rsid w:val="00E75BFD"/>
    <w:rPr>
      <w:lang w:val="en-GB" w:eastAsia="ar-SA"/>
    </w:rPr>
  </w:style>
  <w:style w:type="character" w:customStyle="1" w:styleId="Heading4Char">
    <w:name w:val="Heading 4 Char"/>
    <w:link w:val="Heading4"/>
    <w:uiPriority w:val="9"/>
    <w:semiHidden/>
    <w:rsid w:val="00E75BFD"/>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sid w:val="00E75BFD"/>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sid w:val="00E75BFD"/>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sid w:val="00E75BFD"/>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sid w:val="00E75BFD"/>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sid w:val="00E75BFD"/>
    <w:rPr>
      <w:rFonts w:ascii="Cambria" w:eastAsia="Times New Roman" w:hAnsi="Cambria" w:cs="Times New Roman"/>
      <w:sz w:val="22"/>
      <w:szCs w:val="22"/>
      <w:lang w:val="en-GB" w:eastAsia="ar-SA"/>
    </w:rPr>
  </w:style>
  <w:style w:type="paragraph" w:styleId="HTMLAddress">
    <w:name w:val="HTML Address"/>
    <w:basedOn w:val="Normal"/>
    <w:link w:val="HTMLAddressChar"/>
    <w:uiPriority w:val="99"/>
    <w:semiHidden/>
    <w:unhideWhenUsed/>
    <w:rsid w:val="00E75BFD"/>
    <w:rPr>
      <w:i/>
      <w:iCs/>
      <w:lang w:val="en-GB"/>
    </w:rPr>
  </w:style>
  <w:style w:type="character" w:customStyle="1" w:styleId="HTMLAddressChar">
    <w:name w:val="HTML Address Char"/>
    <w:link w:val="HTMLAddress"/>
    <w:uiPriority w:val="99"/>
    <w:semiHidden/>
    <w:rsid w:val="00E75BFD"/>
    <w:rPr>
      <w:i/>
      <w:iCs/>
      <w:sz w:val="22"/>
      <w:lang w:val="en-GB" w:eastAsia="ar-SA"/>
    </w:rPr>
  </w:style>
  <w:style w:type="paragraph" w:styleId="HTMLPreformatted">
    <w:name w:val="HTML Preformatted"/>
    <w:basedOn w:val="Normal"/>
    <w:link w:val="HTMLPreformattedChar"/>
    <w:uiPriority w:val="99"/>
    <w:semiHidden/>
    <w:unhideWhenUsed/>
    <w:rsid w:val="00E75BFD"/>
    <w:rPr>
      <w:rFonts w:ascii="Courier New" w:hAnsi="Courier New"/>
      <w:sz w:val="20"/>
      <w:lang w:val="en-GB"/>
    </w:rPr>
  </w:style>
  <w:style w:type="character" w:customStyle="1" w:styleId="HTMLPreformattedChar">
    <w:name w:val="HTML Preformatted Char"/>
    <w:link w:val="HTMLPreformatted"/>
    <w:uiPriority w:val="99"/>
    <w:semiHidden/>
    <w:rsid w:val="00E75BFD"/>
    <w:rPr>
      <w:rFonts w:ascii="Courier New" w:hAnsi="Courier New" w:cs="Courier New"/>
      <w:lang w:val="en-GB" w:eastAsia="ar-SA"/>
    </w:rPr>
  </w:style>
  <w:style w:type="paragraph" w:styleId="Index1">
    <w:name w:val="index 1"/>
    <w:basedOn w:val="Normal"/>
    <w:next w:val="Normal"/>
    <w:autoRedefine/>
    <w:uiPriority w:val="99"/>
    <w:semiHidden/>
    <w:unhideWhenUsed/>
    <w:rsid w:val="00E75BFD"/>
    <w:pPr>
      <w:tabs>
        <w:tab w:val="clear" w:pos="567"/>
      </w:tabs>
      <w:ind w:left="220" w:hanging="220"/>
    </w:pPr>
  </w:style>
  <w:style w:type="paragraph" w:styleId="Index2">
    <w:name w:val="index 2"/>
    <w:basedOn w:val="Normal"/>
    <w:next w:val="Normal"/>
    <w:autoRedefine/>
    <w:uiPriority w:val="99"/>
    <w:semiHidden/>
    <w:unhideWhenUsed/>
    <w:rsid w:val="00E75BFD"/>
    <w:pPr>
      <w:tabs>
        <w:tab w:val="clear" w:pos="567"/>
      </w:tabs>
      <w:ind w:left="440" w:hanging="220"/>
    </w:pPr>
  </w:style>
  <w:style w:type="paragraph" w:styleId="Index3">
    <w:name w:val="index 3"/>
    <w:basedOn w:val="Normal"/>
    <w:next w:val="Normal"/>
    <w:autoRedefine/>
    <w:uiPriority w:val="99"/>
    <w:semiHidden/>
    <w:unhideWhenUsed/>
    <w:rsid w:val="00E75BFD"/>
    <w:pPr>
      <w:tabs>
        <w:tab w:val="clear" w:pos="567"/>
      </w:tabs>
      <w:ind w:left="660" w:hanging="220"/>
    </w:pPr>
  </w:style>
  <w:style w:type="paragraph" w:styleId="Index4">
    <w:name w:val="index 4"/>
    <w:basedOn w:val="Normal"/>
    <w:next w:val="Normal"/>
    <w:autoRedefine/>
    <w:uiPriority w:val="99"/>
    <w:semiHidden/>
    <w:unhideWhenUsed/>
    <w:rsid w:val="00E75BFD"/>
    <w:pPr>
      <w:tabs>
        <w:tab w:val="clear" w:pos="567"/>
      </w:tabs>
      <w:ind w:left="880" w:hanging="220"/>
    </w:pPr>
  </w:style>
  <w:style w:type="paragraph" w:styleId="Index5">
    <w:name w:val="index 5"/>
    <w:basedOn w:val="Normal"/>
    <w:next w:val="Normal"/>
    <w:autoRedefine/>
    <w:uiPriority w:val="99"/>
    <w:semiHidden/>
    <w:unhideWhenUsed/>
    <w:rsid w:val="00E75BFD"/>
    <w:pPr>
      <w:tabs>
        <w:tab w:val="clear" w:pos="567"/>
      </w:tabs>
      <w:ind w:left="1100" w:hanging="220"/>
    </w:pPr>
  </w:style>
  <w:style w:type="paragraph" w:styleId="Index6">
    <w:name w:val="index 6"/>
    <w:basedOn w:val="Normal"/>
    <w:next w:val="Normal"/>
    <w:autoRedefine/>
    <w:uiPriority w:val="99"/>
    <w:semiHidden/>
    <w:unhideWhenUsed/>
    <w:rsid w:val="00E75BFD"/>
    <w:pPr>
      <w:tabs>
        <w:tab w:val="clear" w:pos="567"/>
      </w:tabs>
      <w:ind w:left="1320" w:hanging="220"/>
    </w:pPr>
  </w:style>
  <w:style w:type="paragraph" w:styleId="Index7">
    <w:name w:val="index 7"/>
    <w:basedOn w:val="Normal"/>
    <w:next w:val="Normal"/>
    <w:autoRedefine/>
    <w:uiPriority w:val="99"/>
    <w:semiHidden/>
    <w:unhideWhenUsed/>
    <w:rsid w:val="00E75BFD"/>
    <w:pPr>
      <w:tabs>
        <w:tab w:val="clear" w:pos="567"/>
      </w:tabs>
      <w:ind w:left="1540" w:hanging="220"/>
    </w:pPr>
  </w:style>
  <w:style w:type="paragraph" w:styleId="Index8">
    <w:name w:val="index 8"/>
    <w:basedOn w:val="Normal"/>
    <w:next w:val="Normal"/>
    <w:autoRedefine/>
    <w:uiPriority w:val="99"/>
    <w:semiHidden/>
    <w:unhideWhenUsed/>
    <w:rsid w:val="00E75BFD"/>
    <w:pPr>
      <w:tabs>
        <w:tab w:val="clear" w:pos="567"/>
      </w:tabs>
      <w:ind w:left="1760" w:hanging="220"/>
    </w:pPr>
  </w:style>
  <w:style w:type="paragraph" w:styleId="Index9">
    <w:name w:val="index 9"/>
    <w:basedOn w:val="Normal"/>
    <w:next w:val="Normal"/>
    <w:autoRedefine/>
    <w:uiPriority w:val="99"/>
    <w:semiHidden/>
    <w:unhideWhenUsed/>
    <w:rsid w:val="00E75BFD"/>
    <w:pPr>
      <w:tabs>
        <w:tab w:val="clear" w:pos="567"/>
      </w:tabs>
      <w:ind w:left="1980" w:hanging="220"/>
    </w:pPr>
  </w:style>
  <w:style w:type="paragraph" w:styleId="IndexHeading">
    <w:name w:val="index heading"/>
    <w:basedOn w:val="Normal"/>
    <w:next w:val="Index1"/>
    <w:uiPriority w:val="99"/>
    <w:semiHidden/>
    <w:unhideWhenUsed/>
    <w:rsid w:val="00E75BFD"/>
    <w:rPr>
      <w:rFonts w:ascii="Cambria" w:hAnsi="Cambria"/>
      <w:b/>
      <w:bCs/>
    </w:rPr>
  </w:style>
  <w:style w:type="paragraph" w:styleId="IntenseQuote">
    <w:name w:val="Intense Quote"/>
    <w:basedOn w:val="Normal"/>
    <w:next w:val="Normal"/>
    <w:link w:val="IntenseQuoteChar"/>
    <w:uiPriority w:val="30"/>
    <w:qFormat/>
    <w:rsid w:val="00E75BFD"/>
    <w:pPr>
      <w:pBdr>
        <w:bottom w:val="single" w:sz="4" w:space="4" w:color="4F81BD"/>
      </w:pBdr>
      <w:spacing w:before="200" w:after="280"/>
      <w:ind w:left="936" w:right="936"/>
    </w:pPr>
    <w:rPr>
      <w:b/>
      <w:bCs/>
      <w:i/>
      <w:iCs/>
      <w:color w:val="4F81BD"/>
      <w:lang w:val="en-GB"/>
    </w:rPr>
  </w:style>
  <w:style w:type="character" w:customStyle="1" w:styleId="IntenseQuoteChar">
    <w:name w:val="Intense Quote Char"/>
    <w:link w:val="IntenseQuote"/>
    <w:uiPriority w:val="30"/>
    <w:rsid w:val="00E75BFD"/>
    <w:rPr>
      <w:b/>
      <w:bCs/>
      <w:i/>
      <w:iCs/>
      <w:color w:val="4F81BD"/>
      <w:sz w:val="22"/>
      <w:lang w:val="en-GB" w:eastAsia="ar-SA"/>
    </w:rPr>
  </w:style>
  <w:style w:type="paragraph" w:styleId="List2">
    <w:name w:val="List 2"/>
    <w:basedOn w:val="Normal"/>
    <w:uiPriority w:val="99"/>
    <w:semiHidden/>
    <w:unhideWhenUsed/>
    <w:rsid w:val="00E75BFD"/>
    <w:pPr>
      <w:ind w:left="566" w:hanging="283"/>
      <w:contextualSpacing/>
    </w:pPr>
  </w:style>
  <w:style w:type="paragraph" w:styleId="List3">
    <w:name w:val="List 3"/>
    <w:basedOn w:val="Normal"/>
    <w:uiPriority w:val="99"/>
    <w:semiHidden/>
    <w:unhideWhenUsed/>
    <w:rsid w:val="00E75BFD"/>
    <w:pPr>
      <w:ind w:left="849" w:hanging="283"/>
      <w:contextualSpacing/>
    </w:pPr>
  </w:style>
  <w:style w:type="paragraph" w:styleId="List4">
    <w:name w:val="List 4"/>
    <w:basedOn w:val="Normal"/>
    <w:uiPriority w:val="99"/>
    <w:semiHidden/>
    <w:unhideWhenUsed/>
    <w:rsid w:val="00E75BFD"/>
    <w:pPr>
      <w:ind w:left="1132" w:hanging="283"/>
      <w:contextualSpacing/>
    </w:pPr>
  </w:style>
  <w:style w:type="paragraph" w:styleId="List5">
    <w:name w:val="List 5"/>
    <w:basedOn w:val="Normal"/>
    <w:uiPriority w:val="99"/>
    <w:semiHidden/>
    <w:unhideWhenUsed/>
    <w:rsid w:val="00E75BFD"/>
    <w:pPr>
      <w:ind w:left="1415" w:hanging="283"/>
      <w:contextualSpacing/>
    </w:pPr>
  </w:style>
  <w:style w:type="paragraph" w:styleId="ListBullet">
    <w:name w:val="List Bullet"/>
    <w:basedOn w:val="Normal"/>
    <w:uiPriority w:val="99"/>
    <w:semiHidden/>
    <w:unhideWhenUsed/>
    <w:rsid w:val="00E75BFD"/>
    <w:pPr>
      <w:numPr>
        <w:numId w:val="12"/>
      </w:numPr>
      <w:contextualSpacing/>
    </w:pPr>
  </w:style>
  <w:style w:type="paragraph" w:styleId="ListBullet2">
    <w:name w:val="List Bullet 2"/>
    <w:basedOn w:val="Normal"/>
    <w:uiPriority w:val="99"/>
    <w:semiHidden/>
    <w:unhideWhenUsed/>
    <w:rsid w:val="00E75BFD"/>
    <w:pPr>
      <w:numPr>
        <w:numId w:val="13"/>
      </w:numPr>
      <w:contextualSpacing/>
    </w:pPr>
  </w:style>
  <w:style w:type="paragraph" w:styleId="ListBullet3">
    <w:name w:val="List Bullet 3"/>
    <w:basedOn w:val="Normal"/>
    <w:uiPriority w:val="99"/>
    <w:semiHidden/>
    <w:unhideWhenUsed/>
    <w:rsid w:val="00E75BFD"/>
    <w:pPr>
      <w:numPr>
        <w:numId w:val="14"/>
      </w:numPr>
      <w:contextualSpacing/>
    </w:pPr>
  </w:style>
  <w:style w:type="paragraph" w:styleId="ListBullet4">
    <w:name w:val="List Bullet 4"/>
    <w:basedOn w:val="Normal"/>
    <w:uiPriority w:val="99"/>
    <w:semiHidden/>
    <w:unhideWhenUsed/>
    <w:rsid w:val="00E75BFD"/>
    <w:pPr>
      <w:numPr>
        <w:numId w:val="15"/>
      </w:numPr>
      <w:contextualSpacing/>
    </w:pPr>
  </w:style>
  <w:style w:type="paragraph" w:styleId="ListBullet5">
    <w:name w:val="List Bullet 5"/>
    <w:basedOn w:val="Normal"/>
    <w:uiPriority w:val="99"/>
    <w:semiHidden/>
    <w:unhideWhenUsed/>
    <w:rsid w:val="00E75BFD"/>
    <w:pPr>
      <w:numPr>
        <w:numId w:val="16"/>
      </w:numPr>
      <w:contextualSpacing/>
    </w:pPr>
  </w:style>
  <w:style w:type="paragraph" w:styleId="ListContinue">
    <w:name w:val="List Continue"/>
    <w:basedOn w:val="Normal"/>
    <w:uiPriority w:val="99"/>
    <w:semiHidden/>
    <w:unhideWhenUsed/>
    <w:rsid w:val="00E75BFD"/>
    <w:pPr>
      <w:spacing w:after="120"/>
      <w:ind w:left="283"/>
      <w:contextualSpacing/>
    </w:pPr>
  </w:style>
  <w:style w:type="paragraph" w:styleId="ListContinue2">
    <w:name w:val="List Continue 2"/>
    <w:basedOn w:val="Normal"/>
    <w:uiPriority w:val="99"/>
    <w:semiHidden/>
    <w:unhideWhenUsed/>
    <w:rsid w:val="00E75BFD"/>
    <w:pPr>
      <w:spacing w:after="120"/>
      <w:ind w:left="566"/>
      <w:contextualSpacing/>
    </w:pPr>
  </w:style>
  <w:style w:type="paragraph" w:styleId="ListContinue3">
    <w:name w:val="List Continue 3"/>
    <w:basedOn w:val="Normal"/>
    <w:uiPriority w:val="99"/>
    <w:semiHidden/>
    <w:unhideWhenUsed/>
    <w:rsid w:val="00E75BFD"/>
    <w:pPr>
      <w:spacing w:after="120"/>
      <w:ind w:left="849"/>
      <w:contextualSpacing/>
    </w:pPr>
  </w:style>
  <w:style w:type="paragraph" w:styleId="ListContinue4">
    <w:name w:val="List Continue 4"/>
    <w:basedOn w:val="Normal"/>
    <w:uiPriority w:val="99"/>
    <w:semiHidden/>
    <w:unhideWhenUsed/>
    <w:rsid w:val="00E75BFD"/>
    <w:pPr>
      <w:spacing w:after="120"/>
      <w:ind w:left="1132"/>
      <w:contextualSpacing/>
    </w:pPr>
  </w:style>
  <w:style w:type="paragraph" w:styleId="ListContinue5">
    <w:name w:val="List Continue 5"/>
    <w:basedOn w:val="Normal"/>
    <w:uiPriority w:val="99"/>
    <w:semiHidden/>
    <w:unhideWhenUsed/>
    <w:rsid w:val="00E75BFD"/>
    <w:pPr>
      <w:spacing w:after="120"/>
      <w:ind w:left="1415"/>
      <w:contextualSpacing/>
    </w:pPr>
  </w:style>
  <w:style w:type="paragraph" w:styleId="ListNumber">
    <w:name w:val="List Number"/>
    <w:basedOn w:val="Normal"/>
    <w:uiPriority w:val="99"/>
    <w:semiHidden/>
    <w:unhideWhenUsed/>
    <w:rsid w:val="00E75BFD"/>
    <w:pPr>
      <w:numPr>
        <w:numId w:val="17"/>
      </w:numPr>
      <w:contextualSpacing/>
    </w:pPr>
  </w:style>
  <w:style w:type="paragraph" w:styleId="ListNumber2">
    <w:name w:val="List Number 2"/>
    <w:basedOn w:val="Normal"/>
    <w:uiPriority w:val="99"/>
    <w:semiHidden/>
    <w:unhideWhenUsed/>
    <w:rsid w:val="00E75BFD"/>
    <w:pPr>
      <w:numPr>
        <w:numId w:val="18"/>
      </w:numPr>
      <w:contextualSpacing/>
    </w:pPr>
  </w:style>
  <w:style w:type="paragraph" w:styleId="ListNumber3">
    <w:name w:val="List Number 3"/>
    <w:basedOn w:val="Normal"/>
    <w:uiPriority w:val="99"/>
    <w:semiHidden/>
    <w:unhideWhenUsed/>
    <w:rsid w:val="00E75BFD"/>
    <w:pPr>
      <w:numPr>
        <w:numId w:val="19"/>
      </w:numPr>
      <w:contextualSpacing/>
    </w:pPr>
  </w:style>
  <w:style w:type="paragraph" w:styleId="ListNumber4">
    <w:name w:val="List Number 4"/>
    <w:basedOn w:val="Normal"/>
    <w:uiPriority w:val="99"/>
    <w:semiHidden/>
    <w:unhideWhenUsed/>
    <w:rsid w:val="00E75BFD"/>
    <w:pPr>
      <w:numPr>
        <w:numId w:val="20"/>
      </w:numPr>
      <w:contextualSpacing/>
    </w:pPr>
  </w:style>
  <w:style w:type="paragraph" w:styleId="ListNumber5">
    <w:name w:val="List Number 5"/>
    <w:basedOn w:val="Normal"/>
    <w:uiPriority w:val="99"/>
    <w:semiHidden/>
    <w:unhideWhenUsed/>
    <w:rsid w:val="00E75BFD"/>
    <w:pPr>
      <w:numPr>
        <w:numId w:val="21"/>
      </w:numPr>
      <w:contextualSpacing/>
    </w:pPr>
  </w:style>
  <w:style w:type="paragraph" w:styleId="MacroText">
    <w:name w:val="macro"/>
    <w:link w:val="MacroTextChar"/>
    <w:uiPriority w:val="99"/>
    <w:semiHidden/>
    <w:unhideWhenUsed/>
    <w:rsid w:val="00E75BF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rPr>
  </w:style>
  <w:style w:type="character" w:customStyle="1" w:styleId="MacroTextChar">
    <w:name w:val="Macro Text Char"/>
    <w:link w:val="MacroText"/>
    <w:uiPriority w:val="99"/>
    <w:semiHidden/>
    <w:rsid w:val="00E75BFD"/>
    <w:rPr>
      <w:rFonts w:ascii="Courier New" w:hAnsi="Courier New" w:cs="Courier New"/>
      <w:lang w:val="en-GB" w:eastAsia="ar-SA" w:bidi="ar-SA"/>
    </w:rPr>
  </w:style>
  <w:style w:type="paragraph" w:styleId="MessageHeader">
    <w:name w:val="Message Header"/>
    <w:basedOn w:val="Normal"/>
    <w:link w:val="MessageHeaderChar"/>
    <w:uiPriority w:val="99"/>
    <w:semiHidden/>
    <w:unhideWhenUsed/>
    <w:rsid w:val="00E75BF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n-GB"/>
    </w:rPr>
  </w:style>
  <w:style w:type="character" w:customStyle="1" w:styleId="MessageHeaderChar">
    <w:name w:val="Message Header Char"/>
    <w:link w:val="MessageHeader"/>
    <w:uiPriority w:val="99"/>
    <w:semiHidden/>
    <w:rsid w:val="00E75BFD"/>
    <w:rPr>
      <w:rFonts w:ascii="Cambria" w:eastAsia="Times New Roman" w:hAnsi="Cambria" w:cs="Times New Roman"/>
      <w:sz w:val="24"/>
      <w:szCs w:val="24"/>
      <w:shd w:val="pct20" w:color="auto" w:fill="auto"/>
      <w:lang w:val="en-GB" w:eastAsia="ar-SA"/>
    </w:rPr>
  </w:style>
  <w:style w:type="paragraph" w:styleId="NoSpacing">
    <w:name w:val="No Spacing"/>
    <w:uiPriority w:val="1"/>
    <w:qFormat/>
    <w:rsid w:val="00E75BFD"/>
    <w:pPr>
      <w:tabs>
        <w:tab w:val="left" w:pos="567"/>
      </w:tabs>
      <w:suppressAutoHyphens/>
    </w:pPr>
    <w:rPr>
      <w:sz w:val="22"/>
      <w:lang w:val="en-GB" w:eastAsia="ar-SA"/>
    </w:rPr>
  </w:style>
  <w:style w:type="paragraph" w:styleId="NormalIndent">
    <w:name w:val="Normal Indent"/>
    <w:basedOn w:val="Normal"/>
    <w:uiPriority w:val="99"/>
    <w:semiHidden/>
    <w:unhideWhenUsed/>
    <w:rsid w:val="00E75BFD"/>
    <w:pPr>
      <w:ind w:left="720"/>
    </w:pPr>
  </w:style>
  <w:style w:type="paragraph" w:styleId="NoteHeading">
    <w:name w:val="Note Heading"/>
    <w:basedOn w:val="Normal"/>
    <w:next w:val="Normal"/>
    <w:link w:val="NoteHeadingChar"/>
    <w:uiPriority w:val="99"/>
    <w:semiHidden/>
    <w:unhideWhenUsed/>
    <w:rsid w:val="00E75BFD"/>
    <w:rPr>
      <w:lang w:val="en-GB"/>
    </w:rPr>
  </w:style>
  <w:style w:type="character" w:customStyle="1" w:styleId="NoteHeadingChar">
    <w:name w:val="Note Heading Char"/>
    <w:link w:val="NoteHeading"/>
    <w:uiPriority w:val="99"/>
    <w:semiHidden/>
    <w:rsid w:val="00E75BFD"/>
    <w:rPr>
      <w:sz w:val="22"/>
      <w:lang w:val="en-GB" w:eastAsia="ar-SA"/>
    </w:rPr>
  </w:style>
  <w:style w:type="paragraph" w:styleId="Quote">
    <w:name w:val="Quote"/>
    <w:basedOn w:val="Normal"/>
    <w:next w:val="Normal"/>
    <w:link w:val="QuoteChar"/>
    <w:uiPriority w:val="29"/>
    <w:qFormat/>
    <w:rsid w:val="00E75BFD"/>
    <w:rPr>
      <w:i/>
      <w:iCs/>
      <w:color w:val="000000"/>
      <w:lang w:val="en-GB"/>
    </w:rPr>
  </w:style>
  <w:style w:type="character" w:customStyle="1" w:styleId="QuoteChar">
    <w:name w:val="Quote Char"/>
    <w:link w:val="Quote"/>
    <w:uiPriority w:val="29"/>
    <w:rsid w:val="00E75BFD"/>
    <w:rPr>
      <w:i/>
      <w:iCs/>
      <w:color w:val="000000"/>
      <w:sz w:val="22"/>
      <w:lang w:val="en-GB" w:eastAsia="ar-SA"/>
    </w:rPr>
  </w:style>
  <w:style w:type="paragraph" w:styleId="Salutation">
    <w:name w:val="Salutation"/>
    <w:basedOn w:val="Normal"/>
    <w:next w:val="Normal"/>
    <w:link w:val="SalutationChar"/>
    <w:uiPriority w:val="99"/>
    <w:semiHidden/>
    <w:unhideWhenUsed/>
    <w:rsid w:val="00E75BFD"/>
    <w:rPr>
      <w:lang w:val="en-GB"/>
    </w:rPr>
  </w:style>
  <w:style w:type="character" w:customStyle="1" w:styleId="SalutationChar">
    <w:name w:val="Salutation Char"/>
    <w:link w:val="Salutation"/>
    <w:uiPriority w:val="99"/>
    <w:semiHidden/>
    <w:rsid w:val="00E75BFD"/>
    <w:rPr>
      <w:sz w:val="22"/>
      <w:lang w:val="en-GB" w:eastAsia="ar-SA"/>
    </w:rPr>
  </w:style>
  <w:style w:type="paragraph" w:styleId="Signature">
    <w:name w:val="Signature"/>
    <w:basedOn w:val="Normal"/>
    <w:link w:val="SignatureChar"/>
    <w:uiPriority w:val="99"/>
    <w:semiHidden/>
    <w:unhideWhenUsed/>
    <w:rsid w:val="00E75BFD"/>
    <w:pPr>
      <w:ind w:left="4252"/>
    </w:pPr>
    <w:rPr>
      <w:lang w:val="en-GB"/>
    </w:rPr>
  </w:style>
  <w:style w:type="character" w:customStyle="1" w:styleId="SignatureChar">
    <w:name w:val="Signature Char"/>
    <w:link w:val="Signature"/>
    <w:uiPriority w:val="99"/>
    <w:semiHidden/>
    <w:rsid w:val="00E75BFD"/>
    <w:rPr>
      <w:sz w:val="22"/>
      <w:lang w:val="en-GB" w:eastAsia="ar-SA"/>
    </w:rPr>
  </w:style>
  <w:style w:type="paragraph" w:styleId="Subtitle">
    <w:name w:val="Subtitle"/>
    <w:basedOn w:val="Normal"/>
    <w:next w:val="Normal"/>
    <w:link w:val="SubtitleChar"/>
    <w:uiPriority w:val="11"/>
    <w:qFormat/>
    <w:rsid w:val="00E75BFD"/>
    <w:pPr>
      <w:spacing w:after="60"/>
      <w:jc w:val="center"/>
      <w:outlineLvl w:val="1"/>
    </w:pPr>
    <w:rPr>
      <w:rFonts w:ascii="Cambria" w:hAnsi="Cambria"/>
      <w:sz w:val="24"/>
      <w:szCs w:val="24"/>
      <w:lang w:val="en-GB"/>
    </w:rPr>
  </w:style>
  <w:style w:type="character" w:customStyle="1" w:styleId="SubtitleChar">
    <w:name w:val="Subtitle Char"/>
    <w:link w:val="Subtitle"/>
    <w:uiPriority w:val="11"/>
    <w:rsid w:val="00E75BFD"/>
    <w:rPr>
      <w:rFonts w:ascii="Cambria" w:eastAsia="Times New Roman" w:hAnsi="Cambria" w:cs="Times New Roman"/>
      <w:sz w:val="24"/>
      <w:szCs w:val="24"/>
      <w:lang w:val="en-GB" w:eastAsia="ar-SA"/>
    </w:rPr>
  </w:style>
  <w:style w:type="paragraph" w:styleId="TableofAuthorities">
    <w:name w:val="table of authorities"/>
    <w:basedOn w:val="Normal"/>
    <w:next w:val="Normal"/>
    <w:uiPriority w:val="99"/>
    <w:semiHidden/>
    <w:unhideWhenUsed/>
    <w:rsid w:val="00E75BFD"/>
    <w:pPr>
      <w:tabs>
        <w:tab w:val="clear" w:pos="567"/>
      </w:tabs>
      <w:ind w:left="220" w:hanging="220"/>
    </w:pPr>
  </w:style>
  <w:style w:type="paragraph" w:styleId="TableofFigures">
    <w:name w:val="table of figures"/>
    <w:basedOn w:val="Normal"/>
    <w:next w:val="Normal"/>
    <w:uiPriority w:val="99"/>
    <w:semiHidden/>
    <w:unhideWhenUsed/>
    <w:rsid w:val="00E75BFD"/>
    <w:pPr>
      <w:tabs>
        <w:tab w:val="clear" w:pos="567"/>
      </w:tabs>
    </w:pPr>
  </w:style>
  <w:style w:type="paragraph" w:styleId="Title">
    <w:name w:val="Title"/>
    <w:basedOn w:val="Normal"/>
    <w:next w:val="Normal"/>
    <w:link w:val="TitleChar"/>
    <w:uiPriority w:val="10"/>
    <w:qFormat/>
    <w:rsid w:val="00E75BFD"/>
    <w:pPr>
      <w:keepNext/>
      <w:keepLines/>
      <w:jc w:val="center"/>
      <w:outlineLvl w:val="0"/>
    </w:pPr>
    <w:rPr>
      <w:b/>
      <w:bCs/>
      <w:kern w:val="28"/>
      <w:szCs w:val="32"/>
    </w:rPr>
  </w:style>
  <w:style w:type="character" w:customStyle="1" w:styleId="TitleChar">
    <w:name w:val="Title Char"/>
    <w:link w:val="Title"/>
    <w:uiPriority w:val="10"/>
    <w:rsid w:val="00E75BFD"/>
    <w:rPr>
      <w:b/>
      <w:bCs/>
      <w:kern w:val="28"/>
      <w:sz w:val="22"/>
      <w:szCs w:val="32"/>
      <w:lang w:eastAsia="ar-SA"/>
    </w:rPr>
  </w:style>
  <w:style w:type="paragraph" w:styleId="TOAHeading">
    <w:name w:val="toa heading"/>
    <w:basedOn w:val="Normal"/>
    <w:next w:val="Normal"/>
    <w:uiPriority w:val="99"/>
    <w:semiHidden/>
    <w:unhideWhenUsed/>
    <w:rsid w:val="00E75BFD"/>
    <w:pPr>
      <w:spacing w:before="120"/>
    </w:pPr>
    <w:rPr>
      <w:rFonts w:ascii="Cambria" w:hAnsi="Cambria"/>
      <w:b/>
      <w:bCs/>
      <w:sz w:val="24"/>
      <w:szCs w:val="24"/>
    </w:rPr>
  </w:style>
  <w:style w:type="paragraph" w:styleId="TOC1">
    <w:name w:val="toc 1"/>
    <w:basedOn w:val="Normal"/>
    <w:next w:val="Normal"/>
    <w:autoRedefine/>
    <w:uiPriority w:val="39"/>
    <w:semiHidden/>
    <w:unhideWhenUsed/>
    <w:rsid w:val="00E75BFD"/>
    <w:pPr>
      <w:tabs>
        <w:tab w:val="clear" w:pos="567"/>
      </w:tabs>
    </w:pPr>
  </w:style>
  <w:style w:type="paragraph" w:styleId="TOC2">
    <w:name w:val="toc 2"/>
    <w:basedOn w:val="Normal"/>
    <w:next w:val="Normal"/>
    <w:autoRedefine/>
    <w:uiPriority w:val="39"/>
    <w:semiHidden/>
    <w:unhideWhenUsed/>
    <w:rsid w:val="00E75BFD"/>
    <w:pPr>
      <w:tabs>
        <w:tab w:val="clear" w:pos="567"/>
      </w:tabs>
      <w:ind w:left="220"/>
    </w:pPr>
  </w:style>
  <w:style w:type="paragraph" w:styleId="TOC3">
    <w:name w:val="toc 3"/>
    <w:basedOn w:val="Normal"/>
    <w:next w:val="Normal"/>
    <w:autoRedefine/>
    <w:uiPriority w:val="39"/>
    <w:semiHidden/>
    <w:unhideWhenUsed/>
    <w:rsid w:val="00E75BFD"/>
    <w:pPr>
      <w:tabs>
        <w:tab w:val="clear" w:pos="567"/>
      </w:tabs>
      <w:ind w:left="440"/>
    </w:pPr>
  </w:style>
  <w:style w:type="paragraph" w:styleId="TOC4">
    <w:name w:val="toc 4"/>
    <w:basedOn w:val="Normal"/>
    <w:next w:val="Normal"/>
    <w:autoRedefine/>
    <w:uiPriority w:val="39"/>
    <w:semiHidden/>
    <w:unhideWhenUsed/>
    <w:rsid w:val="00E75BFD"/>
    <w:pPr>
      <w:tabs>
        <w:tab w:val="clear" w:pos="567"/>
      </w:tabs>
      <w:ind w:left="660"/>
    </w:pPr>
  </w:style>
  <w:style w:type="paragraph" w:styleId="TOC5">
    <w:name w:val="toc 5"/>
    <w:basedOn w:val="Normal"/>
    <w:next w:val="Normal"/>
    <w:autoRedefine/>
    <w:uiPriority w:val="39"/>
    <w:semiHidden/>
    <w:unhideWhenUsed/>
    <w:rsid w:val="00E75BFD"/>
    <w:pPr>
      <w:tabs>
        <w:tab w:val="clear" w:pos="567"/>
      </w:tabs>
      <w:ind w:left="880"/>
    </w:pPr>
  </w:style>
  <w:style w:type="paragraph" w:styleId="TOC6">
    <w:name w:val="toc 6"/>
    <w:basedOn w:val="Normal"/>
    <w:next w:val="Normal"/>
    <w:autoRedefine/>
    <w:uiPriority w:val="39"/>
    <w:semiHidden/>
    <w:unhideWhenUsed/>
    <w:rsid w:val="00E75BFD"/>
    <w:pPr>
      <w:tabs>
        <w:tab w:val="clear" w:pos="567"/>
      </w:tabs>
      <w:ind w:left="1100"/>
    </w:pPr>
  </w:style>
  <w:style w:type="paragraph" w:styleId="TOC7">
    <w:name w:val="toc 7"/>
    <w:basedOn w:val="Normal"/>
    <w:next w:val="Normal"/>
    <w:autoRedefine/>
    <w:uiPriority w:val="39"/>
    <w:semiHidden/>
    <w:unhideWhenUsed/>
    <w:rsid w:val="00E75BFD"/>
    <w:pPr>
      <w:tabs>
        <w:tab w:val="clear" w:pos="567"/>
      </w:tabs>
      <w:ind w:left="1320"/>
    </w:pPr>
  </w:style>
  <w:style w:type="paragraph" w:styleId="TOC8">
    <w:name w:val="toc 8"/>
    <w:basedOn w:val="Normal"/>
    <w:next w:val="Normal"/>
    <w:autoRedefine/>
    <w:uiPriority w:val="39"/>
    <w:semiHidden/>
    <w:unhideWhenUsed/>
    <w:rsid w:val="00E75BFD"/>
    <w:pPr>
      <w:tabs>
        <w:tab w:val="clear" w:pos="567"/>
      </w:tabs>
      <w:ind w:left="1540"/>
    </w:pPr>
  </w:style>
  <w:style w:type="paragraph" w:styleId="TOC9">
    <w:name w:val="toc 9"/>
    <w:basedOn w:val="Normal"/>
    <w:next w:val="Normal"/>
    <w:autoRedefine/>
    <w:uiPriority w:val="39"/>
    <w:semiHidden/>
    <w:unhideWhenUsed/>
    <w:rsid w:val="00E75BFD"/>
    <w:pPr>
      <w:tabs>
        <w:tab w:val="clear" w:pos="567"/>
      </w:tabs>
      <w:ind w:left="1760"/>
    </w:pPr>
  </w:style>
  <w:style w:type="paragraph" w:styleId="TOCHeading">
    <w:name w:val="TOC Heading"/>
    <w:basedOn w:val="Heading1"/>
    <w:next w:val="Normal"/>
    <w:uiPriority w:val="39"/>
    <w:semiHidden/>
    <w:unhideWhenUsed/>
    <w:qFormat/>
    <w:rsid w:val="00E75BFD"/>
    <w:pPr>
      <w:numPr>
        <w:numId w:val="0"/>
      </w:numPr>
      <w:spacing w:before="240" w:after="60"/>
      <w:outlineLvl w:val="9"/>
    </w:pPr>
    <w:rPr>
      <w:rFonts w:ascii="Cambria" w:hAnsi="Cambria"/>
      <w:kern w:val="32"/>
      <w:sz w:val="32"/>
      <w:lang w:val="en-GB"/>
    </w:rPr>
  </w:style>
  <w:style w:type="paragraph" w:customStyle="1" w:styleId="TitleB">
    <w:name w:val="Title B"/>
    <w:basedOn w:val="Normal"/>
    <w:link w:val="TitleBChar"/>
    <w:qFormat/>
    <w:rsid w:val="00E75BFD"/>
    <w:pPr>
      <w:keepNext/>
      <w:widowControl w:val="0"/>
      <w:numPr>
        <w:numId w:val="10"/>
      </w:numPr>
      <w:tabs>
        <w:tab w:val="clear" w:pos="567"/>
      </w:tabs>
      <w:suppressAutoHyphens w:val="0"/>
      <w:autoSpaceDE w:val="0"/>
      <w:autoSpaceDN w:val="0"/>
      <w:adjustRightInd w:val="0"/>
      <w:spacing w:after="200" w:line="276" w:lineRule="auto"/>
      <w:ind w:left="567" w:hanging="567"/>
    </w:pPr>
    <w:rPr>
      <w:b/>
      <w:szCs w:val="22"/>
    </w:rPr>
  </w:style>
  <w:style w:type="character" w:styleId="HTMLCite">
    <w:name w:val="HTML Cite"/>
    <w:uiPriority w:val="99"/>
    <w:semiHidden/>
    <w:unhideWhenUsed/>
    <w:rsid w:val="00E75BFD"/>
    <w:rPr>
      <w:i/>
      <w:iCs/>
    </w:rPr>
  </w:style>
  <w:style w:type="character" w:customStyle="1" w:styleId="TitleBChar">
    <w:name w:val="Title B Char"/>
    <w:link w:val="TitleB"/>
    <w:rsid w:val="00E75BFD"/>
    <w:rPr>
      <w:b/>
      <w:sz w:val="22"/>
      <w:szCs w:val="22"/>
      <w:lang w:val="it-IT"/>
    </w:rPr>
  </w:style>
  <w:style w:type="paragraph" w:customStyle="1" w:styleId="C-Bullet">
    <w:name w:val="C-Bullet"/>
    <w:rsid w:val="00E75BFD"/>
    <w:pPr>
      <w:numPr>
        <w:numId w:val="22"/>
      </w:numPr>
      <w:spacing w:before="120" w:after="120" w:line="280" w:lineRule="atLeast"/>
    </w:pPr>
    <w:rPr>
      <w:sz w:val="24"/>
      <w:lang w:val="en-US" w:eastAsia="en-US"/>
    </w:rPr>
  </w:style>
  <w:style w:type="paragraph" w:customStyle="1" w:styleId="GTCParagraph">
    <w:name w:val="GTC Paragraph"/>
    <w:rsid w:val="00E75BFD"/>
    <w:rPr>
      <w:sz w:val="24"/>
      <w:szCs w:val="24"/>
      <w:lang w:val="en-US" w:eastAsia="en-US"/>
    </w:rPr>
  </w:style>
  <w:style w:type="paragraph" w:customStyle="1" w:styleId="Default">
    <w:name w:val="Default"/>
    <w:rsid w:val="00E75BFD"/>
    <w:pPr>
      <w:autoSpaceDE w:val="0"/>
      <w:autoSpaceDN w:val="0"/>
      <w:adjustRightInd w:val="0"/>
    </w:pPr>
    <w:rPr>
      <w:rFonts w:eastAsia="SimSun"/>
      <w:color w:val="000000"/>
      <w:sz w:val="24"/>
      <w:szCs w:val="24"/>
      <w:lang w:val="en-GB" w:eastAsia="en-GB"/>
    </w:rPr>
  </w:style>
  <w:style w:type="character" w:customStyle="1" w:styleId="shorttext">
    <w:name w:val="short_text"/>
    <w:rsid w:val="00E75BFD"/>
  </w:style>
  <w:style w:type="paragraph" w:customStyle="1" w:styleId="C-BodyText">
    <w:name w:val="C-Body Text"/>
    <w:link w:val="C-BodyTextChar"/>
    <w:rsid w:val="00E75BFD"/>
    <w:pPr>
      <w:spacing w:before="120" w:after="120" w:line="280" w:lineRule="atLeast"/>
    </w:pPr>
    <w:rPr>
      <w:sz w:val="24"/>
      <w:lang w:val="en-US" w:eastAsia="en-US"/>
    </w:rPr>
  </w:style>
  <w:style w:type="character" w:customStyle="1" w:styleId="C-BodyTextChar">
    <w:name w:val="C-Body Text Char"/>
    <w:link w:val="C-BodyText"/>
    <w:locked/>
    <w:rsid w:val="00E75BFD"/>
    <w:rPr>
      <w:sz w:val="24"/>
      <w:lang w:val="en-US" w:eastAsia="en-US" w:bidi="ar-SA"/>
    </w:rPr>
  </w:style>
  <w:style w:type="paragraph" w:customStyle="1" w:styleId="Standard">
    <w:name w:val="Standard"/>
    <w:qFormat/>
    <w:rsid w:val="00E75BFD"/>
    <w:pPr>
      <w:tabs>
        <w:tab w:val="left" w:pos="567"/>
      </w:tabs>
    </w:pPr>
    <w:rPr>
      <w:sz w:val="22"/>
      <w:lang w:val="en-GB" w:eastAsia="en-US"/>
    </w:rPr>
  </w:style>
  <w:style w:type="paragraph" w:customStyle="1" w:styleId="HeadingUnderlined">
    <w:name w:val="Heading Underlined"/>
    <w:basedOn w:val="Normal"/>
    <w:next w:val="Normal"/>
    <w:link w:val="HeadingUnderlinedChar"/>
    <w:qFormat/>
    <w:rsid w:val="00E75BFD"/>
    <w:pPr>
      <w:keepNext/>
      <w:keepLines/>
      <w:tabs>
        <w:tab w:val="clear" w:pos="567"/>
      </w:tabs>
    </w:pPr>
    <w:rPr>
      <w:szCs w:val="22"/>
      <w:u w:val="single"/>
      <w:lang w:eastAsia="zh-CN"/>
    </w:rPr>
  </w:style>
  <w:style w:type="character" w:customStyle="1" w:styleId="Superscript">
    <w:name w:val="Superscript"/>
    <w:uiPriority w:val="1"/>
    <w:qFormat/>
    <w:rsid w:val="00E75BFD"/>
    <w:rPr>
      <w:vertAlign w:val="superscript"/>
    </w:rPr>
  </w:style>
  <w:style w:type="character" w:styleId="Strong">
    <w:name w:val="Strong"/>
    <w:uiPriority w:val="22"/>
    <w:qFormat/>
    <w:rsid w:val="00E75BFD"/>
    <w:rPr>
      <w:b/>
      <w:bCs/>
    </w:rPr>
  </w:style>
  <w:style w:type="paragraph" w:customStyle="1" w:styleId="Bullet-">
    <w:name w:val="Bullet -"/>
    <w:basedOn w:val="Normal"/>
    <w:qFormat/>
    <w:rsid w:val="00E75BFD"/>
    <w:pPr>
      <w:numPr>
        <w:numId w:val="25"/>
      </w:numPr>
      <w:tabs>
        <w:tab w:val="clear" w:pos="567"/>
      </w:tabs>
    </w:pPr>
    <w:rPr>
      <w:rFonts w:eastAsia="SimSun"/>
      <w:szCs w:val="22"/>
      <w:lang w:eastAsia="zh-CN"/>
    </w:rPr>
  </w:style>
  <w:style w:type="paragraph" w:customStyle="1" w:styleId="HeadingStrong">
    <w:name w:val="Heading Strong"/>
    <w:basedOn w:val="Normal"/>
    <w:next w:val="Normal"/>
    <w:link w:val="HeadingStrongChar"/>
    <w:qFormat/>
    <w:rsid w:val="00E75BFD"/>
    <w:pPr>
      <w:keepNext/>
      <w:keepLines/>
      <w:tabs>
        <w:tab w:val="clear" w:pos="567"/>
      </w:tabs>
    </w:pPr>
    <w:rPr>
      <w:rFonts w:eastAsia="SimSun"/>
      <w:b/>
      <w:bCs/>
      <w:szCs w:val="22"/>
      <w:lang w:eastAsia="zh-CN"/>
    </w:rPr>
  </w:style>
  <w:style w:type="character" w:customStyle="1" w:styleId="HeadingStrongChar">
    <w:name w:val="Heading Strong Char"/>
    <w:link w:val="HeadingStrong"/>
    <w:locked/>
    <w:rsid w:val="00E75BFD"/>
    <w:rPr>
      <w:rFonts w:eastAsia="SimSun"/>
      <w:b/>
      <w:bCs/>
      <w:sz w:val="22"/>
      <w:szCs w:val="22"/>
      <w:lang w:val="it-IT" w:eastAsia="zh-CN"/>
    </w:rPr>
  </w:style>
  <w:style w:type="paragraph" w:customStyle="1" w:styleId="Bullet">
    <w:name w:val="Bullet •"/>
    <w:basedOn w:val="Normal"/>
    <w:qFormat/>
    <w:rsid w:val="00E75BFD"/>
    <w:pPr>
      <w:numPr>
        <w:numId w:val="27"/>
      </w:numPr>
      <w:tabs>
        <w:tab w:val="clear" w:pos="567"/>
      </w:tabs>
    </w:pPr>
    <w:rPr>
      <w:rFonts w:eastAsia="SimSun"/>
      <w:szCs w:val="22"/>
      <w:lang w:eastAsia="zh-CN"/>
    </w:rPr>
  </w:style>
  <w:style w:type="paragraph" w:customStyle="1" w:styleId="HeadingEmphasis">
    <w:name w:val="Heading Emphasis"/>
    <w:basedOn w:val="Normal"/>
    <w:next w:val="Normal"/>
    <w:qFormat/>
    <w:rsid w:val="00E75BFD"/>
    <w:pPr>
      <w:keepNext/>
      <w:keepLines/>
      <w:tabs>
        <w:tab w:val="clear" w:pos="567"/>
      </w:tabs>
    </w:pPr>
    <w:rPr>
      <w:rFonts w:eastAsia="SimSun"/>
      <w:i/>
      <w:iCs/>
      <w:szCs w:val="22"/>
      <w:lang w:eastAsia="zh-CN"/>
    </w:rPr>
  </w:style>
  <w:style w:type="paragraph" w:customStyle="1" w:styleId="Standard1">
    <w:name w:val="Standard1"/>
    <w:qFormat/>
    <w:rsid w:val="00E75BFD"/>
    <w:pPr>
      <w:tabs>
        <w:tab w:val="left" w:pos="567"/>
      </w:tabs>
    </w:pPr>
    <w:rPr>
      <w:sz w:val="22"/>
      <w:lang w:val="en-GB" w:eastAsia="en-US"/>
    </w:rPr>
  </w:style>
  <w:style w:type="paragraph" w:customStyle="1" w:styleId="No-numheading3Agency">
    <w:name w:val="No-num heading 3 (Agency)"/>
    <w:rsid w:val="003B0C36"/>
    <w:pPr>
      <w:keepNext/>
      <w:spacing w:before="280" w:after="220"/>
      <w:outlineLvl w:val="2"/>
    </w:pPr>
    <w:rPr>
      <w:rFonts w:ascii="Verdana" w:hAnsi="Verdana"/>
      <w:b/>
      <w:snapToGrid w:val="0"/>
      <w:kern w:val="32"/>
      <w:sz w:val="22"/>
      <w:lang w:val="en-GB" w:eastAsia="fr-LU"/>
    </w:rPr>
  </w:style>
  <w:style w:type="character" w:customStyle="1" w:styleId="UnresolvedMention1">
    <w:name w:val="Unresolved Mention1"/>
    <w:basedOn w:val="DefaultParagraphFont"/>
    <w:uiPriority w:val="99"/>
    <w:unhideWhenUsed/>
    <w:rsid w:val="00774839"/>
    <w:rPr>
      <w:color w:val="605E5C"/>
      <w:shd w:val="clear" w:color="auto" w:fill="E1DFDD"/>
    </w:rPr>
  </w:style>
  <w:style w:type="character" w:customStyle="1" w:styleId="Mention1">
    <w:name w:val="Mention1"/>
    <w:basedOn w:val="DefaultParagraphFont"/>
    <w:uiPriority w:val="99"/>
    <w:unhideWhenUsed/>
    <w:rsid w:val="00774839"/>
    <w:rPr>
      <w:color w:val="2B579A"/>
      <w:shd w:val="clear" w:color="auto" w:fill="E1DFDD"/>
    </w:rPr>
  </w:style>
  <w:style w:type="paragraph" w:customStyle="1" w:styleId="Standard2">
    <w:name w:val="Standard2"/>
    <w:qFormat/>
    <w:rsid w:val="002707FA"/>
    <w:pPr>
      <w:tabs>
        <w:tab w:val="left" w:pos="567"/>
      </w:tabs>
    </w:pPr>
    <w:rPr>
      <w:sz w:val="22"/>
      <w:lang w:val="en-GB" w:eastAsia="en-US"/>
    </w:rPr>
  </w:style>
  <w:style w:type="table" w:styleId="TableGrid">
    <w:name w:val="Table Grid"/>
    <w:basedOn w:val="TableNormal"/>
    <w:rsid w:val="00AB1EAC"/>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unhideWhenUsed/>
    <w:rsid w:val="00682AA2"/>
    <w:rPr>
      <w:color w:val="605E5C"/>
      <w:shd w:val="clear" w:color="auto" w:fill="E1DFDD"/>
    </w:rPr>
  </w:style>
  <w:style w:type="character" w:customStyle="1" w:styleId="Menzione1">
    <w:name w:val="Menzione1"/>
    <w:basedOn w:val="DefaultParagraphFont"/>
    <w:uiPriority w:val="99"/>
    <w:unhideWhenUsed/>
    <w:rsid w:val="00682AA2"/>
    <w:rPr>
      <w:color w:val="2B579A"/>
      <w:shd w:val="clear" w:color="auto" w:fill="E1DFDD"/>
    </w:rPr>
  </w:style>
  <w:style w:type="character" w:customStyle="1" w:styleId="CommentTextChar1">
    <w:name w:val="Comment Text Char1"/>
    <w:aliases w:val="Comments Char,Comment Text Char2 Char,Comment Text Char1 Char1 Char,Comment Text Char Char Char1 Char,Comment Text Char1 Char Char Char,Comment Text Char Char Char Char Char,Comment Text Char Char1 Char Char,Annotationtext Char"/>
    <w:link w:val="CommentText"/>
    <w:rsid w:val="001E196B"/>
    <w:rPr>
      <w:lang w:eastAsia="ar-SA"/>
    </w:rPr>
  </w:style>
  <w:style w:type="character" w:styleId="FollowedHyperlink">
    <w:name w:val="FollowedHyperlink"/>
    <w:basedOn w:val="DefaultParagraphFont"/>
    <w:uiPriority w:val="99"/>
    <w:semiHidden/>
    <w:unhideWhenUsed/>
    <w:rsid w:val="00585785"/>
    <w:rPr>
      <w:color w:val="954F72" w:themeColor="followedHyperlink"/>
      <w:u w:val="single"/>
    </w:rPr>
  </w:style>
  <w:style w:type="character" w:customStyle="1" w:styleId="Menzionenonrisolta2">
    <w:name w:val="Menzione non risolta2"/>
    <w:basedOn w:val="DefaultParagraphFont"/>
    <w:uiPriority w:val="99"/>
    <w:semiHidden/>
    <w:unhideWhenUsed/>
    <w:rsid w:val="00DE7A7B"/>
    <w:rPr>
      <w:color w:val="605E5C"/>
      <w:shd w:val="clear" w:color="auto" w:fill="E1DFDD"/>
    </w:rPr>
  </w:style>
  <w:style w:type="paragraph" w:customStyle="1" w:styleId="Kommentartext1">
    <w:name w:val="Kommentartext1"/>
    <w:basedOn w:val="Standard1"/>
    <w:link w:val="KommentartextZchn1"/>
    <w:uiPriority w:val="99"/>
    <w:rsid w:val="00FD792E"/>
    <w:rPr>
      <w:sz w:val="20"/>
    </w:rPr>
  </w:style>
  <w:style w:type="character" w:customStyle="1" w:styleId="KommentartextZchn1">
    <w:name w:val="Kommentartext Zchn1"/>
    <w:link w:val="Kommentartext1"/>
    <w:uiPriority w:val="99"/>
    <w:rsid w:val="00FD792E"/>
    <w:rPr>
      <w:lang w:val="en-GB" w:eastAsia="en-US"/>
    </w:rPr>
  </w:style>
  <w:style w:type="paragraph" w:customStyle="1" w:styleId="TableParagraph">
    <w:name w:val="Table Paragraph"/>
    <w:basedOn w:val="Normal"/>
    <w:uiPriority w:val="1"/>
    <w:qFormat/>
    <w:rsid w:val="005477D4"/>
    <w:pPr>
      <w:widowControl w:val="0"/>
      <w:tabs>
        <w:tab w:val="clear" w:pos="567"/>
      </w:tabs>
      <w:suppressAutoHyphens w:val="0"/>
      <w:autoSpaceDE w:val="0"/>
      <w:autoSpaceDN w:val="0"/>
      <w:ind w:left="200"/>
    </w:pPr>
    <w:rPr>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0640">
      <w:bodyDiv w:val="1"/>
      <w:marLeft w:val="0"/>
      <w:marRight w:val="0"/>
      <w:marTop w:val="0"/>
      <w:marBottom w:val="0"/>
      <w:divBdr>
        <w:top w:val="none" w:sz="0" w:space="0" w:color="auto"/>
        <w:left w:val="none" w:sz="0" w:space="0" w:color="auto"/>
        <w:bottom w:val="none" w:sz="0" w:space="0" w:color="auto"/>
        <w:right w:val="none" w:sz="0" w:space="0" w:color="auto"/>
      </w:divBdr>
    </w:div>
    <w:div w:id="185751892">
      <w:bodyDiv w:val="1"/>
      <w:marLeft w:val="0"/>
      <w:marRight w:val="0"/>
      <w:marTop w:val="0"/>
      <w:marBottom w:val="0"/>
      <w:divBdr>
        <w:top w:val="none" w:sz="0" w:space="0" w:color="auto"/>
        <w:left w:val="none" w:sz="0" w:space="0" w:color="auto"/>
        <w:bottom w:val="none" w:sz="0" w:space="0" w:color="auto"/>
        <w:right w:val="none" w:sz="0" w:space="0" w:color="auto"/>
      </w:divBdr>
    </w:div>
    <w:div w:id="203713750">
      <w:bodyDiv w:val="1"/>
      <w:marLeft w:val="0"/>
      <w:marRight w:val="0"/>
      <w:marTop w:val="0"/>
      <w:marBottom w:val="0"/>
      <w:divBdr>
        <w:top w:val="none" w:sz="0" w:space="0" w:color="auto"/>
        <w:left w:val="none" w:sz="0" w:space="0" w:color="auto"/>
        <w:bottom w:val="none" w:sz="0" w:space="0" w:color="auto"/>
        <w:right w:val="none" w:sz="0" w:space="0" w:color="auto"/>
      </w:divBdr>
    </w:div>
    <w:div w:id="319235614">
      <w:bodyDiv w:val="1"/>
      <w:marLeft w:val="0"/>
      <w:marRight w:val="0"/>
      <w:marTop w:val="0"/>
      <w:marBottom w:val="0"/>
      <w:divBdr>
        <w:top w:val="none" w:sz="0" w:space="0" w:color="auto"/>
        <w:left w:val="none" w:sz="0" w:space="0" w:color="auto"/>
        <w:bottom w:val="none" w:sz="0" w:space="0" w:color="auto"/>
        <w:right w:val="none" w:sz="0" w:space="0" w:color="auto"/>
      </w:divBdr>
    </w:div>
    <w:div w:id="469786161">
      <w:bodyDiv w:val="1"/>
      <w:marLeft w:val="0"/>
      <w:marRight w:val="0"/>
      <w:marTop w:val="0"/>
      <w:marBottom w:val="0"/>
      <w:divBdr>
        <w:top w:val="none" w:sz="0" w:space="0" w:color="auto"/>
        <w:left w:val="none" w:sz="0" w:space="0" w:color="auto"/>
        <w:bottom w:val="none" w:sz="0" w:space="0" w:color="auto"/>
        <w:right w:val="none" w:sz="0" w:space="0" w:color="auto"/>
      </w:divBdr>
    </w:div>
    <w:div w:id="573131389">
      <w:bodyDiv w:val="1"/>
      <w:marLeft w:val="0"/>
      <w:marRight w:val="0"/>
      <w:marTop w:val="0"/>
      <w:marBottom w:val="0"/>
      <w:divBdr>
        <w:top w:val="none" w:sz="0" w:space="0" w:color="auto"/>
        <w:left w:val="none" w:sz="0" w:space="0" w:color="auto"/>
        <w:bottom w:val="none" w:sz="0" w:space="0" w:color="auto"/>
        <w:right w:val="none" w:sz="0" w:space="0" w:color="auto"/>
      </w:divBdr>
    </w:div>
    <w:div w:id="581257704">
      <w:bodyDiv w:val="1"/>
      <w:marLeft w:val="0"/>
      <w:marRight w:val="0"/>
      <w:marTop w:val="0"/>
      <w:marBottom w:val="0"/>
      <w:divBdr>
        <w:top w:val="none" w:sz="0" w:space="0" w:color="auto"/>
        <w:left w:val="none" w:sz="0" w:space="0" w:color="auto"/>
        <w:bottom w:val="none" w:sz="0" w:space="0" w:color="auto"/>
        <w:right w:val="none" w:sz="0" w:space="0" w:color="auto"/>
      </w:divBdr>
    </w:div>
    <w:div w:id="618342256">
      <w:bodyDiv w:val="1"/>
      <w:marLeft w:val="0"/>
      <w:marRight w:val="0"/>
      <w:marTop w:val="0"/>
      <w:marBottom w:val="0"/>
      <w:divBdr>
        <w:top w:val="none" w:sz="0" w:space="0" w:color="auto"/>
        <w:left w:val="none" w:sz="0" w:space="0" w:color="auto"/>
        <w:bottom w:val="none" w:sz="0" w:space="0" w:color="auto"/>
        <w:right w:val="none" w:sz="0" w:space="0" w:color="auto"/>
      </w:divBdr>
    </w:div>
    <w:div w:id="1003972221">
      <w:bodyDiv w:val="1"/>
      <w:marLeft w:val="0"/>
      <w:marRight w:val="0"/>
      <w:marTop w:val="0"/>
      <w:marBottom w:val="0"/>
      <w:divBdr>
        <w:top w:val="none" w:sz="0" w:space="0" w:color="auto"/>
        <w:left w:val="none" w:sz="0" w:space="0" w:color="auto"/>
        <w:bottom w:val="none" w:sz="0" w:space="0" w:color="auto"/>
        <w:right w:val="none" w:sz="0" w:space="0" w:color="auto"/>
      </w:divBdr>
    </w:div>
    <w:div w:id="1037975473">
      <w:bodyDiv w:val="1"/>
      <w:marLeft w:val="0"/>
      <w:marRight w:val="0"/>
      <w:marTop w:val="0"/>
      <w:marBottom w:val="0"/>
      <w:divBdr>
        <w:top w:val="none" w:sz="0" w:space="0" w:color="auto"/>
        <w:left w:val="none" w:sz="0" w:space="0" w:color="auto"/>
        <w:bottom w:val="none" w:sz="0" w:space="0" w:color="auto"/>
        <w:right w:val="none" w:sz="0" w:space="0" w:color="auto"/>
      </w:divBdr>
    </w:div>
    <w:div w:id="1274943585">
      <w:bodyDiv w:val="1"/>
      <w:marLeft w:val="0"/>
      <w:marRight w:val="0"/>
      <w:marTop w:val="0"/>
      <w:marBottom w:val="0"/>
      <w:divBdr>
        <w:top w:val="none" w:sz="0" w:space="0" w:color="auto"/>
        <w:left w:val="none" w:sz="0" w:space="0" w:color="auto"/>
        <w:bottom w:val="none" w:sz="0" w:space="0" w:color="auto"/>
        <w:right w:val="none" w:sz="0" w:space="0" w:color="auto"/>
      </w:divBdr>
    </w:div>
    <w:div w:id="1365789274">
      <w:bodyDiv w:val="1"/>
      <w:marLeft w:val="0"/>
      <w:marRight w:val="0"/>
      <w:marTop w:val="0"/>
      <w:marBottom w:val="0"/>
      <w:divBdr>
        <w:top w:val="none" w:sz="0" w:space="0" w:color="auto"/>
        <w:left w:val="none" w:sz="0" w:space="0" w:color="auto"/>
        <w:bottom w:val="none" w:sz="0" w:space="0" w:color="auto"/>
        <w:right w:val="none" w:sz="0" w:space="0" w:color="auto"/>
      </w:divBdr>
    </w:div>
    <w:div w:id="1486164843">
      <w:bodyDiv w:val="1"/>
      <w:marLeft w:val="0"/>
      <w:marRight w:val="0"/>
      <w:marTop w:val="0"/>
      <w:marBottom w:val="0"/>
      <w:divBdr>
        <w:top w:val="none" w:sz="0" w:space="0" w:color="auto"/>
        <w:left w:val="none" w:sz="0" w:space="0" w:color="auto"/>
        <w:bottom w:val="none" w:sz="0" w:space="0" w:color="auto"/>
        <w:right w:val="none" w:sz="0" w:space="0" w:color="auto"/>
      </w:divBdr>
    </w:div>
    <w:div w:id="1607543058">
      <w:bodyDiv w:val="1"/>
      <w:marLeft w:val="0"/>
      <w:marRight w:val="0"/>
      <w:marTop w:val="0"/>
      <w:marBottom w:val="0"/>
      <w:divBdr>
        <w:top w:val="none" w:sz="0" w:space="0" w:color="auto"/>
        <w:left w:val="none" w:sz="0" w:space="0" w:color="auto"/>
        <w:bottom w:val="none" w:sz="0" w:space="0" w:color="auto"/>
        <w:right w:val="none" w:sz="0" w:space="0" w:color="auto"/>
      </w:divBdr>
    </w:div>
    <w:div w:id="1699813469">
      <w:bodyDiv w:val="1"/>
      <w:marLeft w:val="0"/>
      <w:marRight w:val="0"/>
      <w:marTop w:val="0"/>
      <w:marBottom w:val="0"/>
      <w:divBdr>
        <w:top w:val="none" w:sz="0" w:space="0" w:color="auto"/>
        <w:left w:val="none" w:sz="0" w:space="0" w:color="auto"/>
        <w:bottom w:val="none" w:sz="0" w:space="0" w:color="auto"/>
        <w:right w:val="none" w:sz="0" w:space="0" w:color="auto"/>
      </w:divBdr>
    </w:div>
    <w:div w:id="1920288669">
      <w:bodyDiv w:val="1"/>
      <w:marLeft w:val="0"/>
      <w:marRight w:val="0"/>
      <w:marTop w:val="0"/>
      <w:marBottom w:val="0"/>
      <w:divBdr>
        <w:top w:val="none" w:sz="0" w:space="0" w:color="auto"/>
        <w:left w:val="none" w:sz="0" w:space="0" w:color="auto"/>
        <w:bottom w:val="none" w:sz="0" w:space="0" w:color="auto"/>
        <w:right w:val="none" w:sz="0" w:space="0" w:color="auto"/>
      </w:divBdr>
    </w:div>
    <w:div w:id="20349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ifa.gov.it/content/segnalazioni-reazioni-avverse"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dimethyl-fumarate-accor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EMADOC-1700519818-2385114</_dlc_DocId>
    <_dlc_DocIdUrl xmlns="a034c160-bfb7-45f5-8632-2eb7e0508071">
      <Url>https://euema.sharepoint.com/sites/CRM/_layouts/15/DocIdRedir.aspx?ID=EMADOC-1700519818-2385114</Url>
      <Description>EMADOC-1700519818-2385114</Description>
    </_dlc_DocIdUrl>
  </documentManagement>
</p:properties>
</file>

<file path=customXml/itemProps1.xml><?xml version="1.0" encoding="utf-8"?>
<ds:datastoreItem xmlns:ds="http://schemas.openxmlformats.org/officeDocument/2006/customXml" ds:itemID="{E1C9C46B-92A3-4190-B81C-CA98F33391F5}">
  <ds:schemaRefs>
    <ds:schemaRef ds:uri="http://schemas.openxmlformats.org/officeDocument/2006/bibliography"/>
  </ds:schemaRefs>
</ds:datastoreItem>
</file>

<file path=customXml/itemProps2.xml><?xml version="1.0" encoding="utf-8"?>
<ds:datastoreItem xmlns:ds="http://schemas.openxmlformats.org/officeDocument/2006/customXml" ds:itemID="{9CBD92A3-DDDC-4A43-887D-A37E10C6E499}">
  <ds:schemaRefs>
    <ds:schemaRef ds:uri="http://schemas.microsoft.com/office/2006/metadata/longProperties"/>
  </ds:schemaRefs>
</ds:datastoreItem>
</file>

<file path=customXml/itemProps3.xml><?xml version="1.0" encoding="utf-8"?>
<ds:datastoreItem xmlns:ds="http://schemas.openxmlformats.org/officeDocument/2006/customXml" ds:itemID="{605C4320-E2AE-48BF-AA87-69BC07BE1689}"/>
</file>

<file path=customXml/itemProps4.xml><?xml version="1.0" encoding="utf-8"?>
<ds:datastoreItem xmlns:ds="http://schemas.openxmlformats.org/officeDocument/2006/customXml" ds:itemID="{FC2A7477-5D44-479B-8F79-4CE73185C5B6}"/>
</file>

<file path=customXml/itemProps5.xml><?xml version="1.0" encoding="utf-8"?>
<ds:datastoreItem xmlns:ds="http://schemas.openxmlformats.org/officeDocument/2006/customXml" ds:itemID="{D1303CF5-E593-4D50-B1BE-EE833806800B}"/>
</file>

<file path=customXml/itemProps6.xml><?xml version="1.0" encoding="utf-8"?>
<ds:datastoreItem xmlns:ds="http://schemas.openxmlformats.org/officeDocument/2006/customXml" ds:itemID="{F3B36EE5-E4D6-45BA-94C2-765BB38DBBCD}"/>
</file>

<file path=docProps/app.xml><?xml version="1.0" encoding="utf-8"?>
<Properties xmlns="http://schemas.openxmlformats.org/officeDocument/2006/extended-properties" xmlns:vt="http://schemas.openxmlformats.org/officeDocument/2006/docPropsVTypes">
  <Template>Normal</Template>
  <TotalTime>8</TotalTime>
  <Pages>42</Pages>
  <Words>14540</Words>
  <Characters>82883</Characters>
  <Application>Microsoft Office Word</Application>
  <DocSecurity>0</DocSecurity>
  <Lines>690</Lines>
  <Paragraphs>194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Dimetil fumarato Accord: EPAR - Product information - tracked changes</vt:lpstr>
      <vt:lpstr/>
    </vt:vector>
  </TitlesOfParts>
  <Company/>
  <LinksUpToDate>false</LinksUpToDate>
  <CharactersWithSpaces>97229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Accord: EPAR - Product information - tracked changes</dc:title>
  <dc:creator>CHMP</dc:creator>
  <cp:lastModifiedBy>Tejas Vachhani</cp:lastModifiedBy>
  <cp:revision>6</cp:revision>
  <dcterms:created xsi:type="dcterms:W3CDTF">2025-02-25T05:10:00Z</dcterms:created>
  <dcterms:modified xsi:type="dcterms:W3CDTF">2025-08-14T11:01:00Z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Enabled">
    <vt:lpwstr>true</vt:lpwstr>
  </property>
  <property fmtid="{D5CDD505-2E9C-101B-9397-08002B2CF9AE}" pid="3" name="MSIP_Label_503f6870-8cd0-455e-9544-ac69fe858a10_SetDate">
    <vt:lpwstr>2022-07-27T09:42:54Z</vt:lpwstr>
  </property>
  <property fmtid="{D5CDD505-2E9C-101B-9397-08002B2CF9AE}" pid="4" name="MSIP_Label_503f6870-8cd0-455e-9544-ac69fe858a10_Method">
    <vt:lpwstr>Privileged</vt:lpwstr>
  </property>
  <property fmtid="{D5CDD505-2E9C-101B-9397-08002B2CF9AE}" pid="5" name="MSIP_Label_503f6870-8cd0-455e-9544-ac69fe858a10_Name">
    <vt:lpwstr>503f6870-8cd0-455e-9544-ac69fe858a10</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ActionId">
    <vt:lpwstr>d94638a9-b787-49a5-8d97-6c983d06f515</vt:lpwstr>
  </property>
  <property fmtid="{D5CDD505-2E9C-101B-9397-08002B2CF9AE}" pid="8" name="MSIP_Label_503f6870-8cd0-455e-9544-ac69fe858a10_ContentBits">
    <vt:lpwstr>2</vt:lpwstr>
  </property>
  <property fmtid="{D5CDD505-2E9C-101B-9397-08002B2CF9AE}" pid="9" name="MSIP_Label_926dd0f0-549d-4a31-862c-c1638adefb3b_Enabled">
    <vt:lpwstr>true</vt:lpwstr>
  </property>
  <property fmtid="{D5CDD505-2E9C-101B-9397-08002B2CF9AE}" pid="10" name="MSIP_Label_926dd0f0-549d-4a31-862c-c1638adefb3b_SetDate">
    <vt:lpwstr>2023-01-11T10:59:24Z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fe458bfc-7175-4c58-9322-9660fd092ae5</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f61fbc09-3981-4e4b-b91c-ddd80f5188b2</vt:lpwstr>
  </property>
</Properties>
</file>