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1"/>
        <w:tblW w:w="9356" w:type="dxa"/>
        <w:tblLook w:val="04A0" w:firstRow="1" w:lastRow="0" w:firstColumn="1" w:lastColumn="0" w:noHBand="0" w:noVBand="1"/>
      </w:tblPr>
      <w:tblGrid>
        <w:gridCol w:w="9356"/>
      </w:tblGrid>
      <w:tr w:rsidR="006A1F2F" w:rsidRPr="00E56D1F" w14:paraId="42A2DF32" w14:textId="77777777" w:rsidTr="006A1F2F">
        <w:tc>
          <w:tcPr>
            <w:tcW w:w="9356" w:type="dxa"/>
          </w:tcPr>
          <w:p w14:paraId="5420A1B1" w14:textId="180BA11D" w:rsidR="006A1F2F" w:rsidRPr="00E76B0D" w:rsidRDefault="006A1F2F" w:rsidP="006A1F2F">
            <w:pPr>
              <w:widowControl w:val="0"/>
              <w:ind w:right="40"/>
              <w:rPr>
                <w:rFonts w:ascii="Times New Roman" w:hAnsi="Times New Roman"/>
                <w:lang w:val="it-IT"/>
              </w:rPr>
            </w:pPr>
            <w:bookmarkStart w:id="0" w:name="_Hlk164265843"/>
            <w:bookmarkEnd w:id="0"/>
            <w:r w:rsidRPr="00E76B0D">
              <w:rPr>
                <w:rFonts w:ascii="Times New Roman" w:hAnsi="Times New Roman"/>
                <w:szCs w:val="24"/>
                <w:lang w:val="it-IT"/>
              </w:rPr>
              <w:t>I</w:t>
            </w:r>
            <w:r w:rsidRPr="00E76B0D">
              <w:rPr>
                <w:rFonts w:ascii="Times New Roman" w:hAnsi="Times New Roman"/>
                <w:lang w:val="it-IT"/>
              </w:rPr>
              <w:t>l presente documento riporta le informazioni sul prodotto approvate relative a Kivexa, con evidenziate le modifiche che vi sono state apportate r</w:t>
            </w:r>
            <w:r w:rsidRPr="00E76B0D">
              <w:rPr>
                <w:rFonts w:ascii="Times New Roman" w:hAnsi="Times New Roman"/>
              </w:rPr>
              <w:t>ispetto</w:t>
            </w:r>
            <w:r w:rsidRPr="00E76B0D">
              <w:rPr>
                <w:rFonts w:ascii="Times New Roman" w:hAnsi="Times New Roman"/>
                <w:lang w:val="it-IT"/>
              </w:rPr>
              <w:t xml:space="preserve"> alla procedura precedente </w:t>
            </w:r>
            <w:r w:rsidRPr="00E76B0D">
              <w:rPr>
                <w:rFonts w:ascii="Times New Roman" w:hAnsi="Times New Roman"/>
              </w:rPr>
              <w:t>(</w:t>
            </w:r>
            <w:r w:rsidR="00447F27" w:rsidRPr="00447F27">
              <w:rPr>
                <w:rFonts w:ascii="Times New Roman" w:hAnsi="Times New Roman"/>
              </w:rPr>
              <w:t>EMEA/H/C/PSUSA/00000011/202212</w:t>
            </w:r>
            <w:r w:rsidRPr="00E76B0D">
              <w:rPr>
                <w:rFonts w:ascii="Times New Roman" w:hAnsi="Times New Roman"/>
              </w:rPr>
              <w:t>)</w:t>
            </w:r>
            <w:r>
              <w:rPr>
                <w:rFonts w:ascii="Times New Roman" w:hAnsi="Times New Roman"/>
              </w:rPr>
              <w:t>.</w:t>
            </w:r>
          </w:p>
          <w:p w14:paraId="02E7E8C2" w14:textId="77777777" w:rsidR="006A1F2F" w:rsidRPr="00E76B0D" w:rsidRDefault="006A1F2F" w:rsidP="006A1F2F">
            <w:pPr>
              <w:widowControl w:val="0"/>
              <w:rPr>
                <w:rFonts w:ascii="Times New Roman" w:hAnsi="Times New Roman"/>
                <w:lang w:val="it-IT"/>
              </w:rPr>
            </w:pPr>
          </w:p>
          <w:p w14:paraId="15D90BB5" w14:textId="77777777" w:rsidR="006A1F2F" w:rsidRPr="00393214" w:rsidRDefault="006A1F2F" w:rsidP="006A1F2F">
            <w:pPr>
              <w:pStyle w:val="Dnex1"/>
              <w:pBdr>
                <w:top w:val="none" w:sz="0" w:space="0" w:color="auto"/>
                <w:left w:val="none" w:sz="0" w:space="0" w:color="auto"/>
                <w:bottom w:val="none" w:sz="0" w:space="0" w:color="auto"/>
                <w:right w:val="none" w:sz="0" w:space="0" w:color="auto"/>
              </w:pBdr>
              <w:rPr>
                <w:rFonts w:ascii="Times New Roman" w:hAnsi="Times New Roman"/>
                <w:vanish w:val="0"/>
                <w:lang w:val="en-US"/>
              </w:rPr>
            </w:pPr>
            <w:r w:rsidRPr="00AF244F">
              <w:rPr>
                <w:rFonts w:ascii="Times New Roman" w:hAnsi="Times New Roman"/>
                <w:vanish w:val="0"/>
                <w:lang w:val="it-IT"/>
              </w:rPr>
              <w:t xml:space="preserve">Per maggiori informazioni, consultare il sito web dell’Agenzia europea per i medicinali: </w:t>
            </w:r>
            <w:hyperlink r:id="rId11" w:history="1">
              <w:r w:rsidRPr="00AF244F">
                <w:rPr>
                  <w:rStyle w:val="Hyperlink"/>
                  <w:rFonts w:ascii="Times New Roman" w:hAnsi="Times New Roman"/>
                  <w:vanish w:val="0"/>
                  <w:lang w:val="it-IT"/>
                </w:rPr>
                <w:t>https://www.ema.europa.eu/en/medicines/human/epar/Kivexa</w:t>
              </w:r>
            </w:hyperlink>
          </w:p>
        </w:tc>
      </w:tr>
    </w:tbl>
    <w:p w14:paraId="7DD584D3" w14:textId="77777777" w:rsidR="00E56D1F" w:rsidRPr="00D264BC" w:rsidRDefault="00E56D1F" w:rsidP="00E56D1F">
      <w:pPr>
        <w:jc w:val="center"/>
        <w:rPr>
          <w:b/>
          <w:szCs w:val="22"/>
        </w:rPr>
      </w:pPr>
    </w:p>
    <w:p w14:paraId="2523C42F" w14:textId="77777777" w:rsidR="0084378B" w:rsidRPr="00E56D1F" w:rsidRDefault="0084378B">
      <w:pPr>
        <w:pStyle w:val="bullethead"/>
        <w:widowControl w:val="0"/>
        <w:tabs>
          <w:tab w:val="left" w:pos="567"/>
        </w:tabs>
        <w:spacing w:before="0" w:line="240" w:lineRule="auto"/>
        <w:rPr>
          <w:kern w:val="0"/>
          <w:szCs w:val="22"/>
          <w:lang w:val="it-IT"/>
        </w:rPr>
      </w:pPr>
    </w:p>
    <w:p w14:paraId="6829FCF6" w14:textId="77777777" w:rsidR="0084378B" w:rsidRPr="00C9575C" w:rsidRDefault="0084378B">
      <w:pPr>
        <w:widowControl w:val="0"/>
        <w:tabs>
          <w:tab w:val="left" w:pos="567"/>
        </w:tabs>
        <w:rPr>
          <w:b/>
          <w:szCs w:val="22"/>
          <w:lang w:val="it-IT"/>
        </w:rPr>
      </w:pPr>
    </w:p>
    <w:p w14:paraId="2DDA6AEB" w14:textId="77777777" w:rsidR="0084378B" w:rsidRPr="00C9575C" w:rsidRDefault="0084378B">
      <w:pPr>
        <w:widowControl w:val="0"/>
        <w:tabs>
          <w:tab w:val="left" w:pos="567"/>
        </w:tabs>
        <w:rPr>
          <w:b/>
          <w:szCs w:val="22"/>
          <w:lang w:val="it-IT"/>
        </w:rPr>
      </w:pPr>
    </w:p>
    <w:p w14:paraId="2F449562" w14:textId="77777777" w:rsidR="0084378B" w:rsidRPr="00C9575C" w:rsidRDefault="0084378B">
      <w:pPr>
        <w:widowControl w:val="0"/>
        <w:tabs>
          <w:tab w:val="left" w:pos="567"/>
        </w:tabs>
        <w:rPr>
          <w:b/>
          <w:szCs w:val="22"/>
          <w:lang w:val="it-IT"/>
        </w:rPr>
      </w:pPr>
    </w:p>
    <w:p w14:paraId="7523AC89" w14:textId="77777777" w:rsidR="0084378B" w:rsidRPr="00C9575C" w:rsidRDefault="0084378B">
      <w:pPr>
        <w:widowControl w:val="0"/>
        <w:tabs>
          <w:tab w:val="left" w:pos="567"/>
        </w:tabs>
        <w:rPr>
          <w:b/>
          <w:szCs w:val="22"/>
          <w:lang w:val="it-IT"/>
        </w:rPr>
      </w:pPr>
    </w:p>
    <w:p w14:paraId="749EFF19" w14:textId="77777777" w:rsidR="0084378B" w:rsidRPr="00C9575C" w:rsidRDefault="0084378B">
      <w:pPr>
        <w:widowControl w:val="0"/>
        <w:tabs>
          <w:tab w:val="left" w:pos="567"/>
        </w:tabs>
        <w:rPr>
          <w:b/>
          <w:szCs w:val="22"/>
          <w:lang w:val="it-IT"/>
        </w:rPr>
      </w:pPr>
    </w:p>
    <w:p w14:paraId="12AD61B0" w14:textId="77777777" w:rsidR="0084378B" w:rsidRPr="00C9575C" w:rsidRDefault="0084378B">
      <w:pPr>
        <w:widowControl w:val="0"/>
        <w:tabs>
          <w:tab w:val="left" w:pos="567"/>
        </w:tabs>
        <w:rPr>
          <w:b/>
          <w:szCs w:val="22"/>
          <w:lang w:val="it-IT"/>
        </w:rPr>
      </w:pPr>
    </w:p>
    <w:p w14:paraId="20895D4E" w14:textId="77777777" w:rsidR="0084378B" w:rsidRPr="00C9575C" w:rsidRDefault="0084378B">
      <w:pPr>
        <w:widowControl w:val="0"/>
        <w:tabs>
          <w:tab w:val="left" w:pos="567"/>
        </w:tabs>
        <w:rPr>
          <w:b/>
          <w:szCs w:val="22"/>
          <w:lang w:val="it-IT"/>
        </w:rPr>
      </w:pPr>
    </w:p>
    <w:p w14:paraId="50CD2DEF" w14:textId="77777777" w:rsidR="0084378B" w:rsidRPr="00C9575C" w:rsidRDefault="0084378B">
      <w:pPr>
        <w:widowControl w:val="0"/>
        <w:tabs>
          <w:tab w:val="left" w:pos="567"/>
        </w:tabs>
        <w:rPr>
          <w:b/>
          <w:szCs w:val="22"/>
          <w:lang w:val="it-IT"/>
        </w:rPr>
      </w:pPr>
    </w:p>
    <w:p w14:paraId="6A68174B" w14:textId="77777777" w:rsidR="0084378B" w:rsidRPr="00C9575C" w:rsidRDefault="0084378B">
      <w:pPr>
        <w:widowControl w:val="0"/>
        <w:tabs>
          <w:tab w:val="left" w:pos="567"/>
        </w:tabs>
        <w:rPr>
          <w:b/>
          <w:szCs w:val="22"/>
          <w:lang w:val="it-IT"/>
        </w:rPr>
      </w:pPr>
    </w:p>
    <w:p w14:paraId="3652808C" w14:textId="77777777" w:rsidR="0084378B" w:rsidRPr="00C9575C" w:rsidRDefault="0084378B">
      <w:pPr>
        <w:widowControl w:val="0"/>
        <w:tabs>
          <w:tab w:val="left" w:pos="567"/>
        </w:tabs>
        <w:rPr>
          <w:b/>
          <w:szCs w:val="22"/>
          <w:lang w:val="it-IT"/>
        </w:rPr>
      </w:pPr>
    </w:p>
    <w:p w14:paraId="161A4EB5" w14:textId="77777777" w:rsidR="0084378B" w:rsidRPr="00C9575C" w:rsidRDefault="0084378B">
      <w:pPr>
        <w:widowControl w:val="0"/>
        <w:tabs>
          <w:tab w:val="left" w:pos="567"/>
        </w:tabs>
        <w:rPr>
          <w:b/>
          <w:szCs w:val="22"/>
          <w:lang w:val="it-IT"/>
        </w:rPr>
      </w:pPr>
    </w:p>
    <w:p w14:paraId="0A4A330D" w14:textId="77777777" w:rsidR="0084378B" w:rsidRPr="00C9575C" w:rsidRDefault="0084378B">
      <w:pPr>
        <w:widowControl w:val="0"/>
        <w:tabs>
          <w:tab w:val="left" w:pos="567"/>
        </w:tabs>
        <w:rPr>
          <w:b/>
          <w:szCs w:val="22"/>
          <w:lang w:val="it-IT"/>
        </w:rPr>
      </w:pPr>
    </w:p>
    <w:p w14:paraId="5B951D2A" w14:textId="77777777" w:rsidR="0084378B" w:rsidRPr="00C9575C" w:rsidRDefault="0084378B">
      <w:pPr>
        <w:widowControl w:val="0"/>
        <w:tabs>
          <w:tab w:val="left" w:pos="567"/>
        </w:tabs>
        <w:rPr>
          <w:b/>
          <w:szCs w:val="22"/>
          <w:lang w:val="it-IT"/>
        </w:rPr>
      </w:pPr>
    </w:p>
    <w:p w14:paraId="028CAAE1" w14:textId="77777777" w:rsidR="0084378B" w:rsidRPr="00C9575C" w:rsidRDefault="0084378B">
      <w:pPr>
        <w:widowControl w:val="0"/>
        <w:tabs>
          <w:tab w:val="left" w:pos="567"/>
        </w:tabs>
        <w:rPr>
          <w:b/>
          <w:szCs w:val="22"/>
          <w:lang w:val="it-IT"/>
        </w:rPr>
      </w:pPr>
    </w:p>
    <w:p w14:paraId="69842C50" w14:textId="77777777" w:rsidR="0084378B" w:rsidRPr="00C9575C" w:rsidRDefault="0084378B">
      <w:pPr>
        <w:widowControl w:val="0"/>
        <w:tabs>
          <w:tab w:val="left" w:pos="567"/>
        </w:tabs>
        <w:rPr>
          <w:b/>
          <w:szCs w:val="22"/>
          <w:lang w:val="it-IT"/>
        </w:rPr>
      </w:pPr>
    </w:p>
    <w:p w14:paraId="0EA4EA36" w14:textId="77777777" w:rsidR="0084378B" w:rsidRPr="00C9575C" w:rsidRDefault="0084378B">
      <w:pPr>
        <w:widowControl w:val="0"/>
        <w:tabs>
          <w:tab w:val="left" w:pos="567"/>
        </w:tabs>
        <w:rPr>
          <w:b/>
          <w:szCs w:val="22"/>
          <w:lang w:val="it-IT"/>
        </w:rPr>
      </w:pPr>
    </w:p>
    <w:p w14:paraId="67B9C85F" w14:textId="77777777" w:rsidR="0084378B" w:rsidRPr="00C9575C" w:rsidRDefault="0084378B">
      <w:pPr>
        <w:widowControl w:val="0"/>
        <w:tabs>
          <w:tab w:val="left" w:pos="567"/>
        </w:tabs>
        <w:rPr>
          <w:b/>
          <w:szCs w:val="22"/>
          <w:lang w:val="it-IT"/>
        </w:rPr>
      </w:pPr>
    </w:p>
    <w:p w14:paraId="5D48CB89" w14:textId="77777777" w:rsidR="0084378B" w:rsidRPr="00C9575C" w:rsidRDefault="0084378B">
      <w:pPr>
        <w:widowControl w:val="0"/>
        <w:tabs>
          <w:tab w:val="left" w:pos="567"/>
        </w:tabs>
        <w:rPr>
          <w:b/>
          <w:szCs w:val="22"/>
          <w:lang w:val="it-IT"/>
        </w:rPr>
      </w:pPr>
    </w:p>
    <w:p w14:paraId="4CB53D9B" w14:textId="77777777" w:rsidR="0084378B" w:rsidRPr="00C9575C" w:rsidRDefault="0084378B">
      <w:pPr>
        <w:widowControl w:val="0"/>
        <w:tabs>
          <w:tab w:val="left" w:pos="567"/>
        </w:tabs>
        <w:rPr>
          <w:b/>
          <w:szCs w:val="22"/>
          <w:lang w:val="it-IT"/>
        </w:rPr>
      </w:pPr>
    </w:p>
    <w:p w14:paraId="6009404B" w14:textId="77777777" w:rsidR="0084378B" w:rsidRPr="00C9575C" w:rsidRDefault="0084378B">
      <w:pPr>
        <w:widowControl w:val="0"/>
        <w:tabs>
          <w:tab w:val="left" w:pos="567"/>
        </w:tabs>
        <w:rPr>
          <w:b/>
          <w:szCs w:val="22"/>
          <w:lang w:val="it-IT"/>
        </w:rPr>
      </w:pPr>
    </w:p>
    <w:p w14:paraId="5DF4670B" w14:textId="77777777" w:rsidR="0084378B" w:rsidRPr="00C9575C" w:rsidRDefault="0084378B">
      <w:pPr>
        <w:widowControl w:val="0"/>
        <w:tabs>
          <w:tab w:val="left" w:pos="567"/>
        </w:tabs>
        <w:rPr>
          <w:b/>
          <w:szCs w:val="22"/>
          <w:lang w:val="it-IT"/>
        </w:rPr>
      </w:pPr>
    </w:p>
    <w:p w14:paraId="0421FD1F" w14:textId="77777777" w:rsidR="0084378B" w:rsidRPr="00C9575C" w:rsidRDefault="0084378B">
      <w:pPr>
        <w:widowControl w:val="0"/>
        <w:tabs>
          <w:tab w:val="left" w:pos="567"/>
        </w:tabs>
        <w:rPr>
          <w:b/>
          <w:szCs w:val="22"/>
          <w:lang w:val="it-IT"/>
        </w:rPr>
      </w:pPr>
    </w:p>
    <w:p w14:paraId="26F845DC" w14:textId="36176497" w:rsidR="0084378B" w:rsidRPr="00C9575C" w:rsidRDefault="0084378B">
      <w:pPr>
        <w:widowControl w:val="0"/>
        <w:tabs>
          <w:tab w:val="left" w:pos="567"/>
        </w:tabs>
        <w:jc w:val="center"/>
        <w:outlineLvl w:val="0"/>
        <w:rPr>
          <w:b/>
          <w:szCs w:val="22"/>
          <w:lang w:val="it-IT"/>
        </w:rPr>
      </w:pPr>
      <w:r w:rsidRPr="00C9575C">
        <w:rPr>
          <w:b/>
          <w:szCs w:val="22"/>
          <w:lang w:val="it-IT"/>
        </w:rPr>
        <w:t>ALLEGATO I</w:t>
      </w:r>
      <w:r w:rsidR="0092155C">
        <w:rPr>
          <w:b/>
          <w:szCs w:val="22"/>
          <w:lang w:val="it-IT"/>
        </w:rPr>
        <w:fldChar w:fldCharType="begin"/>
      </w:r>
      <w:r w:rsidR="0092155C">
        <w:rPr>
          <w:b/>
          <w:szCs w:val="22"/>
          <w:lang w:val="it-IT"/>
        </w:rPr>
        <w:instrText xml:space="preserve"> DOCVARIABLE VAULT_ND_1fa4662b-f0ae-4699-9e2b-597c11481202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1D9CDA39" w14:textId="77777777" w:rsidR="0084378B" w:rsidRPr="00C9575C" w:rsidRDefault="0084378B">
      <w:pPr>
        <w:widowControl w:val="0"/>
        <w:tabs>
          <w:tab w:val="left" w:pos="567"/>
        </w:tabs>
        <w:rPr>
          <w:b/>
          <w:szCs w:val="22"/>
          <w:lang w:val="it-IT"/>
        </w:rPr>
      </w:pPr>
    </w:p>
    <w:p w14:paraId="256C7342" w14:textId="0696DE26" w:rsidR="0084378B" w:rsidRPr="00C9575C" w:rsidRDefault="0084378B" w:rsidP="005544B4">
      <w:pPr>
        <w:pStyle w:val="TitleA"/>
      </w:pPr>
      <w:r w:rsidRPr="00C9575C">
        <w:t>RIASSUNTO DELLE CARATTERISTICHE DEL PRODOTTO</w:t>
      </w:r>
      <w:fldSimple w:instr=" DOCVARIABLE VAULT_ND_247717a8-c9bd-4156-b631-137293081356 \* MERGEFORMAT ">
        <w:r w:rsidR="0092155C">
          <w:t xml:space="preserve"> </w:t>
        </w:r>
      </w:fldSimple>
    </w:p>
    <w:p w14:paraId="4C8E6771" w14:textId="77777777" w:rsidR="0084378B" w:rsidRPr="00C9575C" w:rsidRDefault="0084378B">
      <w:pPr>
        <w:widowControl w:val="0"/>
        <w:tabs>
          <w:tab w:val="left" w:pos="567"/>
        </w:tabs>
        <w:rPr>
          <w:b/>
          <w:szCs w:val="22"/>
          <w:lang w:val="it-IT"/>
        </w:rPr>
      </w:pPr>
      <w:r w:rsidRPr="00C9575C">
        <w:rPr>
          <w:szCs w:val="22"/>
          <w:lang w:val="it-IT"/>
        </w:rPr>
        <w:br w:type="page"/>
      </w:r>
      <w:r w:rsidRPr="00C9575C">
        <w:rPr>
          <w:b/>
          <w:szCs w:val="22"/>
          <w:lang w:val="it-IT"/>
        </w:rPr>
        <w:lastRenderedPageBreak/>
        <w:t>1.</w:t>
      </w:r>
      <w:r w:rsidRPr="00C9575C">
        <w:rPr>
          <w:b/>
          <w:szCs w:val="22"/>
          <w:lang w:val="it-IT"/>
        </w:rPr>
        <w:tab/>
        <w:t>DENOMINAZIONE DEL MEDICINALE</w:t>
      </w:r>
    </w:p>
    <w:p w14:paraId="0E234A4C" w14:textId="77777777" w:rsidR="0084378B" w:rsidRPr="00C9575C" w:rsidRDefault="0084378B">
      <w:pPr>
        <w:widowControl w:val="0"/>
        <w:tabs>
          <w:tab w:val="left" w:pos="567"/>
        </w:tabs>
        <w:rPr>
          <w:szCs w:val="22"/>
          <w:lang w:val="it-IT"/>
        </w:rPr>
      </w:pPr>
    </w:p>
    <w:p w14:paraId="7AE5FCD4" w14:textId="4F85BADD" w:rsidR="0084378B" w:rsidRPr="00C9575C" w:rsidRDefault="007115CF">
      <w:pPr>
        <w:widowControl w:val="0"/>
        <w:tabs>
          <w:tab w:val="left" w:pos="567"/>
        </w:tabs>
        <w:outlineLvl w:val="0"/>
        <w:rPr>
          <w:szCs w:val="22"/>
          <w:lang w:val="it-IT"/>
        </w:rPr>
      </w:pPr>
      <w:r w:rsidRPr="00C9575C">
        <w:rPr>
          <w:szCs w:val="22"/>
          <w:lang w:val="it-IT"/>
        </w:rPr>
        <w:t>Kivexa 600 </w:t>
      </w:r>
      <w:r w:rsidR="0084378B" w:rsidRPr="00C9575C">
        <w:rPr>
          <w:szCs w:val="22"/>
          <w:lang w:val="it-IT"/>
        </w:rPr>
        <w:t>mg/300 mg compresse rivestite con film</w:t>
      </w:r>
      <w:r w:rsidR="0092155C">
        <w:rPr>
          <w:szCs w:val="22"/>
          <w:lang w:val="it-IT"/>
        </w:rPr>
        <w:fldChar w:fldCharType="begin"/>
      </w:r>
      <w:r w:rsidR="0092155C">
        <w:rPr>
          <w:szCs w:val="22"/>
          <w:lang w:val="it-IT"/>
        </w:rPr>
        <w:instrText xml:space="preserve"> DOCVARIABLE vault_nd_175fd1f4-4be3-4bd5-829d-3e1afd23e71e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64214C32" w14:textId="77777777" w:rsidR="0084378B" w:rsidRPr="00C9575C" w:rsidRDefault="0084378B">
      <w:pPr>
        <w:widowControl w:val="0"/>
        <w:tabs>
          <w:tab w:val="left" w:pos="567"/>
        </w:tabs>
        <w:rPr>
          <w:szCs w:val="22"/>
          <w:lang w:val="it-IT"/>
        </w:rPr>
      </w:pPr>
    </w:p>
    <w:p w14:paraId="6C750BAE" w14:textId="77777777" w:rsidR="0084378B" w:rsidRPr="00C9575C" w:rsidRDefault="0084378B">
      <w:pPr>
        <w:widowControl w:val="0"/>
        <w:rPr>
          <w:szCs w:val="22"/>
          <w:lang w:val="it-IT"/>
        </w:rPr>
      </w:pPr>
    </w:p>
    <w:p w14:paraId="614DF32B" w14:textId="77777777" w:rsidR="0084378B" w:rsidRPr="00C9575C" w:rsidRDefault="0084378B">
      <w:pPr>
        <w:widowControl w:val="0"/>
        <w:tabs>
          <w:tab w:val="left" w:pos="567"/>
        </w:tabs>
        <w:rPr>
          <w:b/>
          <w:szCs w:val="22"/>
          <w:lang w:val="it-IT"/>
        </w:rPr>
      </w:pPr>
      <w:r w:rsidRPr="00C9575C">
        <w:rPr>
          <w:b/>
          <w:szCs w:val="22"/>
          <w:lang w:val="it-IT"/>
        </w:rPr>
        <w:t>2.</w:t>
      </w:r>
      <w:r w:rsidRPr="00C9575C">
        <w:rPr>
          <w:b/>
          <w:szCs w:val="22"/>
          <w:lang w:val="it-IT"/>
        </w:rPr>
        <w:tab/>
        <w:t>COMPOSIZIONE QUALITATIVA E QUANTITATIVA</w:t>
      </w:r>
    </w:p>
    <w:p w14:paraId="06769443" w14:textId="77777777" w:rsidR="0084378B" w:rsidRPr="00C9575C" w:rsidRDefault="0084378B">
      <w:pPr>
        <w:widowControl w:val="0"/>
        <w:tabs>
          <w:tab w:val="left" w:pos="567"/>
        </w:tabs>
        <w:rPr>
          <w:szCs w:val="22"/>
          <w:lang w:val="it-IT"/>
        </w:rPr>
      </w:pPr>
    </w:p>
    <w:p w14:paraId="0E228770" w14:textId="21628563" w:rsidR="0084378B" w:rsidRPr="00C9575C" w:rsidRDefault="0084378B">
      <w:pPr>
        <w:widowControl w:val="0"/>
        <w:tabs>
          <w:tab w:val="left" w:pos="567"/>
        </w:tabs>
        <w:outlineLvl w:val="0"/>
        <w:rPr>
          <w:szCs w:val="22"/>
          <w:lang w:val="it-IT"/>
        </w:rPr>
      </w:pPr>
      <w:r w:rsidRPr="00C9575C">
        <w:rPr>
          <w:szCs w:val="22"/>
          <w:lang w:val="it-IT"/>
        </w:rPr>
        <w:t>Ogni compressa rivestita con film contiene 600</w:t>
      </w:r>
      <w:r w:rsidR="00BE5D10" w:rsidRPr="00C9575C">
        <w:rPr>
          <w:szCs w:val="22"/>
          <w:lang w:val="it-IT"/>
        </w:rPr>
        <w:t> </w:t>
      </w:r>
      <w:r w:rsidRPr="00C9575C">
        <w:rPr>
          <w:szCs w:val="22"/>
          <w:lang w:val="it-IT"/>
        </w:rPr>
        <w:t>mg di abacavir (come solfato) e 300 mg di lamivudina.</w:t>
      </w:r>
      <w:r w:rsidR="0092155C">
        <w:rPr>
          <w:szCs w:val="22"/>
          <w:lang w:val="it-IT"/>
        </w:rPr>
        <w:fldChar w:fldCharType="begin"/>
      </w:r>
      <w:r w:rsidR="0092155C">
        <w:rPr>
          <w:szCs w:val="22"/>
          <w:lang w:val="it-IT"/>
        </w:rPr>
        <w:instrText xml:space="preserve"> DOCVARIABLE vault_nd_8f23195d-ea12-4c7f-898b-9acea306d63a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5DB296E6" w14:textId="77777777" w:rsidR="0084378B" w:rsidRPr="00C9575C" w:rsidRDefault="0084378B">
      <w:pPr>
        <w:widowControl w:val="0"/>
        <w:tabs>
          <w:tab w:val="left" w:pos="567"/>
        </w:tabs>
        <w:outlineLvl w:val="0"/>
        <w:rPr>
          <w:szCs w:val="22"/>
          <w:lang w:val="it-IT"/>
        </w:rPr>
      </w:pPr>
    </w:p>
    <w:p w14:paraId="162DEC97" w14:textId="77777777" w:rsidR="0030223C" w:rsidRDefault="007472F3">
      <w:pPr>
        <w:widowControl w:val="0"/>
        <w:tabs>
          <w:tab w:val="left" w:pos="567"/>
        </w:tabs>
        <w:rPr>
          <w:color w:val="000000"/>
          <w:szCs w:val="22"/>
          <w:lang w:val="it-IT"/>
        </w:rPr>
      </w:pPr>
      <w:r w:rsidRPr="00C9575C">
        <w:rPr>
          <w:color w:val="000000"/>
          <w:szCs w:val="22"/>
          <w:u w:val="single"/>
          <w:lang w:val="it-IT"/>
        </w:rPr>
        <w:t>Eccipient</w:t>
      </w:r>
      <w:r w:rsidR="001D3E94" w:rsidRPr="00C9575C">
        <w:rPr>
          <w:color w:val="000000"/>
          <w:szCs w:val="22"/>
          <w:u w:val="single"/>
          <w:lang w:val="it-IT"/>
        </w:rPr>
        <w:t>i con effetti noti</w:t>
      </w:r>
      <w:r w:rsidRPr="00C9575C">
        <w:rPr>
          <w:color w:val="000000"/>
          <w:szCs w:val="22"/>
          <w:lang w:val="it-IT"/>
        </w:rPr>
        <w:t>:</w:t>
      </w:r>
    </w:p>
    <w:p w14:paraId="7E02D23B" w14:textId="77777777" w:rsidR="0030223C" w:rsidRDefault="0030223C">
      <w:pPr>
        <w:widowControl w:val="0"/>
        <w:tabs>
          <w:tab w:val="left" w:pos="567"/>
        </w:tabs>
        <w:rPr>
          <w:color w:val="000000"/>
          <w:szCs w:val="22"/>
          <w:lang w:val="it-IT"/>
        </w:rPr>
      </w:pPr>
    </w:p>
    <w:p w14:paraId="2753CCC6" w14:textId="377BA56B" w:rsidR="0084378B" w:rsidRPr="00A12ED1" w:rsidRDefault="0030223C">
      <w:pPr>
        <w:widowControl w:val="0"/>
        <w:tabs>
          <w:tab w:val="left" w:pos="567"/>
        </w:tabs>
        <w:rPr>
          <w:szCs w:val="22"/>
          <w:lang w:val="it-IT"/>
        </w:rPr>
      </w:pPr>
      <w:r w:rsidRPr="00A12ED1">
        <w:rPr>
          <w:color w:val="000000"/>
          <w:szCs w:val="22"/>
          <w:lang w:val="it-IT"/>
        </w:rPr>
        <w:t>Ogni compressa da 600 </w:t>
      </w:r>
      <w:r w:rsidRPr="00A12ED1">
        <w:rPr>
          <w:lang w:val="it-IT"/>
        </w:rPr>
        <w:t xml:space="preserve">mg/300 mg contiene 1,7 mg di </w:t>
      </w:r>
      <w:r w:rsidR="00351CD7" w:rsidRPr="00A12ED1">
        <w:rPr>
          <w:color w:val="000000"/>
          <w:szCs w:val="22"/>
          <w:lang w:val="it-IT"/>
        </w:rPr>
        <w:t>c</w:t>
      </w:r>
      <w:r w:rsidR="0084378B" w:rsidRPr="00A12ED1">
        <w:rPr>
          <w:szCs w:val="22"/>
          <w:lang w:val="it-IT"/>
        </w:rPr>
        <w:t xml:space="preserve">olorante giallo tramonto </w:t>
      </w:r>
      <w:r w:rsidR="003C1C53" w:rsidRPr="00A12ED1">
        <w:rPr>
          <w:szCs w:val="22"/>
          <w:lang w:val="it-IT"/>
        </w:rPr>
        <w:t xml:space="preserve">FCF </w:t>
      </w:r>
      <w:r w:rsidR="0084378B" w:rsidRPr="00A12ED1">
        <w:rPr>
          <w:szCs w:val="22"/>
          <w:lang w:val="it-IT"/>
        </w:rPr>
        <w:t>(</w:t>
      </w:r>
      <w:r w:rsidR="0084378B" w:rsidRPr="00A12ED1">
        <w:rPr>
          <w:color w:val="000000"/>
          <w:szCs w:val="22"/>
          <w:lang w:val="it-IT"/>
        </w:rPr>
        <w:t>E110)</w:t>
      </w:r>
      <w:r w:rsidR="00BE5D10" w:rsidRPr="00A12ED1">
        <w:rPr>
          <w:color w:val="000000"/>
          <w:szCs w:val="22"/>
          <w:lang w:val="it-IT" w:eastAsia="en-GB"/>
        </w:rPr>
        <w:t xml:space="preserve"> </w:t>
      </w:r>
      <w:r w:rsidRPr="00A12ED1">
        <w:rPr>
          <w:color w:val="000000"/>
          <w:szCs w:val="22"/>
          <w:lang w:val="it-IT" w:eastAsia="en-GB"/>
        </w:rPr>
        <w:t>e 2,31 mg di sodio</w:t>
      </w:r>
      <w:r w:rsidR="00123500" w:rsidRPr="00A12ED1">
        <w:rPr>
          <w:color w:val="000000"/>
          <w:szCs w:val="22"/>
          <w:lang w:val="it-IT" w:eastAsia="en-GB"/>
        </w:rPr>
        <w:t>.</w:t>
      </w:r>
    </w:p>
    <w:p w14:paraId="54E38BE4" w14:textId="77777777" w:rsidR="0084378B" w:rsidRPr="00C9575C" w:rsidRDefault="0084378B">
      <w:pPr>
        <w:widowControl w:val="0"/>
        <w:tabs>
          <w:tab w:val="left" w:pos="567"/>
        </w:tabs>
        <w:rPr>
          <w:szCs w:val="22"/>
          <w:lang w:val="it-IT"/>
        </w:rPr>
      </w:pPr>
    </w:p>
    <w:p w14:paraId="387A7A01" w14:textId="7D4AA03E" w:rsidR="0084378B" w:rsidRPr="00C9575C" w:rsidRDefault="0084378B">
      <w:pPr>
        <w:widowControl w:val="0"/>
        <w:tabs>
          <w:tab w:val="left" w:pos="567"/>
        </w:tabs>
        <w:outlineLvl w:val="0"/>
        <w:rPr>
          <w:szCs w:val="22"/>
          <w:lang w:val="it-IT"/>
        </w:rPr>
      </w:pPr>
      <w:r w:rsidRPr="00C9575C">
        <w:rPr>
          <w:szCs w:val="22"/>
          <w:lang w:val="it-IT"/>
        </w:rPr>
        <w:t>Per l’elenco completo degli eccipienti, vedere paragrafo 6.1.</w:t>
      </w:r>
      <w:r w:rsidR="0092155C">
        <w:rPr>
          <w:szCs w:val="22"/>
          <w:lang w:val="it-IT"/>
        </w:rPr>
        <w:fldChar w:fldCharType="begin"/>
      </w:r>
      <w:r w:rsidR="0092155C">
        <w:rPr>
          <w:szCs w:val="22"/>
          <w:lang w:val="it-IT"/>
        </w:rPr>
        <w:instrText xml:space="preserve"> DOCVARIABLE vault_nd_ba300d59-be4f-4d60-a71a-3743d53fb247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4DA7397A" w14:textId="77777777" w:rsidR="0084378B" w:rsidRPr="00C9575C" w:rsidRDefault="0084378B">
      <w:pPr>
        <w:widowControl w:val="0"/>
        <w:tabs>
          <w:tab w:val="left" w:pos="567"/>
        </w:tabs>
        <w:rPr>
          <w:szCs w:val="22"/>
          <w:lang w:val="it-IT"/>
        </w:rPr>
      </w:pPr>
    </w:p>
    <w:p w14:paraId="2354D13E" w14:textId="77777777" w:rsidR="0084378B" w:rsidRPr="00C9575C" w:rsidRDefault="0084378B">
      <w:pPr>
        <w:widowControl w:val="0"/>
        <w:tabs>
          <w:tab w:val="left" w:pos="567"/>
        </w:tabs>
        <w:rPr>
          <w:szCs w:val="22"/>
          <w:lang w:val="it-IT"/>
        </w:rPr>
      </w:pPr>
    </w:p>
    <w:p w14:paraId="07EBFBC9" w14:textId="77777777" w:rsidR="0084378B" w:rsidRPr="00C9575C" w:rsidRDefault="0084378B">
      <w:pPr>
        <w:widowControl w:val="0"/>
        <w:tabs>
          <w:tab w:val="left" w:pos="567"/>
        </w:tabs>
        <w:rPr>
          <w:b/>
          <w:szCs w:val="22"/>
          <w:lang w:val="it-IT"/>
        </w:rPr>
      </w:pPr>
      <w:r w:rsidRPr="00C9575C">
        <w:rPr>
          <w:b/>
          <w:szCs w:val="22"/>
          <w:lang w:val="it-IT"/>
        </w:rPr>
        <w:t xml:space="preserve">3. </w:t>
      </w:r>
      <w:r w:rsidRPr="00C9575C">
        <w:rPr>
          <w:b/>
          <w:szCs w:val="22"/>
          <w:lang w:val="it-IT"/>
        </w:rPr>
        <w:tab/>
        <w:t>FORMA FARMACEUTICA</w:t>
      </w:r>
    </w:p>
    <w:p w14:paraId="032713B5" w14:textId="77777777" w:rsidR="0084378B" w:rsidRPr="00C9575C" w:rsidRDefault="0084378B">
      <w:pPr>
        <w:widowControl w:val="0"/>
        <w:tabs>
          <w:tab w:val="left" w:pos="567"/>
        </w:tabs>
        <w:rPr>
          <w:szCs w:val="22"/>
          <w:lang w:val="it-IT"/>
        </w:rPr>
      </w:pPr>
    </w:p>
    <w:p w14:paraId="0D2BB763" w14:textId="5CCF4878" w:rsidR="0084378B" w:rsidRPr="00C9575C" w:rsidRDefault="0084378B">
      <w:pPr>
        <w:widowControl w:val="0"/>
        <w:tabs>
          <w:tab w:val="left" w:pos="567"/>
        </w:tabs>
        <w:outlineLvl w:val="0"/>
        <w:rPr>
          <w:szCs w:val="22"/>
          <w:lang w:val="it-IT"/>
        </w:rPr>
      </w:pPr>
      <w:r w:rsidRPr="00C9575C">
        <w:rPr>
          <w:szCs w:val="22"/>
          <w:lang w:val="it-IT"/>
        </w:rPr>
        <w:t>Compressa rivestita con film</w:t>
      </w:r>
      <w:r w:rsidR="007115CF" w:rsidRPr="00C9575C">
        <w:rPr>
          <w:szCs w:val="22"/>
          <w:lang w:val="it-IT"/>
        </w:rPr>
        <w:t xml:space="preserve"> (compressa)</w:t>
      </w:r>
      <w:r w:rsidRPr="00C9575C">
        <w:rPr>
          <w:szCs w:val="22"/>
          <w:lang w:val="it-IT"/>
        </w:rPr>
        <w:t>.</w:t>
      </w:r>
      <w:r w:rsidR="0092155C">
        <w:rPr>
          <w:szCs w:val="22"/>
          <w:lang w:val="it-IT"/>
        </w:rPr>
        <w:fldChar w:fldCharType="begin"/>
      </w:r>
      <w:r w:rsidR="0092155C">
        <w:rPr>
          <w:szCs w:val="22"/>
          <w:lang w:val="it-IT"/>
        </w:rPr>
        <w:instrText xml:space="preserve"> DOCVARIABLE vault_nd_11d2efe1-1c29-4110-9e74-14ddbe16b3aa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61270005" w14:textId="77777777" w:rsidR="0084378B" w:rsidRPr="00C9575C" w:rsidRDefault="0084378B">
      <w:pPr>
        <w:widowControl w:val="0"/>
        <w:tabs>
          <w:tab w:val="left" w:pos="567"/>
        </w:tabs>
        <w:rPr>
          <w:szCs w:val="22"/>
          <w:lang w:val="it-IT"/>
        </w:rPr>
      </w:pPr>
    </w:p>
    <w:p w14:paraId="3038B359" w14:textId="77777777" w:rsidR="0084378B" w:rsidRPr="00C9575C" w:rsidRDefault="0084378B">
      <w:pPr>
        <w:widowControl w:val="0"/>
        <w:tabs>
          <w:tab w:val="left" w:pos="567"/>
        </w:tabs>
        <w:rPr>
          <w:szCs w:val="22"/>
          <w:lang w:val="it-IT"/>
        </w:rPr>
      </w:pPr>
      <w:r w:rsidRPr="00C9575C">
        <w:rPr>
          <w:szCs w:val="22"/>
          <w:lang w:val="it-IT"/>
        </w:rPr>
        <w:t>Le compresse rivestite con film sono a forma di capsula modificata di colore arancione, con impresso GS FC2 su un lato.</w:t>
      </w:r>
    </w:p>
    <w:p w14:paraId="0A452B56" w14:textId="77777777" w:rsidR="0084378B" w:rsidRPr="00C9575C" w:rsidRDefault="0084378B">
      <w:pPr>
        <w:widowControl w:val="0"/>
        <w:tabs>
          <w:tab w:val="left" w:pos="567"/>
        </w:tabs>
        <w:rPr>
          <w:szCs w:val="22"/>
          <w:lang w:val="it-IT"/>
        </w:rPr>
      </w:pPr>
    </w:p>
    <w:p w14:paraId="1A9C3918" w14:textId="77777777" w:rsidR="0084378B" w:rsidRPr="00C9575C" w:rsidRDefault="0084378B">
      <w:pPr>
        <w:widowControl w:val="0"/>
        <w:tabs>
          <w:tab w:val="left" w:pos="567"/>
        </w:tabs>
        <w:rPr>
          <w:szCs w:val="22"/>
          <w:lang w:val="it-IT"/>
        </w:rPr>
      </w:pPr>
    </w:p>
    <w:p w14:paraId="7646FFB1" w14:textId="61F5EA11" w:rsidR="0084378B" w:rsidRPr="00C9575C" w:rsidRDefault="0084378B">
      <w:pPr>
        <w:widowControl w:val="0"/>
        <w:tabs>
          <w:tab w:val="left" w:pos="567"/>
        </w:tabs>
        <w:outlineLvl w:val="0"/>
        <w:rPr>
          <w:b/>
          <w:szCs w:val="22"/>
          <w:lang w:val="it-IT"/>
        </w:rPr>
      </w:pPr>
      <w:r w:rsidRPr="00C9575C">
        <w:rPr>
          <w:b/>
          <w:szCs w:val="22"/>
          <w:lang w:val="it-IT"/>
        </w:rPr>
        <w:t>4.</w:t>
      </w:r>
      <w:r w:rsidRPr="00C9575C">
        <w:rPr>
          <w:b/>
          <w:szCs w:val="22"/>
          <w:lang w:val="it-IT"/>
        </w:rPr>
        <w:tab/>
        <w:t>INFORMAZIONI CLINICHE</w:t>
      </w:r>
      <w:r w:rsidR="0092155C">
        <w:rPr>
          <w:b/>
          <w:szCs w:val="22"/>
          <w:lang w:val="it-IT"/>
        </w:rPr>
        <w:fldChar w:fldCharType="begin"/>
      </w:r>
      <w:r w:rsidR="0092155C">
        <w:rPr>
          <w:b/>
          <w:szCs w:val="22"/>
          <w:lang w:val="it-IT"/>
        </w:rPr>
        <w:instrText xml:space="preserve"> DOCVARIABLE VAULT_ND_22bb07f2-2f69-4deb-90ac-1666ebfee2f0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1CCC2F6D" w14:textId="77777777" w:rsidR="0084378B" w:rsidRPr="00C9575C" w:rsidRDefault="0084378B">
      <w:pPr>
        <w:widowControl w:val="0"/>
        <w:tabs>
          <w:tab w:val="left" w:pos="567"/>
        </w:tabs>
        <w:rPr>
          <w:szCs w:val="22"/>
          <w:lang w:val="it-IT"/>
        </w:rPr>
      </w:pPr>
    </w:p>
    <w:p w14:paraId="60442177" w14:textId="3173179F" w:rsidR="0084378B" w:rsidRPr="00C9575C" w:rsidRDefault="0084378B">
      <w:pPr>
        <w:widowControl w:val="0"/>
        <w:numPr>
          <w:ilvl w:val="1"/>
          <w:numId w:val="1"/>
        </w:numPr>
        <w:tabs>
          <w:tab w:val="left" w:pos="567"/>
        </w:tabs>
        <w:ind w:left="567" w:hanging="567"/>
        <w:outlineLvl w:val="0"/>
        <w:rPr>
          <w:b/>
          <w:szCs w:val="22"/>
          <w:lang w:val="it-IT"/>
        </w:rPr>
      </w:pPr>
      <w:r w:rsidRPr="00C9575C">
        <w:rPr>
          <w:b/>
          <w:szCs w:val="22"/>
          <w:lang w:val="it-IT"/>
        </w:rPr>
        <w:t>Indicazioni terapeutiche</w:t>
      </w:r>
      <w:r w:rsidR="0092155C">
        <w:rPr>
          <w:b/>
          <w:szCs w:val="22"/>
          <w:lang w:val="it-IT"/>
        </w:rPr>
        <w:fldChar w:fldCharType="begin"/>
      </w:r>
      <w:r w:rsidR="0092155C">
        <w:rPr>
          <w:b/>
          <w:szCs w:val="22"/>
          <w:lang w:val="it-IT"/>
        </w:rPr>
        <w:instrText xml:space="preserve"> DOCVARIABLE vault_nd_626475d1-e395-43a8-85aa-98e5d03979ea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30C4CD44" w14:textId="77777777" w:rsidR="0084378B" w:rsidRPr="00C9575C" w:rsidRDefault="0084378B">
      <w:pPr>
        <w:widowControl w:val="0"/>
        <w:tabs>
          <w:tab w:val="left" w:pos="567"/>
        </w:tabs>
        <w:rPr>
          <w:b/>
          <w:szCs w:val="22"/>
          <w:lang w:val="it-IT"/>
        </w:rPr>
      </w:pPr>
    </w:p>
    <w:p w14:paraId="090366EC" w14:textId="77777777" w:rsidR="0084378B" w:rsidRPr="00C9575C" w:rsidRDefault="0084378B">
      <w:pPr>
        <w:widowControl w:val="0"/>
        <w:tabs>
          <w:tab w:val="left" w:pos="567"/>
        </w:tabs>
        <w:rPr>
          <w:szCs w:val="22"/>
          <w:lang w:val="it-IT"/>
        </w:rPr>
      </w:pPr>
      <w:r w:rsidRPr="00C9575C">
        <w:rPr>
          <w:szCs w:val="22"/>
          <w:lang w:val="it-IT"/>
        </w:rPr>
        <w:t>Kivexa è</w:t>
      </w:r>
      <w:r w:rsidR="0099367F" w:rsidRPr="00C9575C">
        <w:rPr>
          <w:szCs w:val="22"/>
          <w:lang w:val="it-IT"/>
        </w:rPr>
        <w:t xml:space="preserve"> </w:t>
      </w:r>
      <w:r w:rsidRPr="00C9575C">
        <w:rPr>
          <w:szCs w:val="22"/>
          <w:lang w:val="it-IT"/>
        </w:rPr>
        <w:t>indicato nella terapia di combinazione antiretrovirale per il trattamento di adulti</w:t>
      </w:r>
      <w:r w:rsidR="00CB300A" w:rsidRPr="00C9575C">
        <w:rPr>
          <w:szCs w:val="22"/>
          <w:lang w:val="it-IT"/>
        </w:rPr>
        <w:t>,</w:t>
      </w:r>
      <w:r w:rsidR="004C101C" w:rsidRPr="00C9575C">
        <w:rPr>
          <w:szCs w:val="22"/>
          <w:lang w:val="it-IT"/>
        </w:rPr>
        <w:t xml:space="preserve"> </w:t>
      </w:r>
      <w:r w:rsidRPr="00C9575C">
        <w:rPr>
          <w:szCs w:val="22"/>
          <w:lang w:val="it-IT"/>
        </w:rPr>
        <w:t xml:space="preserve">adolescenti </w:t>
      </w:r>
      <w:r w:rsidR="00CB300A" w:rsidRPr="00C9575C">
        <w:rPr>
          <w:szCs w:val="22"/>
          <w:lang w:val="it-IT"/>
        </w:rPr>
        <w:t xml:space="preserve">e bambini che pesano almeno 25 kg </w:t>
      </w:r>
      <w:r w:rsidRPr="00C9575C">
        <w:rPr>
          <w:szCs w:val="22"/>
          <w:lang w:val="it-IT"/>
        </w:rPr>
        <w:t>con infezione da Virus dell’Immunodeficienza Umana (</w:t>
      </w:r>
      <w:r w:rsidR="004955F7" w:rsidRPr="00C9575C">
        <w:rPr>
          <w:i/>
          <w:color w:val="000000"/>
          <w:szCs w:val="22"/>
          <w:lang w:val="it-IT"/>
        </w:rPr>
        <w:t>Human Immunodeficiency Virus</w:t>
      </w:r>
      <w:r w:rsidR="004955F7" w:rsidRPr="00C9575C">
        <w:rPr>
          <w:szCs w:val="22"/>
          <w:lang w:val="it-IT"/>
        </w:rPr>
        <w:t xml:space="preserve">, </w:t>
      </w:r>
      <w:r w:rsidRPr="00C9575C">
        <w:rPr>
          <w:szCs w:val="22"/>
          <w:lang w:val="it-IT"/>
        </w:rPr>
        <w:t>HIV)</w:t>
      </w:r>
      <w:r w:rsidR="009A6E02" w:rsidRPr="00C9575C">
        <w:rPr>
          <w:szCs w:val="22"/>
          <w:lang w:val="it-IT"/>
        </w:rPr>
        <w:t xml:space="preserve"> (vedere paragrafi 4.4 e 5.1)</w:t>
      </w:r>
      <w:r w:rsidRPr="00C9575C">
        <w:rPr>
          <w:szCs w:val="22"/>
          <w:lang w:val="it-IT"/>
        </w:rPr>
        <w:t xml:space="preserve">. </w:t>
      </w:r>
    </w:p>
    <w:p w14:paraId="62902E92" w14:textId="77777777" w:rsidR="0084378B" w:rsidRPr="00C9575C" w:rsidRDefault="0084378B">
      <w:pPr>
        <w:widowControl w:val="0"/>
        <w:tabs>
          <w:tab w:val="left" w:pos="567"/>
        </w:tabs>
        <w:rPr>
          <w:szCs w:val="22"/>
          <w:lang w:val="it-IT"/>
        </w:rPr>
      </w:pPr>
    </w:p>
    <w:p w14:paraId="505771C7" w14:textId="77777777" w:rsidR="0084378B" w:rsidRPr="00C9575C" w:rsidRDefault="0084378B">
      <w:pPr>
        <w:widowControl w:val="0"/>
        <w:tabs>
          <w:tab w:val="left" w:pos="567"/>
        </w:tabs>
        <w:rPr>
          <w:szCs w:val="22"/>
          <w:lang w:val="it-IT"/>
        </w:rPr>
      </w:pPr>
      <w:r w:rsidRPr="00C9575C">
        <w:rPr>
          <w:szCs w:val="22"/>
          <w:lang w:val="it-IT"/>
        </w:rPr>
        <w:t>Prima di iniziare il trattamento con abacavir, deve essere eseguito uno screening per la presenza dell’allele HLA-B*5701 in ogni paziente affetto da HIV, a prescindere dalla razza</w:t>
      </w:r>
      <w:r w:rsidR="003C1C53" w:rsidRPr="00C9575C">
        <w:rPr>
          <w:szCs w:val="22"/>
          <w:lang w:val="it-IT"/>
        </w:rPr>
        <w:t xml:space="preserve"> (vedere paragrafo</w:t>
      </w:r>
      <w:r w:rsidR="00FE22CB" w:rsidRPr="00C9575C">
        <w:rPr>
          <w:szCs w:val="22"/>
          <w:lang w:val="it-IT"/>
        </w:rPr>
        <w:t> </w:t>
      </w:r>
      <w:r w:rsidR="003C1C53" w:rsidRPr="00C9575C">
        <w:rPr>
          <w:szCs w:val="22"/>
          <w:lang w:val="it-IT"/>
        </w:rPr>
        <w:t>4.4)</w:t>
      </w:r>
      <w:r w:rsidRPr="00C9575C">
        <w:rPr>
          <w:szCs w:val="22"/>
          <w:lang w:val="it-IT"/>
        </w:rPr>
        <w:t>.</w:t>
      </w:r>
      <w:r w:rsidR="003C1C53" w:rsidRPr="00C9575C">
        <w:rPr>
          <w:szCs w:val="22"/>
          <w:lang w:val="it-IT"/>
        </w:rPr>
        <w:t xml:space="preserve"> </w:t>
      </w:r>
      <w:r w:rsidRPr="00C9575C">
        <w:rPr>
          <w:szCs w:val="22"/>
          <w:lang w:val="it-IT"/>
        </w:rPr>
        <w:t xml:space="preserve">Abacavir non deve essere </w:t>
      </w:r>
      <w:r w:rsidR="001365F5" w:rsidRPr="00C9575C">
        <w:rPr>
          <w:szCs w:val="22"/>
          <w:lang w:val="it-IT"/>
        </w:rPr>
        <w:t>utilizzato nei</w:t>
      </w:r>
      <w:r w:rsidRPr="00C9575C">
        <w:rPr>
          <w:szCs w:val="22"/>
          <w:lang w:val="it-IT"/>
        </w:rPr>
        <w:t xml:space="preserve"> pazienti in cui sia nota la presenza dell’allele HLA-B*5701.</w:t>
      </w:r>
    </w:p>
    <w:p w14:paraId="45B4B7DC" w14:textId="77777777" w:rsidR="0084378B" w:rsidRPr="00C9575C" w:rsidRDefault="0084378B">
      <w:pPr>
        <w:widowControl w:val="0"/>
        <w:tabs>
          <w:tab w:val="left" w:pos="567"/>
        </w:tabs>
        <w:rPr>
          <w:b/>
          <w:szCs w:val="22"/>
          <w:lang w:val="it-IT"/>
        </w:rPr>
      </w:pPr>
    </w:p>
    <w:p w14:paraId="40FE4139" w14:textId="4DF0AF97" w:rsidR="0084378B" w:rsidRPr="00C9575C" w:rsidRDefault="0084378B">
      <w:pPr>
        <w:widowControl w:val="0"/>
        <w:tabs>
          <w:tab w:val="left" w:pos="567"/>
        </w:tabs>
        <w:outlineLvl w:val="0"/>
        <w:rPr>
          <w:b/>
          <w:szCs w:val="22"/>
          <w:lang w:val="it-IT"/>
        </w:rPr>
      </w:pPr>
      <w:r w:rsidRPr="00C9575C">
        <w:rPr>
          <w:b/>
          <w:szCs w:val="22"/>
          <w:lang w:val="it-IT"/>
        </w:rPr>
        <w:t xml:space="preserve">4.2 </w:t>
      </w:r>
      <w:r w:rsidRPr="00C9575C">
        <w:rPr>
          <w:b/>
          <w:szCs w:val="22"/>
          <w:lang w:val="it-IT"/>
        </w:rPr>
        <w:tab/>
        <w:t>Posologia e modo di somministrazione</w:t>
      </w:r>
      <w:r w:rsidR="0092155C">
        <w:rPr>
          <w:b/>
          <w:szCs w:val="22"/>
          <w:lang w:val="it-IT"/>
        </w:rPr>
        <w:fldChar w:fldCharType="begin"/>
      </w:r>
      <w:r w:rsidR="0092155C">
        <w:rPr>
          <w:b/>
          <w:szCs w:val="22"/>
          <w:lang w:val="it-IT"/>
        </w:rPr>
        <w:instrText xml:space="preserve"> DOCVARIABLE vault_nd_e292e5b6-9f30-4411-b4a6-47de79d27d45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7518FA6D" w14:textId="77777777" w:rsidR="003C1C53" w:rsidRPr="00C9575C" w:rsidRDefault="003C1C53" w:rsidP="003C1C53">
      <w:pPr>
        <w:widowControl w:val="0"/>
        <w:tabs>
          <w:tab w:val="left" w:pos="567"/>
        </w:tabs>
        <w:outlineLvl w:val="0"/>
        <w:rPr>
          <w:szCs w:val="22"/>
          <w:lang w:val="it-IT"/>
        </w:rPr>
      </w:pPr>
    </w:p>
    <w:p w14:paraId="5A4C15D1" w14:textId="6FC9D8EC" w:rsidR="003C1C53" w:rsidRPr="00C9575C" w:rsidRDefault="003C1C53" w:rsidP="003C1C53">
      <w:pPr>
        <w:widowControl w:val="0"/>
        <w:tabs>
          <w:tab w:val="left" w:pos="567"/>
        </w:tabs>
        <w:outlineLvl w:val="0"/>
        <w:rPr>
          <w:szCs w:val="22"/>
          <w:lang w:val="it-IT"/>
        </w:rPr>
      </w:pPr>
      <w:r w:rsidRPr="00C9575C">
        <w:rPr>
          <w:szCs w:val="22"/>
          <w:lang w:val="it-IT"/>
        </w:rPr>
        <w:t>La terapia deve essere prescritta da un medico con esperienza nella gestione dell'infezione da HIV.</w:t>
      </w:r>
      <w:r w:rsidR="0092155C">
        <w:rPr>
          <w:szCs w:val="22"/>
          <w:lang w:val="it-IT"/>
        </w:rPr>
        <w:fldChar w:fldCharType="begin"/>
      </w:r>
      <w:r w:rsidR="0092155C">
        <w:rPr>
          <w:szCs w:val="22"/>
          <w:lang w:val="it-IT"/>
        </w:rPr>
        <w:instrText xml:space="preserve"> DOCVARIABLE vault_nd_27164ae1-ded4-44de-b87f-46d9131145ef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33EDD442" w14:textId="77777777" w:rsidR="000A59C7" w:rsidRPr="00C9575C" w:rsidRDefault="000A59C7">
      <w:pPr>
        <w:widowControl w:val="0"/>
        <w:tabs>
          <w:tab w:val="left" w:pos="567"/>
        </w:tabs>
        <w:rPr>
          <w:szCs w:val="22"/>
          <w:lang w:val="it-IT"/>
        </w:rPr>
      </w:pPr>
    </w:p>
    <w:p w14:paraId="45F4BFF1" w14:textId="77777777" w:rsidR="0084378B" w:rsidRPr="00C9575C" w:rsidRDefault="000A59C7">
      <w:pPr>
        <w:widowControl w:val="0"/>
        <w:tabs>
          <w:tab w:val="left" w:pos="567"/>
        </w:tabs>
        <w:rPr>
          <w:szCs w:val="22"/>
          <w:u w:val="single"/>
          <w:lang w:val="it-IT"/>
        </w:rPr>
      </w:pPr>
      <w:r w:rsidRPr="00C9575C">
        <w:rPr>
          <w:szCs w:val="22"/>
          <w:u w:val="single"/>
          <w:lang w:val="it-IT"/>
        </w:rPr>
        <w:t>Posologia</w:t>
      </w:r>
    </w:p>
    <w:p w14:paraId="597463D4" w14:textId="77777777" w:rsidR="00CB300A" w:rsidRPr="00C9575C" w:rsidRDefault="00CB300A" w:rsidP="00CB300A">
      <w:pPr>
        <w:tabs>
          <w:tab w:val="left" w:pos="567"/>
        </w:tabs>
        <w:rPr>
          <w:i/>
          <w:u w:val="single"/>
          <w:lang w:val="it-IT"/>
        </w:rPr>
      </w:pPr>
    </w:p>
    <w:p w14:paraId="6126AFB4" w14:textId="77777777" w:rsidR="00CB300A" w:rsidRPr="00C9575C" w:rsidRDefault="00CB300A" w:rsidP="00BF5E3A">
      <w:pPr>
        <w:tabs>
          <w:tab w:val="left" w:pos="567"/>
        </w:tabs>
        <w:spacing w:after="120"/>
        <w:rPr>
          <w:lang w:val="it-IT"/>
        </w:rPr>
      </w:pPr>
      <w:r w:rsidRPr="00C9575C">
        <w:rPr>
          <w:i/>
          <w:lang w:val="it-IT"/>
        </w:rPr>
        <w:t>Adulti, adolescenti e bambini che pesano almeno 25 kg</w:t>
      </w:r>
    </w:p>
    <w:p w14:paraId="242F779D" w14:textId="77777777" w:rsidR="0084378B" w:rsidRPr="00C9575C" w:rsidRDefault="0084378B" w:rsidP="00BF5E3A">
      <w:pPr>
        <w:widowControl w:val="0"/>
        <w:tabs>
          <w:tab w:val="left" w:pos="567"/>
        </w:tabs>
        <w:rPr>
          <w:szCs w:val="22"/>
          <w:lang w:val="it-IT"/>
        </w:rPr>
      </w:pPr>
      <w:r w:rsidRPr="00C9575C">
        <w:rPr>
          <w:szCs w:val="22"/>
          <w:lang w:val="it-IT"/>
        </w:rPr>
        <w:t xml:space="preserve">La dose raccomandata di Kivexa è una compressa una volta al giorno. </w:t>
      </w:r>
    </w:p>
    <w:p w14:paraId="4C0C991A" w14:textId="77777777" w:rsidR="00CB300A" w:rsidRPr="00C9575C" w:rsidRDefault="00CB300A" w:rsidP="00BF5E3A">
      <w:pPr>
        <w:widowControl w:val="0"/>
        <w:tabs>
          <w:tab w:val="left" w:pos="567"/>
        </w:tabs>
        <w:rPr>
          <w:i/>
          <w:szCs w:val="22"/>
          <w:lang w:val="it-IT"/>
        </w:rPr>
      </w:pPr>
    </w:p>
    <w:p w14:paraId="1A5A56D6" w14:textId="77777777" w:rsidR="0084378B" w:rsidRPr="00C9575C" w:rsidRDefault="00CB300A" w:rsidP="00BF5E3A">
      <w:pPr>
        <w:widowControl w:val="0"/>
        <w:tabs>
          <w:tab w:val="left" w:pos="567"/>
        </w:tabs>
        <w:spacing w:after="120"/>
        <w:rPr>
          <w:i/>
          <w:szCs w:val="22"/>
          <w:lang w:val="it-IT"/>
        </w:rPr>
      </w:pPr>
      <w:r w:rsidRPr="00C9575C">
        <w:rPr>
          <w:i/>
          <w:szCs w:val="22"/>
          <w:lang w:val="it-IT"/>
        </w:rPr>
        <w:t xml:space="preserve">Bambini </w:t>
      </w:r>
      <w:r w:rsidR="00FD0A0A" w:rsidRPr="00C9575C">
        <w:rPr>
          <w:i/>
          <w:szCs w:val="22"/>
          <w:lang w:val="it-IT"/>
        </w:rPr>
        <w:t>che pesano meno di</w:t>
      </w:r>
      <w:r w:rsidRPr="00C9575C">
        <w:rPr>
          <w:i/>
          <w:szCs w:val="22"/>
          <w:lang w:val="it-IT"/>
        </w:rPr>
        <w:t xml:space="preserve"> 25 kg</w:t>
      </w:r>
    </w:p>
    <w:p w14:paraId="16C201CC" w14:textId="77777777" w:rsidR="0084378B" w:rsidRPr="00C9575C" w:rsidRDefault="0084378B" w:rsidP="00BF5E3A">
      <w:pPr>
        <w:widowControl w:val="0"/>
        <w:tabs>
          <w:tab w:val="left" w:pos="567"/>
        </w:tabs>
        <w:rPr>
          <w:szCs w:val="22"/>
          <w:lang w:val="it-IT"/>
        </w:rPr>
      </w:pPr>
      <w:r w:rsidRPr="00C9575C">
        <w:rPr>
          <w:szCs w:val="22"/>
          <w:lang w:val="it-IT"/>
        </w:rPr>
        <w:t xml:space="preserve">Kivexa non deve essere somministrato </w:t>
      </w:r>
      <w:r w:rsidR="00CB300A" w:rsidRPr="00C9575C">
        <w:rPr>
          <w:szCs w:val="22"/>
          <w:lang w:val="it-IT"/>
        </w:rPr>
        <w:t>a bambini che pesano meno di 25</w:t>
      </w:r>
      <w:r w:rsidR="00351CD7" w:rsidRPr="00C9575C">
        <w:rPr>
          <w:szCs w:val="22"/>
          <w:lang w:val="it-IT"/>
        </w:rPr>
        <w:t> </w:t>
      </w:r>
      <w:r w:rsidRPr="00C9575C">
        <w:rPr>
          <w:szCs w:val="22"/>
          <w:lang w:val="it-IT"/>
        </w:rPr>
        <w:t>kg dal momento che, essendo una compressa a dose fissa, tale dose non può essere ridotta.</w:t>
      </w:r>
    </w:p>
    <w:p w14:paraId="2BCBAF79" w14:textId="77777777" w:rsidR="0084378B" w:rsidRPr="00C9575C" w:rsidRDefault="0084378B" w:rsidP="00BF5E3A">
      <w:pPr>
        <w:widowControl w:val="0"/>
        <w:tabs>
          <w:tab w:val="left" w:pos="567"/>
        </w:tabs>
        <w:rPr>
          <w:b/>
          <w:szCs w:val="22"/>
          <w:lang w:val="it-IT"/>
        </w:rPr>
      </w:pPr>
    </w:p>
    <w:p w14:paraId="40178FEC" w14:textId="77777777" w:rsidR="0084378B" w:rsidRPr="00C9575C" w:rsidRDefault="0084378B" w:rsidP="00BF5E3A">
      <w:pPr>
        <w:widowControl w:val="0"/>
        <w:tabs>
          <w:tab w:val="left" w:pos="567"/>
        </w:tabs>
        <w:rPr>
          <w:szCs w:val="22"/>
          <w:lang w:val="it-IT"/>
        </w:rPr>
      </w:pPr>
      <w:r w:rsidRPr="00C9575C">
        <w:rPr>
          <w:szCs w:val="22"/>
          <w:lang w:val="it-IT"/>
        </w:rPr>
        <w:t xml:space="preserve">Kivexa è una compressa a dose fissa e non deve essere prescritta ai pazienti che richiedono modifiche della </w:t>
      </w:r>
      <w:r w:rsidR="007115CF" w:rsidRPr="00C9575C">
        <w:rPr>
          <w:szCs w:val="22"/>
          <w:lang w:val="it-IT"/>
        </w:rPr>
        <w:t>dose</w:t>
      </w:r>
      <w:r w:rsidRPr="00C9575C">
        <w:rPr>
          <w:szCs w:val="22"/>
          <w:lang w:val="it-IT"/>
        </w:rPr>
        <w:t xml:space="preserve">. Sono disponibili preparazioni separate di abacavir o lamivudina nei casi in cui sia richiesta la sospensione o la modifica del dosaggio di uno dei due principi attivi. In questi casi il medico deve fare riferimento alle specifiche informazioni prescrittive di questi medicinali. </w:t>
      </w:r>
    </w:p>
    <w:p w14:paraId="62F917D7" w14:textId="624112C3" w:rsidR="004C101C" w:rsidRDefault="004C101C" w:rsidP="00257F73">
      <w:pPr>
        <w:widowControl w:val="0"/>
        <w:tabs>
          <w:tab w:val="left" w:pos="567"/>
        </w:tabs>
        <w:rPr>
          <w:i/>
          <w:szCs w:val="22"/>
          <w:lang w:val="it-IT"/>
        </w:rPr>
      </w:pPr>
    </w:p>
    <w:p w14:paraId="7579B40E" w14:textId="77777777" w:rsidR="00A12ED1" w:rsidRPr="00C9575C" w:rsidRDefault="00A12ED1" w:rsidP="00257F73">
      <w:pPr>
        <w:widowControl w:val="0"/>
        <w:tabs>
          <w:tab w:val="left" w:pos="567"/>
        </w:tabs>
        <w:rPr>
          <w:i/>
          <w:szCs w:val="22"/>
          <w:lang w:val="it-IT"/>
        </w:rPr>
      </w:pPr>
    </w:p>
    <w:p w14:paraId="09147B69" w14:textId="77777777" w:rsidR="00CB300A" w:rsidRPr="00C628FC" w:rsidRDefault="00CB300A" w:rsidP="00257F73">
      <w:pPr>
        <w:widowControl w:val="0"/>
        <w:tabs>
          <w:tab w:val="left" w:pos="567"/>
        </w:tabs>
        <w:rPr>
          <w:iCs/>
          <w:szCs w:val="22"/>
          <w:u w:val="single"/>
          <w:lang w:val="it-IT"/>
        </w:rPr>
      </w:pPr>
      <w:r w:rsidRPr="00C628FC">
        <w:rPr>
          <w:iCs/>
          <w:szCs w:val="22"/>
          <w:u w:val="single"/>
          <w:lang w:val="it-IT"/>
        </w:rPr>
        <w:lastRenderedPageBreak/>
        <w:t>Popolazioni speciali</w:t>
      </w:r>
    </w:p>
    <w:p w14:paraId="71CF18A0" w14:textId="77777777" w:rsidR="004C101C" w:rsidRPr="00C9575C" w:rsidRDefault="004C101C" w:rsidP="00257F73">
      <w:pPr>
        <w:widowControl w:val="0"/>
        <w:tabs>
          <w:tab w:val="left" w:pos="567"/>
        </w:tabs>
        <w:rPr>
          <w:i/>
          <w:szCs w:val="22"/>
          <w:lang w:val="it-IT"/>
        </w:rPr>
      </w:pPr>
    </w:p>
    <w:p w14:paraId="30F095C8" w14:textId="77777777" w:rsidR="00CB300A" w:rsidRPr="00C9575C" w:rsidRDefault="00257F73" w:rsidP="00257F73">
      <w:pPr>
        <w:widowControl w:val="0"/>
        <w:tabs>
          <w:tab w:val="left" w:pos="567"/>
        </w:tabs>
        <w:rPr>
          <w:i/>
          <w:szCs w:val="22"/>
          <w:lang w:val="it-IT"/>
        </w:rPr>
      </w:pPr>
      <w:r w:rsidRPr="00C9575C">
        <w:rPr>
          <w:i/>
          <w:szCs w:val="22"/>
          <w:lang w:val="it-IT"/>
        </w:rPr>
        <w:t>Anziani</w:t>
      </w:r>
    </w:p>
    <w:p w14:paraId="18AEE39D" w14:textId="77777777" w:rsidR="00376939" w:rsidRPr="00C9575C" w:rsidRDefault="00CB300A" w:rsidP="00257F73">
      <w:pPr>
        <w:widowControl w:val="0"/>
        <w:tabs>
          <w:tab w:val="left" w:pos="567"/>
        </w:tabs>
        <w:rPr>
          <w:szCs w:val="22"/>
          <w:lang w:val="it-IT"/>
        </w:rPr>
      </w:pPr>
      <w:r w:rsidRPr="00C9575C">
        <w:rPr>
          <w:szCs w:val="22"/>
          <w:lang w:val="it-IT"/>
        </w:rPr>
        <w:t>A</w:t>
      </w:r>
      <w:r w:rsidR="00257F73" w:rsidRPr="00C9575C">
        <w:rPr>
          <w:szCs w:val="22"/>
          <w:lang w:val="it-IT"/>
        </w:rPr>
        <w:t>ttualmente non sono disponibili dati di farmacocinetica nei pazienti di età superiore ai 65 anni.</w:t>
      </w:r>
    </w:p>
    <w:p w14:paraId="085EBC3B" w14:textId="77777777" w:rsidR="00257F73" w:rsidRPr="00C9575C" w:rsidRDefault="00257F73" w:rsidP="00257F73">
      <w:pPr>
        <w:widowControl w:val="0"/>
        <w:tabs>
          <w:tab w:val="left" w:pos="567"/>
        </w:tabs>
        <w:rPr>
          <w:szCs w:val="22"/>
          <w:lang w:val="it-IT"/>
        </w:rPr>
      </w:pPr>
      <w:r w:rsidRPr="00C9575C">
        <w:rPr>
          <w:szCs w:val="22"/>
          <w:lang w:val="it-IT"/>
        </w:rPr>
        <w:t>Si consiglia un’attenzione particolare per questa classe di età a causa dei cambiamenti correlati all’età stessa come la diminuita funzionalità renale e le alterazioni dei parametri ematologici.</w:t>
      </w:r>
    </w:p>
    <w:p w14:paraId="3567CDC5" w14:textId="77777777" w:rsidR="0084378B" w:rsidRPr="00C9575C" w:rsidRDefault="0084378B">
      <w:pPr>
        <w:widowControl w:val="0"/>
        <w:tabs>
          <w:tab w:val="left" w:pos="567"/>
        </w:tabs>
        <w:rPr>
          <w:szCs w:val="22"/>
          <w:lang w:val="it-IT"/>
        </w:rPr>
      </w:pPr>
    </w:p>
    <w:p w14:paraId="6A4DCA18" w14:textId="77777777" w:rsidR="00CB300A" w:rsidRPr="00C9575C" w:rsidRDefault="00227F80" w:rsidP="001117F3">
      <w:pPr>
        <w:keepNext/>
        <w:widowControl w:val="0"/>
        <w:tabs>
          <w:tab w:val="left" w:pos="567"/>
        </w:tabs>
        <w:rPr>
          <w:i/>
          <w:szCs w:val="22"/>
          <w:lang w:val="it-IT"/>
        </w:rPr>
      </w:pPr>
      <w:r w:rsidRPr="00C9575C">
        <w:rPr>
          <w:i/>
          <w:szCs w:val="22"/>
          <w:lang w:val="it-IT"/>
        </w:rPr>
        <w:t>Compromissione</w:t>
      </w:r>
      <w:r w:rsidR="0084378B" w:rsidRPr="00C9575C">
        <w:rPr>
          <w:i/>
          <w:szCs w:val="22"/>
          <w:lang w:val="it-IT"/>
        </w:rPr>
        <w:t xml:space="preserve"> renale</w:t>
      </w:r>
    </w:p>
    <w:p w14:paraId="7CC73D69" w14:textId="76F221A6" w:rsidR="00F57DD4" w:rsidRPr="00C03451" w:rsidRDefault="0084378B" w:rsidP="00C03451">
      <w:pPr>
        <w:keepNext/>
        <w:widowControl w:val="0"/>
        <w:tabs>
          <w:tab w:val="left" w:pos="567"/>
        </w:tabs>
        <w:rPr>
          <w:szCs w:val="22"/>
          <w:lang w:val="it-IT"/>
        </w:rPr>
      </w:pPr>
      <w:r w:rsidRPr="00C9575C">
        <w:rPr>
          <w:szCs w:val="22"/>
          <w:lang w:val="it-IT"/>
        </w:rPr>
        <w:t>Kivexa non è raccomandato per l’impiego nei pazienti con una clearance della creatinina &lt;</w:t>
      </w:r>
      <w:r w:rsidR="0065197A">
        <w:rPr>
          <w:szCs w:val="22"/>
          <w:lang w:val="it-IT"/>
        </w:rPr>
        <w:t> </w:t>
      </w:r>
      <w:r w:rsidR="00F57DD4" w:rsidRPr="00C9575C">
        <w:rPr>
          <w:szCs w:val="22"/>
          <w:lang w:val="it-IT"/>
        </w:rPr>
        <w:t>3</w:t>
      </w:r>
      <w:r w:rsidRPr="00C9575C">
        <w:rPr>
          <w:szCs w:val="22"/>
          <w:lang w:val="it-IT"/>
        </w:rPr>
        <w:t>0 m</w:t>
      </w:r>
      <w:r w:rsidR="00F57DD4" w:rsidRPr="00C9575C">
        <w:rPr>
          <w:szCs w:val="22"/>
          <w:lang w:val="it-IT"/>
        </w:rPr>
        <w:t>L</w:t>
      </w:r>
      <w:r w:rsidRPr="00C9575C">
        <w:rPr>
          <w:szCs w:val="22"/>
          <w:lang w:val="it-IT"/>
        </w:rPr>
        <w:t>/min</w:t>
      </w:r>
      <w:r w:rsidR="00257F73" w:rsidRPr="00C9575C">
        <w:rPr>
          <w:szCs w:val="22"/>
          <w:lang w:val="it-IT"/>
        </w:rPr>
        <w:t xml:space="preserve"> </w:t>
      </w:r>
      <w:r w:rsidRPr="00C9575C">
        <w:rPr>
          <w:szCs w:val="22"/>
          <w:lang w:val="it-IT"/>
        </w:rPr>
        <w:t xml:space="preserve">(vedere paragrafo 5.2). </w:t>
      </w:r>
      <w:r w:rsidR="00F57DD4" w:rsidRPr="00C03451">
        <w:rPr>
          <w:szCs w:val="22"/>
          <w:lang w:val="it-IT"/>
        </w:rPr>
        <w:t>Non è richiesto alcun aggiustamento della dose nei pazienti con compromissione renale lieve o moderata. Tuttavia, l'esposizione a lamivudina è aumentata in maniera significativa nei pazienti con una clearance della creatinina &lt;</w:t>
      </w:r>
      <w:r w:rsidR="0065197A">
        <w:rPr>
          <w:szCs w:val="22"/>
          <w:lang w:val="it-IT"/>
        </w:rPr>
        <w:t> </w:t>
      </w:r>
      <w:r w:rsidR="00F57DD4" w:rsidRPr="00C03451">
        <w:rPr>
          <w:szCs w:val="22"/>
          <w:lang w:val="it-IT"/>
        </w:rPr>
        <w:t>50 mL/min (vedere paragrafo 4.4).</w:t>
      </w:r>
    </w:p>
    <w:p w14:paraId="028BDEE8" w14:textId="77777777" w:rsidR="0084378B" w:rsidRPr="00C9575C" w:rsidRDefault="0084378B" w:rsidP="001117F3">
      <w:pPr>
        <w:keepNext/>
        <w:widowControl w:val="0"/>
        <w:tabs>
          <w:tab w:val="left" w:pos="567"/>
        </w:tabs>
        <w:rPr>
          <w:szCs w:val="22"/>
          <w:lang w:val="it-IT"/>
        </w:rPr>
      </w:pPr>
    </w:p>
    <w:p w14:paraId="4AF32433" w14:textId="77777777" w:rsidR="006074EC" w:rsidRPr="00C9575C" w:rsidRDefault="00227F80">
      <w:pPr>
        <w:widowControl w:val="0"/>
        <w:tabs>
          <w:tab w:val="left" w:pos="567"/>
          <w:tab w:val="left" w:pos="3119"/>
        </w:tabs>
        <w:rPr>
          <w:i/>
          <w:szCs w:val="22"/>
          <w:lang w:val="it-IT"/>
        </w:rPr>
      </w:pPr>
      <w:r w:rsidRPr="00C9575C">
        <w:rPr>
          <w:i/>
          <w:szCs w:val="22"/>
          <w:lang w:val="it-IT"/>
        </w:rPr>
        <w:t>Compromissione</w:t>
      </w:r>
      <w:r w:rsidR="0084378B" w:rsidRPr="00C9575C">
        <w:rPr>
          <w:i/>
          <w:szCs w:val="22"/>
          <w:lang w:val="it-IT"/>
        </w:rPr>
        <w:t xml:space="preserve"> epatica</w:t>
      </w:r>
    </w:p>
    <w:p w14:paraId="6CC0A207" w14:textId="4201C3A8" w:rsidR="0084378B" w:rsidRPr="00C9575C" w:rsidRDefault="00FD1980">
      <w:pPr>
        <w:widowControl w:val="0"/>
        <w:tabs>
          <w:tab w:val="left" w:pos="567"/>
          <w:tab w:val="left" w:pos="3119"/>
        </w:tabs>
        <w:rPr>
          <w:szCs w:val="22"/>
          <w:lang w:val="it-IT"/>
        </w:rPr>
      </w:pPr>
      <w:r w:rsidRPr="00C9575C">
        <w:rPr>
          <w:lang w:val="it-IT"/>
        </w:rPr>
        <w:t>Abacavir è principalmente metabolizzato dal fegato</w:t>
      </w:r>
      <w:r w:rsidR="00FE22CB" w:rsidRPr="00C9575C">
        <w:rPr>
          <w:lang w:val="it-IT"/>
        </w:rPr>
        <w:t>.</w:t>
      </w:r>
      <w:r w:rsidRPr="00C9575C">
        <w:rPr>
          <w:szCs w:val="22"/>
          <w:lang w:val="it-IT"/>
        </w:rPr>
        <w:t xml:space="preserve"> </w:t>
      </w:r>
      <w:r w:rsidR="006074EC" w:rsidRPr="00C9575C">
        <w:rPr>
          <w:szCs w:val="22"/>
          <w:lang w:val="it-IT"/>
        </w:rPr>
        <w:t>N</w:t>
      </w:r>
      <w:r w:rsidR="0084378B" w:rsidRPr="00C9575C">
        <w:rPr>
          <w:szCs w:val="22"/>
          <w:lang w:val="it-IT"/>
        </w:rPr>
        <w:t xml:space="preserve">on sono disponibili dati </w:t>
      </w:r>
      <w:r w:rsidRPr="00C9575C">
        <w:rPr>
          <w:szCs w:val="22"/>
          <w:lang w:val="it-IT"/>
        </w:rPr>
        <w:t xml:space="preserve">clinici </w:t>
      </w:r>
      <w:r w:rsidR="0084378B" w:rsidRPr="00C9575C">
        <w:rPr>
          <w:szCs w:val="22"/>
          <w:lang w:val="it-IT"/>
        </w:rPr>
        <w:t xml:space="preserve">nei pazienti con </w:t>
      </w:r>
      <w:r w:rsidR="00227F80" w:rsidRPr="00C9575C">
        <w:rPr>
          <w:szCs w:val="22"/>
          <w:lang w:val="it-IT"/>
        </w:rPr>
        <w:t>compromissione</w:t>
      </w:r>
      <w:r w:rsidR="0084378B" w:rsidRPr="00C9575C">
        <w:rPr>
          <w:szCs w:val="22"/>
          <w:lang w:val="it-IT"/>
        </w:rPr>
        <w:t xml:space="preserve"> epatica moderata</w:t>
      </w:r>
      <w:r w:rsidRPr="00C9575C">
        <w:rPr>
          <w:szCs w:val="22"/>
          <w:lang w:val="it-IT"/>
        </w:rPr>
        <w:t xml:space="preserve"> o </w:t>
      </w:r>
      <w:r w:rsidR="004F4C0A" w:rsidRPr="00C9575C">
        <w:rPr>
          <w:szCs w:val="22"/>
          <w:lang w:val="it-IT"/>
        </w:rPr>
        <w:t>severa</w:t>
      </w:r>
      <w:r w:rsidR="0084378B" w:rsidRPr="00C9575C">
        <w:rPr>
          <w:szCs w:val="22"/>
          <w:lang w:val="it-IT"/>
        </w:rPr>
        <w:t>, pertanto</w:t>
      </w:r>
      <w:r w:rsidR="0065197A">
        <w:rPr>
          <w:szCs w:val="22"/>
          <w:lang w:val="it-IT"/>
        </w:rPr>
        <w:t>,</w:t>
      </w:r>
      <w:r w:rsidR="0084378B" w:rsidRPr="00C9575C">
        <w:rPr>
          <w:szCs w:val="22"/>
          <w:lang w:val="it-IT"/>
        </w:rPr>
        <w:t xml:space="preserve"> l’impiego di Kivexa non è raccomandato a meno che non sia ritenuto necessario. Nei pazienti con </w:t>
      </w:r>
      <w:r w:rsidR="00227F80" w:rsidRPr="00C9575C">
        <w:rPr>
          <w:szCs w:val="22"/>
          <w:lang w:val="it-IT"/>
        </w:rPr>
        <w:t>compromissione</w:t>
      </w:r>
      <w:r w:rsidR="0084378B" w:rsidRPr="00C9575C">
        <w:rPr>
          <w:szCs w:val="22"/>
          <w:lang w:val="it-IT"/>
        </w:rPr>
        <w:t xml:space="preserve"> epatica lieve </w:t>
      </w:r>
      <w:r w:rsidRPr="00C9575C">
        <w:rPr>
          <w:color w:val="000000"/>
          <w:szCs w:val="22"/>
          <w:lang w:val="it-IT" w:eastAsia="en-GB"/>
        </w:rPr>
        <w:t>(Child-Pugh score 5-6)</w:t>
      </w:r>
      <w:r w:rsidR="0084378B" w:rsidRPr="00C9575C">
        <w:rPr>
          <w:szCs w:val="22"/>
          <w:lang w:val="it-IT"/>
        </w:rPr>
        <w:t xml:space="preserve"> è richiesto uno stretto controllo</w:t>
      </w:r>
      <w:r w:rsidR="00FE22CB" w:rsidRPr="00C9575C">
        <w:rPr>
          <w:szCs w:val="22"/>
          <w:lang w:val="it-IT"/>
        </w:rPr>
        <w:t xml:space="preserve">, </w:t>
      </w:r>
      <w:r w:rsidR="00372432" w:rsidRPr="00C9575C">
        <w:rPr>
          <w:szCs w:val="22"/>
          <w:lang w:val="it-IT"/>
        </w:rPr>
        <w:t>incluso</w:t>
      </w:r>
      <w:r w:rsidRPr="00C9575C">
        <w:rPr>
          <w:szCs w:val="22"/>
          <w:lang w:val="it-IT"/>
        </w:rPr>
        <w:t xml:space="preserve"> </w:t>
      </w:r>
      <w:r w:rsidR="0084378B" w:rsidRPr="00C9575C">
        <w:rPr>
          <w:szCs w:val="22"/>
          <w:lang w:val="it-IT"/>
        </w:rPr>
        <w:t>il monitoraggio dei livelli plasmatici di abacavir</w:t>
      </w:r>
      <w:r w:rsidRPr="00C9575C">
        <w:rPr>
          <w:szCs w:val="22"/>
          <w:lang w:val="it-IT"/>
        </w:rPr>
        <w:t>, se fattibile</w:t>
      </w:r>
      <w:r w:rsidR="0084378B" w:rsidRPr="00C9575C">
        <w:rPr>
          <w:szCs w:val="22"/>
          <w:lang w:val="it-IT"/>
        </w:rPr>
        <w:t xml:space="preserve"> (vedere paragrafi 4.4 e 5.2). </w:t>
      </w:r>
    </w:p>
    <w:p w14:paraId="3514CDCC" w14:textId="77777777" w:rsidR="0084378B" w:rsidRPr="00C9575C" w:rsidRDefault="0084378B">
      <w:pPr>
        <w:widowControl w:val="0"/>
        <w:tabs>
          <w:tab w:val="left" w:pos="567"/>
        </w:tabs>
        <w:rPr>
          <w:szCs w:val="22"/>
          <w:lang w:val="it-IT"/>
        </w:rPr>
      </w:pPr>
    </w:p>
    <w:p w14:paraId="7A27CA45" w14:textId="77777777" w:rsidR="006074EC" w:rsidRPr="00C9575C" w:rsidRDefault="007115CF" w:rsidP="00C845B5">
      <w:pPr>
        <w:autoSpaceDE w:val="0"/>
        <w:autoSpaceDN w:val="0"/>
        <w:adjustRightInd w:val="0"/>
        <w:rPr>
          <w:i/>
          <w:szCs w:val="22"/>
          <w:lang w:val="it-IT"/>
        </w:rPr>
      </w:pPr>
      <w:r w:rsidRPr="00C9575C">
        <w:rPr>
          <w:i/>
          <w:szCs w:val="22"/>
          <w:lang w:val="it-IT"/>
        </w:rPr>
        <w:t>Popolazione pediatrica</w:t>
      </w:r>
    </w:p>
    <w:p w14:paraId="6387BDFD" w14:textId="77777777" w:rsidR="00C845B5" w:rsidRPr="00C9575C" w:rsidRDefault="006074EC" w:rsidP="00C845B5">
      <w:pPr>
        <w:autoSpaceDE w:val="0"/>
        <w:autoSpaceDN w:val="0"/>
        <w:adjustRightInd w:val="0"/>
        <w:rPr>
          <w:szCs w:val="22"/>
          <w:lang w:val="it-IT"/>
        </w:rPr>
      </w:pPr>
      <w:r w:rsidRPr="00C9575C">
        <w:rPr>
          <w:szCs w:val="22"/>
          <w:lang w:val="it-IT"/>
        </w:rPr>
        <w:t>L</w:t>
      </w:r>
      <w:r w:rsidR="00C845B5" w:rsidRPr="00C9575C">
        <w:rPr>
          <w:color w:val="000000"/>
          <w:szCs w:val="22"/>
          <w:lang w:val="it-IT" w:eastAsia="zh-CN"/>
        </w:rPr>
        <w:t xml:space="preserve">a sicurezza e l'efficacia di Kivexa </w:t>
      </w:r>
      <w:r w:rsidR="00287D21" w:rsidRPr="00C9575C">
        <w:rPr>
          <w:color w:val="000000"/>
          <w:szCs w:val="22"/>
          <w:lang w:val="it-IT" w:eastAsia="zh-CN"/>
        </w:rPr>
        <w:t xml:space="preserve">nei bambini </w:t>
      </w:r>
      <w:r w:rsidRPr="00C9575C">
        <w:rPr>
          <w:color w:val="000000"/>
          <w:szCs w:val="22"/>
          <w:lang w:val="it-IT" w:eastAsia="zh-CN"/>
        </w:rPr>
        <w:t>che pesano me</w:t>
      </w:r>
      <w:r w:rsidR="000D458C" w:rsidRPr="00C9575C">
        <w:rPr>
          <w:color w:val="000000"/>
          <w:szCs w:val="22"/>
          <w:lang w:val="it-IT" w:eastAsia="zh-CN"/>
        </w:rPr>
        <w:t>n</w:t>
      </w:r>
      <w:r w:rsidRPr="00C9575C">
        <w:rPr>
          <w:color w:val="000000"/>
          <w:szCs w:val="22"/>
          <w:lang w:val="it-IT" w:eastAsia="zh-CN"/>
        </w:rPr>
        <w:t xml:space="preserve">o di 25 kg </w:t>
      </w:r>
      <w:r w:rsidR="00C845B5" w:rsidRPr="00C9575C">
        <w:rPr>
          <w:color w:val="000000"/>
          <w:szCs w:val="22"/>
          <w:lang w:val="it-IT" w:eastAsia="zh-CN"/>
        </w:rPr>
        <w:t>non sono state stabilite</w:t>
      </w:r>
      <w:r w:rsidR="00C845B5" w:rsidRPr="00C9575C">
        <w:rPr>
          <w:szCs w:val="22"/>
          <w:lang w:val="it-IT"/>
        </w:rPr>
        <w:t>.</w:t>
      </w:r>
    </w:p>
    <w:p w14:paraId="699075BD" w14:textId="77777777" w:rsidR="006074EC" w:rsidRPr="00C9575C" w:rsidRDefault="006074EC" w:rsidP="00C845B5">
      <w:pPr>
        <w:rPr>
          <w:szCs w:val="22"/>
          <w:u w:val="single"/>
          <w:lang w:val="it-IT"/>
        </w:rPr>
      </w:pPr>
    </w:p>
    <w:p w14:paraId="6601C3E7" w14:textId="77777777" w:rsidR="00C845B5" w:rsidRPr="00C9575C" w:rsidRDefault="006074EC" w:rsidP="00C845B5">
      <w:pPr>
        <w:rPr>
          <w:color w:val="000000"/>
          <w:szCs w:val="22"/>
          <w:lang w:val="it-IT"/>
        </w:rPr>
      </w:pPr>
      <w:r w:rsidRPr="00C9575C">
        <w:rPr>
          <w:szCs w:val="22"/>
          <w:lang w:val="it-IT"/>
        </w:rPr>
        <w:t xml:space="preserve">I dati attualmente disponibili sono riportati nei paragrafi </w:t>
      </w:r>
      <w:r w:rsidRPr="00C9575C">
        <w:rPr>
          <w:color w:val="000000"/>
          <w:szCs w:val="22"/>
          <w:lang w:val="it-IT"/>
        </w:rPr>
        <w:t xml:space="preserve">4.8, 5.1 e 5.2 ma non può essere fatta alcuna raccomandazione sulla posologia. </w:t>
      </w:r>
    </w:p>
    <w:p w14:paraId="6CC55280" w14:textId="77777777" w:rsidR="006074EC" w:rsidRPr="00C9575C" w:rsidRDefault="006074EC" w:rsidP="00C845B5">
      <w:pPr>
        <w:rPr>
          <w:szCs w:val="22"/>
          <w:u w:val="single"/>
          <w:lang w:val="it-IT"/>
        </w:rPr>
      </w:pPr>
    </w:p>
    <w:p w14:paraId="68FAF3AE" w14:textId="77777777" w:rsidR="00C845B5" w:rsidRPr="00C9575C" w:rsidRDefault="00C845B5" w:rsidP="00C845B5">
      <w:pPr>
        <w:rPr>
          <w:szCs w:val="22"/>
          <w:u w:val="single"/>
          <w:lang w:val="it-IT"/>
        </w:rPr>
      </w:pPr>
      <w:r w:rsidRPr="00C9575C">
        <w:rPr>
          <w:szCs w:val="22"/>
          <w:u w:val="single"/>
          <w:lang w:val="it-IT"/>
        </w:rPr>
        <w:t>Modo di somministrazione</w:t>
      </w:r>
    </w:p>
    <w:p w14:paraId="7E634BB9" w14:textId="77777777" w:rsidR="00C845B5" w:rsidRPr="00C9575C" w:rsidRDefault="00C845B5" w:rsidP="00C845B5">
      <w:pPr>
        <w:suppressLineNumbers/>
        <w:autoSpaceDE w:val="0"/>
        <w:autoSpaceDN w:val="0"/>
        <w:adjustRightInd w:val="0"/>
        <w:rPr>
          <w:color w:val="000000"/>
          <w:szCs w:val="22"/>
          <w:lang w:val="it-IT" w:eastAsia="zh-CN"/>
        </w:rPr>
      </w:pPr>
    </w:p>
    <w:p w14:paraId="425CFF87" w14:textId="77777777" w:rsidR="00C845B5" w:rsidRPr="00C9575C" w:rsidRDefault="00C845B5" w:rsidP="00C845B5">
      <w:pPr>
        <w:suppressLineNumbers/>
        <w:autoSpaceDE w:val="0"/>
        <w:autoSpaceDN w:val="0"/>
        <w:adjustRightInd w:val="0"/>
        <w:rPr>
          <w:color w:val="000000"/>
          <w:szCs w:val="22"/>
          <w:lang w:val="it-IT" w:eastAsia="zh-CN"/>
        </w:rPr>
      </w:pPr>
      <w:r w:rsidRPr="00C9575C">
        <w:rPr>
          <w:color w:val="000000"/>
          <w:szCs w:val="22"/>
          <w:lang w:val="it-IT" w:eastAsia="zh-CN"/>
        </w:rPr>
        <w:t>Uso orale</w:t>
      </w:r>
    </w:p>
    <w:p w14:paraId="04C3B9AF" w14:textId="77777777" w:rsidR="0084378B" w:rsidRPr="00C9575C" w:rsidRDefault="0084378B">
      <w:pPr>
        <w:widowControl w:val="0"/>
        <w:tabs>
          <w:tab w:val="left" w:pos="567"/>
          <w:tab w:val="left" w:pos="3119"/>
        </w:tabs>
        <w:rPr>
          <w:szCs w:val="22"/>
          <w:lang w:val="it-IT"/>
        </w:rPr>
      </w:pPr>
    </w:p>
    <w:p w14:paraId="63B727AB" w14:textId="77777777" w:rsidR="00C845B5" w:rsidRPr="00C9575C" w:rsidRDefault="00C845B5" w:rsidP="00C845B5">
      <w:pPr>
        <w:widowControl w:val="0"/>
        <w:tabs>
          <w:tab w:val="left" w:pos="567"/>
        </w:tabs>
        <w:rPr>
          <w:szCs w:val="22"/>
          <w:lang w:val="it-IT"/>
        </w:rPr>
      </w:pPr>
      <w:r w:rsidRPr="00C9575C">
        <w:rPr>
          <w:szCs w:val="22"/>
          <w:lang w:val="it-IT"/>
        </w:rPr>
        <w:t>Kivexa può essere assunto con o senza cibo.</w:t>
      </w:r>
    </w:p>
    <w:p w14:paraId="0479B4B3" w14:textId="77777777" w:rsidR="003C1C53" w:rsidRPr="00C9575C" w:rsidRDefault="003C1C53">
      <w:pPr>
        <w:widowControl w:val="0"/>
        <w:tabs>
          <w:tab w:val="left" w:pos="567"/>
          <w:tab w:val="left" w:pos="3119"/>
        </w:tabs>
        <w:rPr>
          <w:szCs w:val="22"/>
          <w:lang w:val="it-IT"/>
        </w:rPr>
      </w:pPr>
    </w:p>
    <w:p w14:paraId="4C15E7E1" w14:textId="77777777" w:rsidR="0084378B" w:rsidRPr="00C9575C" w:rsidRDefault="0084378B">
      <w:pPr>
        <w:widowControl w:val="0"/>
        <w:tabs>
          <w:tab w:val="left" w:pos="567"/>
        </w:tabs>
        <w:rPr>
          <w:b/>
          <w:szCs w:val="22"/>
          <w:lang w:val="it-IT"/>
        </w:rPr>
      </w:pPr>
      <w:r w:rsidRPr="00C9575C">
        <w:rPr>
          <w:b/>
          <w:szCs w:val="22"/>
          <w:lang w:val="it-IT"/>
        </w:rPr>
        <w:t>4.3</w:t>
      </w:r>
      <w:r w:rsidRPr="00C9575C">
        <w:rPr>
          <w:b/>
          <w:szCs w:val="22"/>
          <w:lang w:val="it-IT"/>
        </w:rPr>
        <w:tab/>
        <w:t>Controindicazioni</w:t>
      </w:r>
    </w:p>
    <w:p w14:paraId="7F6D8D0F" w14:textId="77777777" w:rsidR="00A84783" w:rsidRPr="00C9575C" w:rsidRDefault="00A84783" w:rsidP="00A84783">
      <w:pPr>
        <w:suppressAutoHyphens/>
        <w:rPr>
          <w:szCs w:val="22"/>
          <w:lang w:val="it-IT"/>
        </w:rPr>
      </w:pPr>
    </w:p>
    <w:p w14:paraId="28C96EFD" w14:textId="77777777" w:rsidR="00A84783" w:rsidRPr="00C9575C" w:rsidRDefault="00A84783" w:rsidP="00A84783">
      <w:pPr>
        <w:suppressAutoHyphens/>
        <w:rPr>
          <w:szCs w:val="22"/>
          <w:lang w:val="it-IT"/>
        </w:rPr>
      </w:pPr>
      <w:r w:rsidRPr="00C9575C">
        <w:rPr>
          <w:szCs w:val="22"/>
          <w:lang w:val="it-IT"/>
        </w:rPr>
        <w:t xml:space="preserve">Ipersensibilità </w:t>
      </w:r>
      <w:r w:rsidR="009448DE" w:rsidRPr="00C9575C">
        <w:rPr>
          <w:szCs w:val="22"/>
          <w:lang w:val="it-IT"/>
        </w:rPr>
        <w:t>ai principi attivi</w:t>
      </w:r>
      <w:r w:rsidRPr="00C9575C">
        <w:rPr>
          <w:szCs w:val="22"/>
          <w:lang w:val="it-IT"/>
        </w:rPr>
        <w:t xml:space="preserve"> </w:t>
      </w:r>
      <w:r w:rsidR="009448DE" w:rsidRPr="00C9575C">
        <w:rPr>
          <w:szCs w:val="22"/>
          <w:lang w:val="it-IT"/>
        </w:rPr>
        <w:t xml:space="preserve">o </w:t>
      </w:r>
      <w:r w:rsidRPr="00C9575C">
        <w:rPr>
          <w:szCs w:val="22"/>
          <w:lang w:val="it-IT"/>
        </w:rPr>
        <w:t>ad uno qualsiasi degli eccipienti elencati al paragrafo 6.1. Vedere paragrafi 4.4 e 4.8.</w:t>
      </w:r>
    </w:p>
    <w:p w14:paraId="52B3A12C" w14:textId="77777777" w:rsidR="00DF4AC4" w:rsidRPr="00C9575C" w:rsidRDefault="00DF4AC4">
      <w:pPr>
        <w:widowControl w:val="0"/>
        <w:tabs>
          <w:tab w:val="left" w:pos="567"/>
        </w:tabs>
        <w:rPr>
          <w:szCs w:val="22"/>
          <w:lang w:val="it-IT"/>
        </w:rPr>
      </w:pPr>
    </w:p>
    <w:p w14:paraId="503AF6D7" w14:textId="77777777" w:rsidR="0084378B" w:rsidRPr="00C9575C" w:rsidRDefault="0084378B">
      <w:pPr>
        <w:widowControl w:val="0"/>
        <w:tabs>
          <w:tab w:val="left" w:pos="567"/>
        </w:tabs>
        <w:rPr>
          <w:b/>
          <w:szCs w:val="22"/>
          <w:lang w:val="it-IT"/>
        </w:rPr>
      </w:pPr>
      <w:r w:rsidRPr="00C9575C">
        <w:rPr>
          <w:b/>
          <w:szCs w:val="22"/>
          <w:lang w:val="it-IT"/>
        </w:rPr>
        <w:t>4.4</w:t>
      </w:r>
      <w:r w:rsidRPr="00C9575C">
        <w:rPr>
          <w:b/>
          <w:szCs w:val="22"/>
          <w:lang w:val="it-IT"/>
        </w:rPr>
        <w:tab/>
        <w:t>Avvertenze speciali e precauzioni di impiego</w:t>
      </w:r>
    </w:p>
    <w:p w14:paraId="011C787E" w14:textId="77777777" w:rsidR="0084378B" w:rsidRPr="00C9575C" w:rsidRDefault="0084378B">
      <w:pPr>
        <w:widowControl w:val="0"/>
        <w:tabs>
          <w:tab w:val="left" w:pos="567"/>
        </w:tabs>
        <w:rPr>
          <w:b/>
          <w:szCs w:val="22"/>
          <w:lang w:val="it-IT"/>
        </w:rPr>
      </w:pPr>
    </w:p>
    <w:p w14:paraId="3C4719D8" w14:textId="77777777" w:rsidR="0084378B" w:rsidRPr="00C9575C" w:rsidRDefault="0084378B">
      <w:pPr>
        <w:widowControl w:val="0"/>
        <w:tabs>
          <w:tab w:val="left" w:pos="567"/>
        </w:tabs>
        <w:rPr>
          <w:szCs w:val="22"/>
          <w:lang w:val="it-IT"/>
        </w:rPr>
      </w:pPr>
      <w:r w:rsidRPr="00C9575C">
        <w:rPr>
          <w:szCs w:val="22"/>
          <w:lang w:val="it-IT"/>
        </w:rPr>
        <w:t xml:space="preserve">In questo paragrafo vengono incluse le avvertenze speciali e le precauzioni relative ad abacavir e </w:t>
      </w:r>
      <w:r w:rsidR="00C336B2" w:rsidRPr="00C9575C">
        <w:rPr>
          <w:szCs w:val="22"/>
          <w:lang w:val="it-IT"/>
        </w:rPr>
        <w:t>a</w:t>
      </w:r>
      <w:r w:rsidRPr="00C9575C">
        <w:rPr>
          <w:szCs w:val="22"/>
          <w:lang w:val="it-IT"/>
        </w:rPr>
        <w:t xml:space="preserve"> lamivudina. Non vi sono ulteriori precauzioni e avvertenze relative a Kivexa.</w:t>
      </w:r>
    </w:p>
    <w:p w14:paraId="0EB7436C" w14:textId="77777777" w:rsidR="00C845B5" w:rsidRPr="00C9575C" w:rsidRDefault="00C845B5" w:rsidP="00C845B5">
      <w:pPr>
        <w:suppressAutoHyphens/>
        <w:rPr>
          <w:szCs w:val="22"/>
          <w:lang w:val="it-IT"/>
        </w:rPr>
      </w:pPr>
    </w:p>
    <w:p w14:paraId="162DC58D" w14:textId="77777777" w:rsidR="00DF4AC4" w:rsidRPr="00C9575C" w:rsidRDefault="00A20F4A">
      <w:pPr>
        <w:widowControl w:val="0"/>
        <w:tabs>
          <w:tab w:val="left" w:pos="567"/>
        </w:tabs>
        <w:rPr>
          <w:szCs w:val="22"/>
          <w:lang w:val="it-IT"/>
        </w:rPr>
      </w:pPr>
      <w:r w:rsidRPr="00C9575C">
        <w:rPr>
          <w:szCs w:val="22"/>
          <w:lang w:val="it-IT"/>
        </w:rPr>
        <w:br w:type="page"/>
      </w:r>
    </w:p>
    <w:p w14:paraId="750064A6" w14:textId="77777777" w:rsidR="00A84783" w:rsidRPr="00C9575C" w:rsidRDefault="0084378B" w:rsidP="00302F0D">
      <w:pPr>
        <w:widowControl w:val="0"/>
        <w:pBdr>
          <w:top w:val="single" w:sz="4" w:space="1" w:color="auto"/>
          <w:left w:val="single" w:sz="4" w:space="4" w:color="auto"/>
          <w:bottom w:val="single" w:sz="4" w:space="1" w:color="auto"/>
          <w:right w:val="single" w:sz="4" w:space="4" w:color="auto"/>
        </w:pBdr>
        <w:tabs>
          <w:tab w:val="left" w:pos="567"/>
        </w:tabs>
        <w:ind w:left="142" w:right="425"/>
        <w:rPr>
          <w:szCs w:val="22"/>
          <w:lang w:val="it-IT"/>
        </w:rPr>
      </w:pPr>
      <w:r w:rsidRPr="00C9575C">
        <w:rPr>
          <w:b/>
          <w:i/>
          <w:szCs w:val="22"/>
          <w:lang w:val="it-IT"/>
        </w:rPr>
        <w:lastRenderedPageBreak/>
        <w:t>Reazion</w:t>
      </w:r>
      <w:r w:rsidR="00A84783" w:rsidRPr="00C9575C">
        <w:rPr>
          <w:b/>
          <w:i/>
          <w:szCs w:val="22"/>
          <w:lang w:val="it-IT"/>
        </w:rPr>
        <w:t>i</w:t>
      </w:r>
      <w:r w:rsidRPr="00C9575C">
        <w:rPr>
          <w:b/>
          <w:i/>
          <w:szCs w:val="22"/>
          <w:lang w:val="it-IT"/>
        </w:rPr>
        <w:t xml:space="preserve"> di </w:t>
      </w:r>
      <w:r w:rsidR="000A59C7" w:rsidRPr="00C9575C">
        <w:rPr>
          <w:b/>
          <w:i/>
          <w:szCs w:val="22"/>
          <w:lang w:val="it-IT"/>
        </w:rPr>
        <w:t>i</w:t>
      </w:r>
      <w:r w:rsidRPr="00C9575C">
        <w:rPr>
          <w:b/>
          <w:i/>
          <w:szCs w:val="22"/>
          <w:lang w:val="it-IT"/>
        </w:rPr>
        <w:t xml:space="preserve">persensibilità </w:t>
      </w:r>
      <w:r w:rsidRPr="00C9575C">
        <w:rPr>
          <w:szCs w:val="22"/>
          <w:lang w:val="it-IT"/>
        </w:rPr>
        <w:t>(vedere anche paragrafo 4.8)</w:t>
      </w:r>
    </w:p>
    <w:p w14:paraId="2B221783" w14:textId="77777777" w:rsidR="006927F1" w:rsidRPr="00C9575C" w:rsidRDefault="006927F1" w:rsidP="00302F0D">
      <w:pPr>
        <w:widowControl w:val="0"/>
        <w:pBdr>
          <w:top w:val="single" w:sz="4" w:space="1" w:color="auto"/>
          <w:left w:val="single" w:sz="4" w:space="4" w:color="auto"/>
          <w:bottom w:val="single" w:sz="4" w:space="1" w:color="auto"/>
          <w:right w:val="single" w:sz="4" w:space="4" w:color="auto"/>
        </w:pBdr>
        <w:tabs>
          <w:tab w:val="left" w:pos="567"/>
        </w:tabs>
        <w:ind w:left="142" w:right="425"/>
        <w:rPr>
          <w:szCs w:val="22"/>
          <w:lang w:val="it-IT"/>
        </w:rPr>
      </w:pPr>
    </w:p>
    <w:p w14:paraId="55ECC2F2" w14:textId="77777777" w:rsidR="006927F1" w:rsidRPr="00C9575C" w:rsidRDefault="00A84783" w:rsidP="00302F0D">
      <w:pPr>
        <w:widowControl w:val="0"/>
        <w:pBdr>
          <w:top w:val="single" w:sz="4" w:space="1" w:color="auto"/>
          <w:left w:val="single" w:sz="4" w:space="4" w:color="auto"/>
          <w:bottom w:val="single" w:sz="4" w:space="1" w:color="auto"/>
          <w:right w:val="single" w:sz="4" w:space="4" w:color="auto"/>
        </w:pBdr>
        <w:tabs>
          <w:tab w:val="left" w:pos="567"/>
        </w:tabs>
        <w:ind w:left="142" w:right="425"/>
        <w:rPr>
          <w:szCs w:val="22"/>
          <w:lang w:val="it-IT"/>
        </w:rPr>
      </w:pPr>
      <w:r w:rsidRPr="00C9575C">
        <w:rPr>
          <w:szCs w:val="22"/>
          <w:lang w:val="it-IT"/>
        </w:rPr>
        <w:t>Abacavir è associato ad un rischio di reazioni di ipersensibilità (HSR) (vedere paragrafo 4.8) caratterizzate da febbre e/o rash con altri sintomi che indicano un coinvolgimento multi-organico. Le HSR sono state osservate con abacavir, alcune delle quali erano pericolose per la vita e in rari casi ad esito fatale, quando non gestite in maniera appropriata.</w:t>
      </w:r>
    </w:p>
    <w:p w14:paraId="76FFAD41" w14:textId="77777777" w:rsidR="006927F1" w:rsidRPr="00C9575C" w:rsidRDefault="006927F1" w:rsidP="00302F0D">
      <w:pPr>
        <w:widowControl w:val="0"/>
        <w:pBdr>
          <w:top w:val="single" w:sz="4" w:space="1" w:color="auto"/>
          <w:left w:val="single" w:sz="4" w:space="4" w:color="auto"/>
          <w:bottom w:val="single" w:sz="4" w:space="1" w:color="auto"/>
          <w:right w:val="single" w:sz="4" w:space="4" w:color="auto"/>
        </w:pBdr>
        <w:tabs>
          <w:tab w:val="left" w:pos="567"/>
        </w:tabs>
        <w:ind w:left="142" w:right="425"/>
        <w:rPr>
          <w:szCs w:val="22"/>
          <w:lang w:val="it-IT"/>
        </w:rPr>
      </w:pPr>
    </w:p>
    <w:p w14:paraId="49A693AB" w14:textId="77777777" w:rsidR="00A84783" w:rsidRPr="00C9575C" w:rsidRDefault="00A84783" w:rsidP="00302F0D">
      <w:pPr>
        <w:widowControl w:val="0"/>
        <w:pBdr>
          <w:top w:val="single" w:sz="4" w:space="1" w:color="auto"/>
          <w:left w:val="single" w:sz="4" w:space="4" w:color="auto"/>
          <w:bottom w:val="single" w:sz="4" w:space="1" w:color="auto"/>
          <w:right w:val="single" w:sz="4" w:space="4" w:color="auto"/>
        </w:pBdr>
        <w:tabs>
          <w:tab w:val="left" w:pos="567"/>
        </w:tabs>
        <w:ind w:left="142" w:right="425"/>
        <w:rPr>
          <w:szCs w:val="22"/>
          <w:lang w:val="it-IT"/>
        </w:rPr>
      </w:pPr>
      <w:r w:rsidRPr="00C9575C">
        <w:rPr>
          <w:szCs w:val="22"/>
          <w:lang w:val="it-IT"/>
        </w:rPr>
        <w:t>Il rischio che si verifichi una HSR ad abacavir è elevato nei pazienti con test positivo per la presenza dell’allele HLA-B*5701. Tuttavia, HSR ad abacavir sono state riportate con una frequenza minore nei pazienti che non possiedono questo allele.</w:t>
      </w:r>
    </w:p>
    <w:p w14:paraId="167BE71B" w14:textId="77777777" w:rsidR="006927F1" w:rsidRPr="00C9575C" w:rsidRDefault="006927F1" w:rsidP="00302F0D">
      <w:pPr>
        <w:widowControl w:val="0"/>
        <w:pBdr>
          <w:top w:val="single" w:sz="4" w:space="1" w:color="auto"/>
          <w:left w:val="single" w:sz="4" w:space="4" w:color="auto"/>
          <w:bottom w:val="single" w:sz="4" w:space="1" w:color="auto"/>
          <w:right w:val="single" w:sz="4" w:space="4" w:color="auto"/>
        </w:pBdr>
        <w:tabs>
          <w:tab w:val="left" w:pos="567"/>
        </w:tabs>
        <w:ind w:left="142" w:right="425"/>
        <w:rPr>
          <w:szCs w:val="22"/>
          <w:lang w:val="it-IT"/>
        </w:rPr>
      </w:pPr>
    </w:p>
    <w:p w14:paraId="2A5DC470" w14:textId="77777777" w:rsidR="00A84783" w:rsidRPr="00C9575C" w:rsidRDefault="00A84783" w:rsidP="00302F0D">
      <w:pPr>
        <w:pBdr>
          <w:top w:val="single" w:sz="4" w:space="1" w:color="auto"/>
          <w:left w:val="single" w:sz="4" w:space="4" w:color="auto"/>
          <w:bottom w:val="single" w:sz="4" w:space="1" w:color="auto"/>
          <w:right w:val="single" w:sz="4" w:space="4" w:color="auto"/>
        </w:pBdr>
        <w:tabs>
          <w:tab w:val="left" w:pos="0"/>
        </w:tabs>
        <w:ind w:left="142" w:right="425"/>
        <w:rPr>
          <w:bCs/>
          <w:szCs w:val="22"/>
          <w:lang w:val="it-IT"/>
        </w:rPr>
      </w:pPr>
      <w:r w:rsidRPr="00C9575C">
        <w:rPr>
          <w:szCs w:val="22"/>
          <w:lang w:val="it-IT"/>
        </w:rPr>
        <w:t>Pertanto, deve sempre essere rispettato quanto segue</w:t>
      </w:r>
      <w:r w:rsidRPr="00C9575C">
        <w:rPr>
          <w:bCs/>
          <w:szCs w:val="22"/>
          <w:lang w:val="it-IT"/>
        </w:rPr>
        <w:t>:</w:t>
      </w:r>
    </w:p>
    <w:p w14:paraId="6A45B70E" w14:textId="77777777" w:rsidR="00913D1F" w:rsidRPr="00C9575C" w:rsidRDefault="00913D1F" w:rsidP="00302F0D">
      <w:pPr>
        <w:pBdr>
          <w:top w:val="single" w:sz="4" w:space="1" w:color="auto"/>
          <w:left w:val="single" w:sz="4" w:space="4" w:color="auto"/>
          <w:bottom w:val="single" w:sz="4" w:space="1" w:color="auto"/>
          <w:right w:val="single" w:sz="4" w:space="4" w:color="auto"/>
        </w:pBdr>
        <w:tabs>
          <w:tab w:val="left" w:pos="0"/>
        </w:tabs>
        <w:ind w:left="142" w:right="425"/>
        <w:rPr>
          <w:bCs/>
          <w:szCs w:val="22"/>
          <w:lang w:val="it-IT"/>
        </w:rPr>
      </w:pPr>
    </w:p>
    <w:p w14:paraId="0F8C8109" w14:textId="77777777" w:rsidR="00A20F4A" w:rsidRPr="00C9575C" w:rsidRDefault="00913D1F" w:rsidP="00721816">
      <w:pPr>
        <w:numPr>
          <w:ilvl w:val="0"/>
          <w:numId w:val="26"/>
        </w:numPr>
        <w:pBdr>
          <w:top w:val="single" w:sz="4" w:space="1" w:color="auto"/>
          <w:left w:val="single" w:sz="4" w:space="4" w:color="auto"/>
          <w:bottom w:val="single" w:sz="4" w:space="1" w:color="auto"/>
          <w:right w:val="single" w:sz="4" w:space="4" w:color="auto"/>
        </w:pBdr>
        <w:tabs>
          <w:tab w:val="left" w:pos="567"/>
        </w:tabs>
        <w:spacing w:after="120"/>
        <w:ind w:left="567" w:right="425" w:hanging="425"/>
        <w:rPr>
          <w:szCs w:val="22"/>
          <w:lang w:val="it-IT"/>
        </w:rPr>
      </w:pPr>
      <w:r w:rsidRPr="00C9575C">
        <w:rPr>
          <w:szCs w:val="22"/>
          <w:lang w:val="it-IT"/>
        </w:rPr>
        <w:t>la presenza o meno dell’allele HLA-B*5701 deve essere sempre confermata prima di iniziare la terapia.</w:t>
      </w:r>
    </w:p>
    <w:p w14:paraId="1C3EEDCB" w14:textId="77777777" w:rsidR="00A20F4A" w:rsidRPr="00C9575C" w:rsidRDefault="00913D1F" w:rsidP="00721816">
      <w:pPr>
        <w:numPr>
          <w:ilvl w:val="0"/>
          <w:numId w:val="26"/>
        </w:numPr>
        <w:pBdr>
          <w:top w:val="single" w:sz="4" w:space="1" w:color="auto"/>
          <w:left w:val="single" w:sz="4" w:space="4" w:color="auto"/>
          <w:bottom w:val="single" w:sz="4" w:space="1" w:color="auto"/>
          <w:right w:val="single" w:sz="4" w:space="4" w:color="auto"/>
        </w:pBdr>
        <w:tabs>
          <w:tab w:val="left" w:pos="567"/>
        </w:tabs>
        <w:spacing w:after="120"/>
        <w:ind w:left="567" w:right="425" w:hanging="425"/>
        <w:rPr>
          <w:bCs/>
          <w:lang w:val="it-IT"/>
        </w:rPr>
      </w:pPr>
      <w:r w:rsidRPr="00C9575C">
        <w:rPr>
          <w:szCs w:val="22"/>
          <w:lang w:val="it-IT"/>
        </w:rPr>
        <w:t>Kivexa non deve mai essere iniziato nei pazienti con positività per la presenza dell’allele HLA-B*5701, nemmeno nei pazienti con negatività per l’allele HLA-B*5701 che hanno avuto una sospetta HSR ad abacavir in un precedente regime terapeutico contenente abacavir</w:t>
      </w:r>
      <w:r w:rsidRPr="00C9575C">
        <w:rPr>
          <w:bCs/>
          <w:lang w:val="it-IT"/>
        </w:rPr>
        <w:t xml:space="preserve"> (ad esempio Ziagen, Trizivir, Triumeq).</w:t>
      </w:r>
    </w:p>
    <w:p w14:paraId="35354F13" w14:textId="77777777" w:rsidR="00A20F4A" w:rsidRPr="00C9575C" w:rsidRDefault="00913D1F" w:rsidP="00721816">
      <w:pPr>
        <w:numPr>
          <w:ilvl w:val="0"/>
          <w:numId w:val="26"/>
        </w:numPr>
        <w:pBdr>
          <w:top w:val="single" w:sz="4" w:space="1" w:color="auto"/>
          <w:left w:val="single" w:sz="4" w:space="4" w:color="auto"/>
          <w:bottom w:val="single" w:sz="4" w:space="1" w:color="auto"/>
          <w:right w:val="single" w:sz="4" w:space="4" w:color="auto"/>
        </w:pBdr>
        <w:tabs>
          <w:tab w:val="left" w:pos="567"/>
        </w:tabs>
        <w:spacing w:after="120"/>
        <w:ind w:left="567" w:right="425" w:hanging="425"/>
        <w:rPr>
          <w:szCs w:val="22"/>
          <w:lang w:val="it-IT"/>
        </w:rPr>
      </w:pPr>
      <w:r w:rsidRPr="00C9575C">
        <w:rPr>
          <w:szCs w:val="22"/>
          <w:lang w:val="it-IT"/>
        </w:rPr>
        <w:t xml:space="preserve">se si sospetta una HSR, </w:t>
      </w:r>
      <w:r w:rsidRPr="00C9575C">
        <w:rPr>
          <w:b/>
          <w:szCs w:val="22"/>
          <w:lang w:val="it-IT"/>
        </w:rPr>
        <w:t>Kivexa deve essere interrotto immediatamente</w:t>
      </w:r>
      <w:r w:rsidRPr="00C9575C">
        <w:rPr>
          <w:szCs w:val="22"/>
          <w:lang w:val="it-IT"/>
        </w:rPr>
        <w:t xml:space="preserve"> anche in assenza di allele HLA-B*5701. Un ritardo nella sospensione del trattamento con Kivexa dopo l’insorgenza di ipersensibilità provoca una reazione pericolosa per la vita.</w:t>
      </w:r>
    </w:p>
    <w:p w14:paraId="59276CEF" w14:textId="77777777" w:rsidR="00A20F4A" w:rsidRPr="00C9575C" w:rsidRDefault="00913D1F" w:rsidP="00721816">
      <w:pPr>
        <w:numPr>
          <w:ilvl w:val="0"/>
          <w:numId w:val="26"/>
        </w:numPr>
        <w:pBdr>
          <w:top w:val="single" w:sz="4" w:space="1" w:color="auto"/>
          <w:left w:val="single" w:sz="4" w:space="4" w:color="auto"/>
          <w:bottom w:val="single" w:sz="4" w:space="1" w:color="auto"/>
          <w:right w:val="single" w:sz="4" w:space="4" w:color="auto"/>
        </w:pBdr>
        <w:tabs>
          <w:tab w:val="left" w:pos="567"/>
        </w:tabs>
        <w:spacing w:after="120"/>
        <w:ind w:left="567" w:right="425" w:hanging="425"/>
        <w:rPr>
          <w:b/>
          <w:szCs w:val="22"/>
          <w:lang w:val="it-IT"/>
        </w:rPr>
      </w:pPr>
      <w:r w:rsidRPr="00C9575C">
        <w:rPr>
          <w:szCs w:val="22"/>
          <w:lang w:val="it-IT"/>
        </w:rPr>
        <w:t>dopo l’interruzione del trattamento con Kivexa per motivi di sospetta HSR</w:t>
      </w:r>
      <w:r w:rsidRPr="00C9575C">
        <w:rPr>
          <w:b/>
          <w:szCs w:val="22"/>
          <w:lang w:val="it-IT"/>
        </w:rPr>
        <w:t>, Kivexa o qualsiasi altro medicinale contenente abacavir</w:t>
      </w:r>
      <w:r w:rsidRPr="00C9575C">
        <w:rPr>
          <w:bCs/>
          <w:lang w:val="it-IT"/>
        </w:rPr>
        <w:t xml:space="preserve"> (ad esempio Ziagen, Trizivir, Triumeq)</w:t>
      </w:r>
      <w:r w:rsidRPr="00C9575C">
        <w:rPr>
          <w:b/>
          <w:szCs w:val="22"/>
          <w:lang w:val="it-IT"/>
        </w:rPr>
        <w:t xml:space="preserve"> non devono mai più essere ripresi.</w:t>
      </w:r>
    </w:p>
    <w:p w14:paraId="588AEF47" w14:textId="77777777" w:rsidR="00A20F4A" w:rsidRPr="00C9575C" w:rsidRDefault="00913D1F" w:rsidP="00721816">
      <w:pPr>
        <w:numPr>
          <w:ilvl w:val="0"/>
          <w:numId w:val="26"/>
        </w:numPr>
        <w:pBdr>
          <w:top w:val="single" w:sz="4" w:space="1" w:color="auto"/>
          <w:left w:val="single" w:sz="4" w:space="4" w:color="auto"/>
          <w:bottom w:val="single" w:sz="4" w:space="1" w:color="auto"/>
          <w:right w:val="single" w:sz="4" w:space="4" w:color="auto"/>
        </w:pBdr>
        <w:tabs>
          <w:tab w:val="left" w:pos="567"/>
        </w:tabs>
        <w:spacing w:after="120"/>
        <w:ind w:left="567" w:right="425" w:hanging="425"/>
        <w:rPr>
          <w:szCs w:val="22"/>
          <w:lang w:val="it-IT"/>
        </w:rPr>
      </w:pPr>
      <w:r w:rsidRPr="00C9575C">
        <w:rPr>
          <w:szCs w:val="22"/>
          <w:lang w:val="it-IT"/>
        </w:rPr>
        <w:t>la riassunzione di medicinali contenenti abacavir dopo una sospetta HSR ad abacavir può provocare un’immediata ricomparsa dei sintomi entro poche ore. La ricomparsa dei sintomi è generalmente più grave della presentazione iniziale e può includere ipotensione pericolosa per la vita e morte.</w:t>
      </w:r>
    </w:p>
    <w:p w14:paraId="650A6A8E" w14:textId="77777777" w:rsidR="00A20F4A" w:rsidRPr="00C9575C" w:rsidRDefault="00913D1F" w:rsidP="00721816">
      <w:pPr>
        <w:numPr>
          <w:ilvl w:val="0"/>
          <w:numId w:val="26"/>
        </w:numPr>
        <w:pBdr>
          <w:top w:val="single" w:sz="4" w:space="1" w:color="auto"/>
          <w:left w:val="single" w:sz="4" w:space="4" w:color="auto"/>
          <w:bottom w:val="single" w:sz="4" w:space="1" w:color="auto"/>
          <w:right w:val="single" w:sz="4" w:space="4" w:color="auto"/>
        </w:pBdr>
        <w:spacing w:after="120"/>
        <w:ind w:left="567" w:right="425" w:hanging="425"/>
        <w:rPr>
          <w:szCs w:val="22"/>
          <w:lang w:val="it-IT"/>
        </w:rPr>
      </w:pPr>
      <w:r w:rsidRPr="00C9575C">
        <w:rPr>
          <w:szCs w:val="22"/>
          <w:lang w:val="it-IT"/>
        </w:rPr>
        <w:t>per evitare la riassunzione di abacavir, i pazienti che vanno incontro ad una sospetta HSR devono essere istruiti di eliminare le compresse rimanenti di Kivexa.</w:t>
      </w:r>
    </w:p>
    <w:p w14:paraId="5BA6BBC6" w14:textId="77777777" w:rsidR="00A20F4A" w:rsidRPr="00C9575C" w:rsidRDefault="0056729F" w:rsidP="00302F0D">
      <w:pPr>
        <w:pBdr>
          <w:top w:val="single" w:sz="4" w:space="1" w:color="auto"/>
          <w:left w:val="single" w:sz="4" w:space="4" w:color="auto"/>
          <w:bottom w:val="single" w:sz="4" w:space="1" w:color="auto"/>
          <w:right w:val="single" w:sz="4" w:space="4" w:color="auto"/>
        </w:pBdr>
        <w:tabs>
          <w:tab w:val="left" w:pos="284"/>
          <w:tab w:val="left" w:pos="567"/>
        </w:tabs>
        <w:spacing w:after="120"/>
        <w:ind w:left="142" w:right="425"/>
        <w:rPr>
          <w:b/>
          <w:i/>
          <w:szCs w:val="22"/>
          <w:u w:val="single"/>
          <w:lang w:val="it-IT"/>
        </w:rPr>
      </w:pPr>
      <w:r w:rsidRPr="00C9575C">
        <w:rPr>
          <w:b/>
          <w:szCs w:val="22"/>
          <w:u w:val="single"/>
          <w:lang w:val="it-IT"/>
        </w:rPr>
        <w:t>Descrizione clinica</w:t>
      </w:r>
      <w:r w:rsidRPr="00C9575C">
        <w:rPr>
          <w:b/>
          <w:i/>
          <w:szCs w:val="22"/>
          <w:u w:val="single"/>
          <w:lang w:val="it-IT"/>
        </w:rPr>
        <w:t xml:space="preserve"> di HSR ad abacavir</w:t>
      </w:r>
    </w:p>
    <w:p w14:paraId="267E943E" w14:textId="77777777" w:rsidR="00A20F4A" w:rsidRPr="00C9575C" w:rsidRDefault="0056729F" w:rsidP="00302F0D">
      <w:pPr>
        <w:pBdr>
          <w:top w:val="single" w:sz="4" w:space="1" w:color="auto"/>
          <w:left w:val="single" w:sz="4" w:space="4" w:color="auto"/>
          <w:bottom w:val="single" w:sz="4" w:space="1" w:color="auto"/>
          <w:right w:val="single" w:sz="4" w:space="4" w:color="auto"/>
        </w:pBdr>
        <w:tabs>
          <w:tab w:val="left" w:pos="284"/>
          <w:tab w:val="left" w:pos="567"/>
        </w:tabs>
        <w:spacing w:after="120"/>
        <w:ind w:left="142" w:right="425"/>
        <w:rPr>
          <w:b/>
          <w:szCs w:val="22"/>
          <w:lang w:val="it-IT"/>
        </w:rPr>
      </w:pPr>
      <w:r w:rsidRPr="00C9575C">
        <w:rPr>
          <w:szCs w:val="22"/>
          <w:lang w:val="it-IT"/>
        </w:rPr>
        <w:t xml:space="preserve">L’HSR ad abacavir è stata ben caratterizzata nel corso degli studi clinici e durante l’esposizione post marketing. I sintomi generalmente insorgevano entro le prime sei settimane (tempo mediano di insorgenza 11 giorni) dall’inizio del trattamento con abacavir, </w:t>
      </w:r>
      <w:r w:rsidRPr="00C9575C">
        <w:rPr>
          <w:b/>
          <w:szCs w:val="22"/>
          <w:lang w:val="it-IT"/>
        </w:rPr>
        <w:t>anche se tali reazioni possono insorgere in qualsiasi momento durante il corso della terapia.</w:t>
      </w:r>
    </w:p>
    <w:p w14:paraId="6109C4EB" w14:textId="77777777" w:rsidR="00A20F4A" w:rsidRPr="00C9575C" w:rsidRDefault="0056729F" w:rsidP="00302F0D">
      <w:pPr>
        <w:pBdr>
          <w:top w:val="single" w:sz="4" w:space="1" w:color="auto"/>
          <w:left w:val="single" w:sz="4" w:space="4" w:color="auto"/>
          <w:bottom w:val="single" w:sz="4" w:space="1" w:color="auto"/>
          <w:right w:val="single" w:sz="4" w:space="4" w:color="auto"/>
        </w:pBdr>
        <w:tabs>
          <w:tab w:val="left" w:pos="284"/>
          <w:tab w:val="left" w:pos="567"/>
        </w:tabs>
        <w:spacing w:after="120"/>
        <w:ind w:left="142" w:right="425"/>
        <w:rPr>
          <w:b/>
          <w:szCs w:val="22"/>
          <w:lang w:val="it-IT"/>
        </w:rPr>
      </w:pPr>
      <w:r w:rsidRPr="00C9575C">
        <w:rPr>
          <w:lang w:val="it-IT"/>
        </w:rPr>
        <w:t xml:space="preserve">Quasi tutte le HSR ad abacavir includono febbre e/o rash. </w:t>
      </w:r>
      <w:r w:rsidRPr="00C9575C">
        <w:rPr>
          <w:szCs w:val="22"/>
          <w:lang w:val="it-IT"/>
        </w:rPr>
        <w:t xml:space="preserve">Altri segni e sintomi che sono stati osservati come parte della HSR ad abacavir sono descritti in dettaglio nel paragrafo 4.8 (Descrizione delle reazioni avverse selezionate), inclusi sintomi respiratori e gastrointestinali. </w:t>
      </w:r>
      <w:r w:rsidR="00721816" w:rsidRPr="00C9575C">
        <w:rPr>
          <w:szCs w:val="22"/>
          <w:lang w:val="it-IT"/>
        </w:rPr>
        <w:t xml:space="preserve">È </w:t>
      </w:r>
      <w:r w:rsidRPr="00C9575C">
        <w:rPr>
          <w:szCs w:val="22"/>
          <w:lang w:val="it-IT"/>
        </w:rPr>
        <w:t xml:space="preserve">importante sottolineare che tali sintomi </w:t>
      </w:r>
      <w:r w:rsidRPr="00C9575C">
        <w:rPr>
          <w:b/>
          <w:szCs w:val="22"/>
          <w:lang w:val="it-IT"/>
        </w:rPr>
        <w:t>possono condurre ad una diagnosi errata di HSR come patologia respiratoria (polmonite, bronchite, faringite), o gastroenterite.</w:t>
      </w:r>
    </w:p>
    <w:p w14:paraId="4ED466A1" w14:textId="77777777" w:rsidR="00A20F4A" w:rsidRPr="00C9575C" w:rsidRDefault="0056729F" w:rsidP="00302F0D">
      <w:pPr>
        <w:pBdr>
          <w:top w:val="single" w:sz="4" w:space="1" w:color="auto"/>
          <w:left w:val="single" w:sz="4" w:space="4" w:color="auto"/>
          <w:bottom w:val="single" w:sz="4" w:space="1" w:color="auto"/>
          <w:right w:val="single" w:sz="4" w:space="4" w:color="auto"/>
        </w:pBdr>
        <w:tabs>
          <w:tab w:val="left" w:pos="284"/>
          <w:tab w:val="left" w:pos="567"/>
        </w:tabs>
        <w:spacing w:after="120"/>
        <w:ind w:left="142" w:right="425"/>
        <w:rPr>
          <w:szCs w:val="22"/>
          <w:lang w:val="it-IT"/>
        </w:rPr>
      </w:pPr>
      <w:r w:rsidRPr="00C9575C">
        <w:rPr>
          <w:szCs w:val="22"/>
          <w:lang w:val="it-IT"/>
        </w:rPr>
        <w:t>I sintomi correlati alla HSR peggiorano con il proseguimento della terapia e possono essere pericolosi per la vita. Questi sintomi generalmente si risolvono dopo la sospensione di abacavir.</w:t>
      </w:r>
    </w:p>
    <w:p w14:paraId="4572009C" w14:textId="77777777" w:rsidR="0056729F" w:rsidRPr="00C9575C" w:rsidRDefault="0056729F" w:rsidP="00302F0D">
      <w:pPr>
        <w:pBdr>
          <w:top w:val="single" w:sz="4" w:space="1" w:color="auto"/>
          <w:left w:val="single" w:sz="4" w:space="4" w:color="auto"/>
          <w:bottom w:val="single" w:sz="4" w:space="1" w:color="auto"/>
          <w:right w:val="single" w:sz="4" w:space="4" w:color="auto"/>
        </w:pBdr>
        <w:tabs>
          <w:tab w:val="left" w:pos="284"/>
          <w:tab w:val="left" w:pos="567"/>
        </w:tabs>
        <w:spacing w:after="120"/>
        <w:ind w:left="142" w:right="425"/>
        <w:rPr>
          <w:szCs w:val="22"/>
          <w:lang w:val="it-IT"/>
        </w:rPr>
      </w:pPr>
      <w:r w:rsidRPr="00C9575C">
        <w:rPr>
          <w:szCs w:val="22"/>
          <w:lang w:val="it-IT"/>
        </w:rPr>
        <w:t>Raramente pazienti che hanno interrotto abacavir per ragioni diverse dai sintomi dell’HSR sono andati incontro anche a reazioni pericolose per la vita entro qualche ora dalla ripresa della terapia con abacavir (vedere paragrafo 4.8 Descrizione delle reazioni avverse selezionate). La riassunzione di abacavir in tali pazienti deve essere fatta in un ambiente dove sia disponibile un pronto intervento medico.</w:t>
      </w:r>
    </w:p>
    <w:p w14:paraId="4170C05B" w14:textId="77777777" w:rsidR="00302F0D" w:rsidRPr="00C9575C" w:rsidRDefault="00302F0D" w:rsidP="00842EB6">
      <w:pPr>
        <w:widowControl w:val="0"/>
        <w:rPr>
          <w:b/>
          <w:szCs w:val="22"/>
          <w:lang w:val="it-IT"/>
        </w:rPr>
      </w:pPr>
    </w:p>
    <w:p w14:paraId="1D904046" w14:textId="77777777" w:rsidR="005B0D6C" w:rsidRPr="00C9575C" w:rsidRDefault="005B0D6C" w:rsidP="00842EB6">
      <w:pPr>
        <w:rPr>
          <w:u w:val="single"/>
          <w:lang w:val="it-IT"/>
        </w:rPr>
      </w:pPr>
      <w:r w:rsidRPr="00C9575C">
        <w:rPr>
          <w:u w:val="single"/>
          <w:lang w:val="it-IT"/>
        </w:rPr>
        <w:t>Peso e parametri metabolici</w:t>
      </w:r>
    </w:p>
    <w:p w14:paraId="41FE6F68" w14:textId="77777777" w:rsidR="005B0D6C" w:rsidRPr="00C9575C" w:rsidRDefault="005B0D6C" w:rsidP="005B0D6C">
      <w:pPr>
        <w:rPr>
          <w:lang w:val="it-IT"/>
        </w:rPr>
      </w:pPr>
    </w:p>
    <w:p w14:paraId="5904C88A" w14:textId="77777777" w:rsidR="005B0D6C" w:rsidRPr="00C9575C" w:rsidRDefault="005B0D6C" w:rsidP="005B0D6C">
      <w:pPr>
        <w:widowControl w:val="0"/>
        <w:rPr>
          <w:b/>
          <w:color w:val="000000"/>
          <w:szCs w:val="22"/>
          <w:lang w:val="it-IT"/>
        </w:rPr>
      </w:pPr>
      <w:r w:rsidRPr="00C9575C">
        <w:rPr>
          <w:lang w:val="it-IT"/>
        </w:rPr>
        <w:t xml:space="preserve">Durante la terapia antiretrovirale si può verificare un aumento del peso e dei livelli ematici dei lipidi e </w:t>
      </w:r>
      <w:r w:rsidRPr="00C9575C">
        <w:rPr>
          <w:lang w:val="it-IT"/>
        </w:rPr>
        <w:lastRenderedPageBreak/>
        <w:t xml:space="preserve">del glucosio. Tali cambiamenti </w:t>
      </w:r>
      <w:r w:rsidR="00533BB7" w:rsidRPr="00C9575C">
        <w:rPr>
          <w:lang w:val="it-IT"/>
        </w:rPr>
        <w:t>possono</w:t>
      </w:r>
      <w:r w:rsidR="002C59FC" w:rsidRPr="00C9575C">
        <w:rPr>
          <w:lang w:val="it-IT"/>
        </w:rPr>
        <w:t xml:space="preserve"> essere</w:t>
      </w:r>
      <w:r w:rsidR="00533BB7" w:rsidRPr="00C9575C">
        <w:rPr>
          <w:lang w:val="it-IT"/>
        </w:rPr>
        <w:t xml:space="preserve"> </w:t>
      </w:r>
      <w:r w:rsidRPr="00C9575C">
        <w:rPr>
          <w:lang w:val="it-IT"/>
        </w:rPr>
        <w:t xml:space="preserve">in parte correlati al controllo della malattia e allo stile di vita. Per i lipidi, in alcuni casi vi è evidenza di un effetto del trattamento, mentre per l'aumento di peso non esiste un’evidenza forte che </w:t>
      </w:r>
      <w:r w:rsidR="00636952" w:rsidRPr="00C9575C">
        <w:rPr>
          <w:lang w:val="it-IT"/>
        </w:rPr>
        <w:t xml:space="preserve">lo </w:t>
      </w:r>
      <w:r w:rsidRPr="00C9575C">
        <w:rPr>
          <w:lang w:val="it-IT"/>
        </w:rPr>
        <w:t xml:space="preserve">correli a </w:t>
      </w:r>
      <w:r w:rsidR="00636952" w:rsidRPr="00C9575C">
        <w:rPr>
          <w:lang w:val="it-IT"/>
        </w:rPr>
        <w:t>un</w:t>
      </w:r>
      <w:r w:rsidRPr="00C9575C">
        <w:rPr>
          <w:lang w:val="it-IT"/>
        </w:rPr>
        <w:t xml:space="preserve"> trattamento particolare. Per il monitoraggio dei livelli dei lipidi ematici e del glucosio si fa riferimento alle linee guida stabilite per il trattamento dell'HIV. I disturbi del metabolismo lipidico devono essere gestiti in maniera clinicamente appropriata.</w:t>
      </w:r>
    </w:p>
    <w:p w14:paraId="278E3538" w14:textId="77777777" w:rsidR="002C52B0" w:rsidRPr="00C9575C" w:rsidRDefault="002C52B0">
      <w:pPr>
        <w:widowControl w:val="0"/>
        <w:tabs>
          <w:tab w:val="left" w:pos="567"/>
        </w:tabs>
        <w:rPr>
          <w:szCs w:val="22"/>
          <w:u w:val="single"/>
          <w:lang w:val="it-IT"/>
        </w:rPr>
      </w:pPr>
    </w:p>
    <w:p w14:paraId="159C6C14" w14:textId="77777777" w:rsidR="00C845B5" w:rsidRPr="00C9575C" w:rsidRDefault="00CC0BC2">
      <w:pPr>
        <w:widowControl w:val="0"/>
        <w:tabs>
          <w:tab w:val="left" w:pos="567"/>
        </w:tabs>
        <w:rPr>
          <w:szCs w:val="22"/>
          <w:u w:val="single"/>
          <w:lang w:val="it-IT"/>
        </w:rPr>
      </w:pPr>
      <w:r w:rsidRPr="00C9575C">
        <w:rPr>
          <w:szCs w:val="22"/>
          <w:u w:val="single"/>
          <w:lang w:val="it-IT"/>
        </w:rPr>
        <w:t>Pancreatite</w:t>
      </w:r>
    </w:p>
    <w:p w14:paraId="2CEB00BA" w14:textId="77777777" w:rsidR="00C845B5" w:rsidRPr="00C9575C" w:rsidRDefault="00C845B5">
      <w:pPr>
        <w:widowControl w:val="0"/>
        <w:tabs>
          <w:tab w:val="left" w:pos="567"/>
        </w:tabs>
        <w:rPr>
          <w:i/>
          <w:szCs w:val="22"/>
          <w:lang w:val="it-IT"/>
        </w:rPr>
      </w:pPr>
    </w:p>
    <w:p w14:paraId="4E87A1A8" w14:textId="77777777" w:rsidR="0084378B" w:rsidRPr="00C9575C" w:rsidRDefault="00CF56E2">
      <w:pPr>
        <w:widowControl w:val="0"/>
        <w:tabs>
          <w:tab w:val="left" w:pos="567"/>
        </w:tabs>
        <w:rPr>
          <w:szCs w:val="22"/>
          <w:lang w:val="it-IT"/>
        </w:rPr>
      </w:pPr>
      <w:r w:rsidRPr="00C9575C">
        <w:rPr>
          <w:szCs w:val="22"/>
          <w:lang w:val="it-IT"/>
        </w:rPr>
        <w:t xml:space="preserve">È </w:t>
      </w:r>
      <w:r w:rsidR="0084378B" w:rsidRPr="00C9575C">
        <w:rPr>
          <w:szCs w:val="22"/>
          <w:lang w:val="it-IT"/>
        </w:rPr>
        <w:t>stata riportata pancreatite, ma non è certa una relazione cau</w:t>
      </w:r>
      <w:r w:rsidR="00164373" w:rsidRPr="00C9575C">
        <w:rPr>
          <w:szCs w:val="22"/>
          <w:lang w:val="it-IT"/>
        </w:rPr>
        <w:t>sale con lamivudina e</w:t>
      </w:r>
      <w:r w:rsidR="0084378B" w:rsidRPr="00C9575C">
        <w:rPr>
          <w:szCs w:val="22"/>
          <w:lang w:val="it-IT"/>
        </w:rPr>
        <w:t xml:space="preserve"> abacavir. </w:t>
      </w:r>
    </w:p>
    <w:p w14:paraId="44518BD0" w14:textId="77777777" w:rsidR="00310C8F" w:rsidRPr="00C9575C" w:rsidRDefault="00310C8F">
      <w:pPr>
        <w:widowControl w:val="0"/>
        <w:tabs>
          <w:tab w:val="left" w:pos="567"/>
        </w:tabs>
        <w:rPr>
          <w:szCs w:val="22"/>
          <w:lang w:val="it-IT"/>
        </w:rPr>
      </w:pPr>
    </w:p>
    <w:p w14:paraId="076D85FB" w14:textId="77777777" w:rsidR="00C845B5" w:rsidRPr="00C9575C" w:rsidRDefault="00CC0BC2">
      <w:pPr>
        <w:widowControl w:val="0"/>
        <w:tabs>
          <w:tab w:val="left" w:pos="567"/>
        </w:tabs>
        <w:rPr>
          <w:szCs w:val="22"/>
          <w:u w:val="single"/>
          <w:lang w:val="it-IT"/>
        </w:rPr>
      </w:pPr>
      <w:r w:rsidRPr="00C9575C">
        <w:rPr>
          <w:szCs w:val="22"/>
          <w:u w:val="single"/>
          <w:lang w:val="it-IT"/>
        </w:rPr>
        <w:t>Rischio di fallimento virologico</w:t>
      </w:r>
    </w:p>
    <w:p w14:paraId="0FB99261" w14:textId="77777777" w:rsidR="0084378B" w:rsidRPr="00C9575C" w:rsidRDefault="0084378B">
      <w:pPr>
        <w:widowControl w:val="0"/>
        <w:tabs>
          <w:tab w:val="left" w:pos="567"/>
        </w:tabs>
        <w:rPr>
          <w:szCs w:val="22"/>
          <w:u w:val="single"/>
          <w:lang w:val="it-IT"/>
        </w:rPr>
      </w:pPr>
    </w:p>
    <w:p w14:paraId="5D313C73" w14:textId="77777777" w:rsidR="00330888" w:rsidRPr="00C9575C" w:rsidRDefault="009A6E02" w:rsidP="00330888">
      <w:pPr>
        <w:widowControl w:val="0"/>
        <w:tabs>
          <w:tab w:val="left" w:pos="0"/>
          <w:tab w:val="left" w:pos="142"/>
          <w:tab w:val="left" w:pos="284"/>
        </w:tabs>
        <w:ind w:left="284" w:hanging="284"/>
        <w:rPr>
          <w:szCs w:val="22"/>
          <w:lang w:val="it-IT"/>
        </w:rPr>
      </w:pPr>
      <w:r w:rsidRPr="00C9575C">
        <w:rPr>
          <w:szCs w:val="22"/>
          <w:lang w:val="it-IT"/>
        </w:rPr>
        <w:t>-</w:t>
      </w:r>
      <w:r w:rsidR="00330888" w:rsidRPr="00C9575C">
        <w:rPr>
          <w:szCs w:val="22"/>
          <w:lang w:val="it-IT"/>
        </w:rPr>
        <w:tab/>
      </w:r>
      <w:r w:rsidR="00330888" w:rsidRPr="00C9575C">
        <w:rPr>
          <w:szCs w:val="22"/>
          <w:lang w:val="it-IT"/>
        </w:rPr>
        <w:tab/>
      </w:r>
      <w:r w:rsidR="00C76D1B" w:rsidRPr="00C9575C">
        <w:rPr>
          <w:szCs w:val="22"/>
          <w:lang w:val="it-IT"/>
        </w:rPr>
        <w:t>T</w:t>
      </w:r>
      <w:r w:rsidR="007472F3" w:rsidRPr="00C9575C">
        <w:rPr>
          <w:szCs w:val="22"/>
          <w:lang w:val="it-IT"/>
        </w:rPr>
        <w:t>erapia con tre nucleosidi:</w:t>
      </w:r>
      <w:r w:rsidR="0084378B" w:rsidRPr="00C9575C">
        <w:rPr>
          <w:szCs w:val="22"/>
          <w:lang w:val="it-IT"/>
        </w:rPr>
        <w:t xml:space="preserve"> sono stati osservati casi di un’elevata frequenza di fallimento virologico e di comparsa di resistenza in fase precoce di trattamento </w:t>
      </w:r>
      <w:r w:rsidR="00330888" w:rsidRPr="00C9575C">
        <w:rPr>
          <w:szCs w:val="22"/>
          <w:lang w:val="it-IT"/>
        </w:rPr>
        <w:t>quando abacavir e lamivudina venivano associati a tenofovir disoproxil fumarato, in un regime una volta al giorno.</w:t>
      </w:r>
    </w:p>
    <w:p w14:paraId="44E8DDDF" w14:textId="77777777" w:rsidR="0084378B" w:rsidRPr="00C9575C" w:rsidRDefault="009A6E02" w:rsidP="00330888">
      <w:pPr>
        <w:widowControl w:val="0"/>
        <w:tabs>
          <w:tab w:val="left" w:pos="284"/>
        </w:tabs>
        <w:ind w:left="284" w:hanging="284"/>
        <w:rPr>
          <w:szCs w:val="22"/>
          <w:lang w:val="it-IT"/>
        </w:rPr>
      </w:pPr>
      <w:r w:rsidRPr="00C9575C">
        <w:rPr>
          <w:szCs w:val="22"/>
          <w:lang w:val="it-IT"/>
        </w:rPr>
        <w:t>-</w:t>
      </w:r>
      <w:r w:rsidR="00330888" w:rsidRPr="00C9575C">
        <w:rPr>
          <w:szCs w:val="22"/>
          <w:lang w:val="it-IT"/>
        </w:rPr>
        <w:tab/>
      </w:r>
      <w:r w:rsidR="00C76D1B" w:rsidRPr="00C9575C">
        <w:rPr>
          <w:szCs w:val="22"/>
          <w:lang w:val="it-IT"/>
        </w:rPr>
        <w:t>I</w:t>
      </w:r>
      <w:r w:rsidRPr="00C9575C">
        <w:rPr>
          <w:szCs w:val="22"/>
          <w:lang w:val="it-IT"/>
        </w:rPr>
        <w:t>l rischio di fallimento virologico con Kivexa potrebbe essere maggiore di quello con altre opzioni terapeutiche (vedere paragrafo 5.1)</w:t>
      </w:r>
      <w:r w:rsidR="00351CD7" w:rsidRPr="00C9575C">
        <w:rPr>
          <w:szCs w:val="22"/>
          <w:lang w:val="it-IT"/>
        </w:rPr>
        <w:t>.</w:t>
      </w:r>
    </w:p>
    <w:p w14:paraId="3494828A" w14:textId="77777777" w:rsidR="009A6E02" w:rsidRPr="00C9575C" w:rsidRDefault="009A6E02">
      <w:pPr>
        <w:widowControl w:val="0"/>
        <w:rPr>
          <w:i/>
          <w:szCs w:val="22"/>
          <w:lang w:val="it-IT"/>
        </w:rPr>
      </w:pPr>
    </w:p>
    <w:p w14:paraId="4060A965" w14:textId="77777777" w:rsidR="00C845B5" w:rsidRPr="00C9575C" w:rsidRDefault="00CC0BC2">
      <w:pPr>
        <w:widowControl w:val="0"/>
        <w:tabs>
          <w:tab w:val="left" w:pos="567"/>
        </w:tabs>
        <w:rPr>
          <w:szCs w:val="22"/>
          <w:u w:val="single"/>
          <w:lang w:val="it-IT"/>
        </w:rPr>
      </w:pPr>
      <w:r w:rsidRPr="00C9575C">
        <w:rPr>
          <w:szCs w:val="22"/>
          <w:u w:val="single"/>
          <w:lang w:val="it-IT"/>
        </w:rPr>
        <w:t>Malattia epatica</w:t>
      </w:r>
    </w:p>
    <w:p w14:paraId="574F698C" w14:textId="77777777" w:rsidR="00C845B5" w:rsidRPr="00C9575C" w:rsidRDefault="00C845B5">
      <w:pPr>
        <w:widowControl w:val="0"/>
        <w:tabs>
          <w:tab w:val="left" w:pos="567"/>
        </w:tabs>
        <w:rPr>
          <w:szCs w:val="22"/>
          <w:u w:val="single"/>
          <w:lang w:val="it-IT"/>
        </w:rPr>
      </w:pPr>
    </w:p>
    <w:p w14:paraId="1C91023E" w14:textId="77777777" w:rsidR="0084378B" w:rsidRPr="00C9575C" w:rsidRDefault="00C845B5">
      <w:pPr>
        <w:widowControl w:val="0"/>
        <w:tabs>
          <w:tab w:val="left" w:pos="567"/>
        </w:tabs>
        <w:rPr>
          <w:color w:val="000000"/>
          <w:szCs w:val="22"/>
          <w:lang w:val="it-IT"/>
        </w:rPr>
      </w:pPr>
      <w:r w:rsidRPr="00C9575C">
        <w:rPr>
          <w:color w:val="000000"/>
          <w:szCs w:val="22"/>
          <w:lang w:val="it-IT"/>
        </w:rPr>
        <w:t>L</w:t>
      </w:r>
      <w:r w:rsidR="000567AE" w:rsidRPr="00C9575C">
        <w:rPr>
          <w:color w:val="000000"/>
          <w:szCs w:val="22"/>
          <w:lang w:val="it-IT"/>
        </w:rPr>
        <w:t xml:space="preserve">a </w:t>
      </w:r>
      <w:r w:rsidRPr="00C9575C">
        <w:rPr>
          <w:color w:val="000000"/>
          <w:szCs w:val="22"/>
          <w:lang w:val="it-IT"/>
        </w:rPr>
        <w:t>sicurezza</w:t>
      </w:r>
      <w:r w:rsidR="0084378B" w:rsidRPr="00C9575C">
        <w:rPr>
          <w:color w:val="000000"/>
          <w:szCs w:val="22"/>
          <w:lang w:val="it-IT"/>
        </w:rPr>
        <w:t xml:space="preserve"> e l’efficacia di Kivexa non sono state stabilite nei pazienti con significativi disturbi epatici pre-esistenti. Kivexa </w:t>
      </w:r>
      <w:r w:rsidR="00FD1980" w:rsidRPr="00C9575C">
        <w:rPr>
          <w:color w:val="000000"/>
          <w:szCs w:val="22"/>
          <w:lang w:val="it-IT"/>
        </w:rPr>
        <w:t xml:space="preserve">non </w:t>
      </w:r>
      <w:r w:rsidR="0084378B" w:rsidRPr="00C9575C">
        <w:rPr>
          <w:color w:val="000000"/>
          <w:szCs w:val="22"/>
          <w:lang w:val="it-IT"/>
        </w:rPr>
        <w:t xml:space="preserve">è </w:t>
      </w:r>
      <w:r w:rsidR="00FD1980" w:rsidRPr="00C9575C">
        <w:rPr>
          <w:color w:val="000000"/>
          <w:szCs w:val="22"/>
          <w:lang w:val="it-IT"/>
        </w:rPr>
        <w:t xml:space="preserve">raccomandato </w:t>
      </w:r>
      <w:r w:rsidR="0084378B" w:rsidRPr="00C9575C">
        <w:rPr>
          <w:color w:val="000000"/>
          <w:szCs w:val="22"/>
          <w:lang w:val="it-IT"/>
        </w:rPr>
        <w:t xml:space="preserve">nei pazienti con </w:t>
      </w:r>
      <w:r w:rsidR="00227F80" w:rsidRPr="00C9575C">
        <w:rPr>
          <w:color w:val="000000"/>
          <w:szCs w:val="22"/>
          <w:lang w:val="it-IT"/>
        </w:rPr>
        <w:t>compromissione</w:t>
      </w:r>
      <w:r w:rsidR="0084378B" w:rsidRPr="00C9575C">
        <w:rPr>
          <w:color w:val="000000"/>
          <w:szCs w:val="22"/>
          <w:lang w:val="it-IT"/>
        </w:rPr>
        <w:t xml:space="preserve"> epatica </w:t>
      </w:r>
      <w:r w:rsidR="00FD1980" w:rsidRPr="00C9575C">
        <w:rPr>
          <w:color w:val="000000"/>
          <w:szCs w:val="22"/>
          <w:lang w:val="it-IT"/>
        </w:rPr>
        <w:t xml:space="preserve">moderata o </w:t>
      </w:r>
      <w:r w:rsidR="004F4C0A" w:rsidRPr="00C9575C">
        <w:rPr>
          <w:color w:val="000000"/>
          <w:szCs w:val="22"/>
          <w:lang w:val="it-IT"/>
        </w:rPr>
        <w:t xml:space="preserve">severa </w:t>
      </w:r>
      <w:r w:rsidR="0084378B" w:rsidRPr="00C9575C">
        <w:rPr>
          <w:color w:val="000000"/>
          <w:szCs w:val="22"/>
          <w:lang w:val="it-IT"/>
        </w:rPr>
        <w:t>(vedere paragraf</w:t>
      </w:r>
      <w:r w:rsidR="00FD1980" w:rsidRPr="00C9575C">
        <w:rPr>
          <w:color w:val="000000"/>
          <w:szCs w:val="22"/>
          <w:lang w:val="it-IT"/>
        </w:rPr>
        <w:t>i</w:t>
      </w:r>
      <w:r w:rsidR="0084378B" w:rsidRPr="00C9575C">
        <w:rPr>
          <w:color w:val="000000"/>
          <w:szCs w:val="22"/>
          <w:lang w:val="it-IT"/>
        </w:rPr>
        <w:t xml:space="preserve"> 4.</w:t>
      </w:r>
      <w:r w:rsidR="00FD1980" w:rsidRPr="00C9575C">
        <w:rPr>
          <w:color w:val="000000"/>
          <w:szCs w:val="22"/>
          <w:lang w:val="it-IT"/>
        </w:rPr>
        <w:t>2 e 5.2</w:t>
      </w:r>
      <w:r w:rsidR="0084378B" w:rsidRPr="00C9575C">
        <w:rPr>
          <w:color w:val="000000"/>
          <w:szCs w:val="22"/>
          <w:lang w:val="it-IT"/>
        </w:rPr>
        <w:t xml:space="preserve">). </w:t>
      </w:r>
    </w:p>
    <w:p w14:paraId="020FCAF6" w14:textId="77777777" w:rsidR="00AD56CF" w:rsidRPr="00C9575C" w:rsidRDefault="00AD56CF" w:rsidP="00AD56CF">
      <w:pPr>
        <w:suppressAutoHyphens/>
        <w:rPr>
          <w:color w:val="000000"/>
          <w:lang w:val="it-IT"/>
        </w:rPr>
      </w:pPr>
    </w:p>
    <w:p w14:paraId="32E9E8F4" w14:textId="77777777" w:rsidR="00AD56CF" w:rsidRPr="00C9575C" w:rsidRDefault="00AD56CF" w:rsidP="00AD56CF">
      <w:pPr>
        <w:suppressAutoHyphens/>
        <w:rPr>
          <w:lang w:val="it-IT"/>
        </w:rPr>
      </w:pPr>
      <w:r w:rsidRPr="00C9575C">
        <w:rPr>
          <w:color w:val="000000"/>
          <w:lang w:val="it-IT"/>
        </w:rPr>
        <w:t>I pazienti con disfunzione epatica pre-esistente, comprendente l’epatite cronica attiva, presentano una aumentata frequenza di anomalie della funzionalità epatica durante la terapia antiretrovirale di combinazione e devono essere monitorati secondo la prassi consueta. Qualora si evidenzi un peggioramento della malattia epatica in tali pazienti, si deve prendere in considerazione l’interruzione o la definitiva sospensione del trattamento.</w:t>
      </w:r>
    </w:p>
    <w:p w14:paraId="529AAB37" w14:textId="77777777" w:rsidR="0084378B" w:rsidRPr="00C9575C" w:rsidRDefault="0084378B">
      <w:pPr>
        <w:widowControl w:val="0"/>
        <w:tabs>
          <w:tab w:val="left" w:pos="567"/>
        </w:tabs>
        <w:rPr>
          <w:color w:val="000000"/>
          <w:szCs w:val="22"/>
          <w:lang w:val="it-IT"/>
        </w:rPr>
      </w:pPr>
    </w:p>
    <w:p w14:paraId="12A72DE8" w14:textId="77777777" w:rsidR="00C845B5" w:rsidRPr="00C9575C" w:rsidRDefault="00CC0BC2">
      <w:pPr>
        <w:widowControl w:val="0"/>
        <w:rPr>
          <w:color w:val="000000"/>
          <w:szCs w:val="22"/>
          <w:u w:val="single"/>
          <w:lang w:val="it-IT"/>
        </w:rPr>
      </w:pPr>
      <w:r w:rsidRPr="00C9575C">
        <w:rPr>
          <w:color w:val="000000"/>
          <w:szCs w:val="22"/>
          <w:u w:val="single"/>
          <w:lang w:val="it-IT"/>
        </w:rPr>
        <w:t xml:space="preserve">Pazienti con </w:t>
      </w:r>
      <w:r w:rsidR="00B90200" w:rsidRPr="00C9575C">
        <w:rPr>
          <w:color w:val="000000"/>
          <w:u w:val="single"/>
          <w:lang w:val="it-IT"/>
        </w:rPr>
        <w:t>infezione concomitante da virus dell’</w:t>
      </w:r>
      <w:r w:rsidRPr="00C9575C">
        <w:rPr>
          <w:color w:val="000000"/>
          <w:szCs w:val="22"/>
          <w:u w:val="single"/>
          <w:lang w:val="it-IT"/>
        </w:rPr>
        <w:t xml:space="preserve">epatite cronica B o C </w:t>
      </w:r>
    </w:p>
    <w:p w14:paraId="3298D75A" w14:textId="77777777" w:rsidR="00C845B5" w:rsidRPr="00C9575C" w:rsidRDefault="00C845B5">
      <w:pPr>
        <w:widowControl w:val="0"/>
        <w:rPr>
          <w:color w:val="000000"/>
          <w:szCs w:val="22"/>
          <w:lang w:val="it-IT"/>
        </w:rPr>
      </w:pPr>
    </w:p>
    <w:p w14:paraId="2C8A68C5" w14:textId="77777777" w:rsidR="0084378B" w:rsidRPr="00C9575C" w:rsidRDefault="00C845B5">
      <w:pPr>
        <w:widowControl w:val="0"/>
        <w:rPr>
          <w:color w:val="000000"/>
          <w:szCs w:val="22"/>
          <w:lang w:val="it-IT"/>
        </w:rPr>
      </w:pPr>
      <w:r w:rsidRPr="00C9575C">
        <w:rPr>
          <w:color w:val="000000"/>
          <w:szCs w:val="22"/>
          <w:lang w:val="it-IT"/>
        </w:rPr>
        <w:t>I</w:t>
      </w:r>
      <w:r w:rsidR="0084378B" w:rsidRPr="00C9575C">
        <w:rPr>
          <w:color w:val="000000"/>
          <w:szCs w:val="22"/>
          <w:lang w:val="it-IT"/>
        </w:rPr>
        <w:t xml:space="preserve"> pazienti con epatite cronica B o C e trattati con una terapia di combinazione antiretrovirale sono considerati ad aumentato rischio di </w:t>
      </w:r>
      <w:r w:rsidR="00E159E8" w:rsidRPr="00C9575C">
        <w:rPr>
          <w:color w:val="000000"/>
          <w:szCs w:val="22"/>
          <w:lang w:val="it-IT"/>
        </w:rPr>
        <w:t xml:space="preserve">reazioni </w:t>
      </w:r>
      <w:r w:rsidR="0084378B" w:rsidRPr="00C9575C">
        <w:rPr>
          <w:color w:val="000000"/>
          <w:szCs w:val="22"/>
          <w:lang w:val="it-IT"/>
        </w:rPr>
        <w:t>avvers</w:t>
      </w:r>
      <w:r w:rsidR="00E159E8" w:rsidRPr="00C9575C">
        <w:rPr>
          <w:color w:val="000000"/>
          <w:szCs w:val="22"/>
          <w:lang w:val="it-IT"/>
        </w:rPr>
        <w:t>e</w:t>
      </w:r>
      <w:r w:rsidR="0084378B" w:rsidRPr="00C9575C">
        <w:rPr>
          <w:color w:val="000000"/>
          <w:szCs w:val="22"/>
          <w:lang w:val="it-IT"/>
        </w:rPr>
        <w:t xml:space="preserve"> epatic</w:t>
      </w:r>
      <w:r w:rsidR="00E159E8" w:rsidRPr="00C9575C">
        <w:rPr>
          <w:color w:val="000000"/>
          <w:szCs w:val="22"/>
          <w:lang w:val="it-IT"/>
        </w:rPr>
        <w:t>he</w:t>
      </w:r>
      <w:r w:rsidR="0084378B" w:rsidRPr="00C9575C">
        <w:rPr>
          <w:color w:val="000000"/>
          <w:szCs w:val="22"/>
          <w:lang w:val="it-IT"/>
        </w:rPr>
        <w:t xml:space="preserve"> </w:t>
      </w:r>
      <w:r w:rsidR="004F4C0A" w:rsidRPr="00C9575C">
        <w:rPr>
          <w:color w:val="000000"/>
          <w:szCs w:val="22"/>
          <w:lang w:val="it-IT"/>
        </w:rPr>
        <w:t xml:space="preserve">severe </w:t>
      </w:r>
      <w:r w:rsidR="0084378B" w:rsidRPr="00C9575C">
        <w:rPr>
          <w:color w:val="000000"/>
          <w:szCs w:val="22"/>
          <w:lang w:val="it-IT"/>
        </w:rPr>
        <w:t>e potenzialmente fatali. In caso di terapia antivirale concomitante per l’epatite B o C si faccia riferimento alle relative informazioni di tali medicinali.</w:t>
      </w:r>
    </w:p>
    <w:p w14:paraId="54E21592" w14:textId="77777777" w:rsidR="0050191A" w:rsidRPr="00C9575C" w:rsidRDefault="0050191A">
      <w:pPr>
        <w:widowControl w:val="0"/>
        <w:rPr>
          <w:color w:val="000000"/>
          <w:szCs w:val="22"/>
          <w:lang w:val="it-IT"/>
        </w:rPr>
      </w:pPr>
    </w:p>
    <w:p w14:paraId="0062713D" w14:textId="77777777" w:rsidR="00AD56CF" w:rsidRPr="00C9575C" w:rsidRDefault="00FF768C" w:rsidP="00AD56CF">
      <w:pPr>
        <w:widowControl w:val="0"/>
        <w:rPr>
          <w:szCs w:val="22"/>
          <w:lang w:val="it-IT"/>
        </w:rPr>
      </w:pPr>
      <w:r w:rsidRPr="00C9575C">
        <w:rPr>
          <w:szCs w:val="22"/>
          <w:lang w:val="it-IT"/>
        </w:rPr>
        <w:t>S</w:t>
      </w:r>
      <w:r w:rsidR="00AD56CF" w:rsidRPr="00C9575C">
        <w:rPr>
          <w:szCs w:val="22"/>
          <w:lang w:val="it-IT"/>
        </w:rPr>
        <w:t xml:space="preserve">e lamivudina viene impiegata in concomitanza per il trattamento dell’HIV e </w:t>
      </w:r>
      <w:r w:rsidR="006B4AAE" w:rsidRPr="00C9575C">
        <w:rPr>
          <w:szCs w:val="22"/>
          <w:lang w:val="it-IT"/>
        </w:rPr>
        <w:t>del virus dell’epatite B</w:t>
      </w:r>
      <w:r w:rsidR="00164373" w:rsidRPr="00C9575C">
        <w:rPr>
          <w:szCs w:val="22"/>
          <w:lang w:val="it-IT"/>
        </w:rPr>
        <w:t xml:space="preserve"> </w:t>
      </w:r>
      <w:r w:rsidR="006B4AAE" w:rsidRPr="00C9575C">
        <w:rPr>
          <w:szCs w:val="22"/>
          <w:lang w:val="it-IT"/>
        </w:rPr>
        <w:t>(</w:t>
      </w:r>
      <w:r w:rsidR="00AD56CF" w:rsidRPr="00C9575C">
        <w:rPr>
          <w:szCs w:val="22"/>
          <w:lang w:val="it-IT"/>
        </w:rPr>
        <w:t>HBV</w:t>
      </w:r>
      <w:r w:rsidR="006B4AAE" w:rsidRPr="00C9575C">
        <w:rPr>
          <w:szCs w:val="22"/>
          <w:lang w:val="it-IT"/>
        </w:rPr>
        <w:t>)</w:t>
      </w:r>
      <w:r w:rsidR="00AD56CF" w:rsidRPr="00C9575C">
        <w:rPr>
          <w:szCs w:val="22"/>
          <w:lang w:val="it-IT"/>
        </w:rPr>
        <w:t xml:space="preserve">, ulteriori informazioni relative all’impiego </w:t>
      </w:r>
      <w:r w:rsidR="00262B20" w:rsidRPr="00C9575C">
        <w:rPr>
          <w:szCs w:val="22"/>
          <w:lang w:val="it-IT"/>
        </w:rPr>
        <w:t xml:space="preserve">di </w:t>
      </w:r>
      <w:r w:rsidR="00AD56CF" w:rsidRPr="00C9575C">
        <w:rPr>
          <w:szCs w:val="22"/>
          <w:lang w:val="it-IT"/>
        </w:rPr>
        <w:t xml:space="preserve">lamivudina nel trattamento dell’infezione da virus dell’epatite B possono essere reperite nel Riassunto delle Caratteristiche del Prodotto dei medicinali </w:t>
      </w:r>
      <w:r w:rsidR="00AC435D" w:rsidRPr="00C9575C">
        <w:rPr>
          <w:szCs w:val="22"/>
          <w:lang w:val="it-IT"/>
        </w:rPr>
        <w:t>contenenti lamivudina che sono indicati per il trattamento dell’HBV</w:t>
      </w:r>
      <w:r w:rsidR="00AD56CF" w:rsidRPr="00C9575C">
        <w:rPr>
          <w:szCs w:val="22"/>
          <w:lang w:val="it-IT"/>
        </w:rPr>
        <w:t xml:space="preserve">. </w:t>
      </w:r>
    </w:p>
    <w:p w14:paraId="5B9ED38D" w14:textId="77777777" w:rsidR="0084378B" w:rsidRPr="00C9575C" w:rsidRDefault="0084378B">
      <w:pPr>
        <w:widowControl w:val="0"/>
        <w:tabs>
          <w:tab w:val="left" w:pos="567"/>
        </w:tabs>
        <w:rPr>
          <w:szCs w:val="22"/>
          <w:lang w:val="it-IT"/>
        </w:rPr>
      </w:pPr>
    </w:p>
    <w:p w14:paraId="7726B05F" w14:textId="77777777" w:rsidR="00793874" w:rsidRPr="00C9575C" w:rsidRDefault="0084378B">
      <w:pPr>
        <w:widowControl w:val="0"/>
        <w:rPr>
          <w:szCs w:val="22"/>
          <w:lang w:val="it-IT"/>
        </w:rPr>
      </w:pPr>
      <w:r w:rsidRPr="00C9575C">
        <w:rPr>
          <w:szCs w:val="22"/>
          <w:lang w:val="it-IT"/>
        </w:rPr>
        <w:t xml:space="preserve">Se Kivexa viene sospeso nei pazienti con infezione concomitante da </w:t>
      </w:r>
      <w:r w:rsidR="006B4AAE" w:rsidRPr="00C9575C">
        <w:rPr>
          <w:szCs w:val="22"/>
          <w:lang w:val="it-IT"/>
        </w:rPr>
        <w:t>HBV</w:t>
      </w:r>
      <w:r w:rsidRPr="00C9575C">
        <w:rPr>
          <w:szCs w:val="22"/>
          <w:lang w:val="it-IT"/>
        </w:rPr>
        <w:t xml:space="preserve">, si raccomanda un controllo periodico sia dei test di funzionalità epatica sia dei </w:t>
      </w:r>
      <w:r w:rsidRPr="00C9575C">
        <w:rPr>
          <w:i/>
          <w:szCs w:val="22"/>
          <w:lang w:val="it-IT"/>
        </w:rPr>
        <w:t>marker</w:t>
      </w:r>
      <w:r w:rsidRPr="00C9575C">
        <w:rPr>
          <w:szCs w:val="22"/>
          <w:lang w:val="it-IT"/>
        </w:rPr>
        <w:t xml:space="preserve"> di replicazione dell’HBV, dal momento che la sospensione </w:t>
      </w:r>
      <w:r w:rsidR="00164373" w:rsidRPr="00C9575C">
        <w:rPr>
          <w:szCs w:val="22"/>
          <w:lang w:val="it-IT"/>
        </w:rPr>
        <w:t>di</w:t>
      </w:r>
      <w:r w:rsidRPr="00C9575C">
        <w:rPr>
          <w:szCs w:val="22"/>
          <w:lang w:val="it-IT"/>
        </w:rPr>
        <w:t xml:space="preserve"> lamivudina può condurre ad una riacutizzazione dell’epatite (</w:t>
      </w:r>
      <w:r w:rsidR="00E159E8" w:rsidRPr="00C9575C">
        <w:rPr>
          <w:szCs w:val="22"/>
          <w:lang w:val="it-IT"/>
        </w:rPr>
        <w:t xml:space="preserve">vedere il Riassunto delle Caratteristiche del Prodotto </w:t>
      </w:r>
      <w:r w:rsidR="00570A01" w:rsidRPr="00C9575C">
        <w:rPr>
          <w:szCs w:val="22"/>
          <w:lang w:val="it-IT"/>
        </w:rPr>
        <w:t>dei</w:t>
      </w:r>
      <w:r w:rsidR="00E159E8" w:rsidRPr="00C9575C">
        <w:rPr>
          <w:szCs w:val="22"/>
          <w:lang w:val="it-IT"/>
        </w:rPr>
        <w:t xml:space="preserve"> medicinal</w:t>
      </w:r>
      <w:r w:rsidR="00570A01" w:rsidRPr="00C9575C">
        <w:rPr>
          <w:szCs w:val="22"/>
          <w:lang w:val="it-IT"/>
        </w:rPr>
        <w:t>i</w:t>
      </w:r>
      <w:r w:rsidR="00E159E8" w:rsidRPr="00C9575C">
        <w:rPr>
          <w:szCs w:val="22"/>
          <w:lang w:val="it-IT"/>
        </w:rPr>
        <w:t xml:space="preserve"> </w:t>
      </w:r>
      <w:r w:rsidR="00AC435D" w:rsidRPr="00C9575C">
        <w:rPr>
          <w:szCs w:val="22"/>
          <w:lang w:val="it-IT"/>
        </w:rPr>
        <w:t>contenenti lamivudina che sono indic</w:t>
      </w:r>
      <w:r w:rsidR="00E50142" w:rsidRPr="00C9575C">
        <w:rPr>
          <w:szCs w:val="22"/>
          <w:lang w:val="it-IT"/>
        </w:rPr>
        <w:t>ati per il trattamento dell’HBV</w:t>
      </w:r>
      <w:r w:rsidRPr="00C9575C">
        <w:rPr>
          <w:szCs w:val="22"/>
          <w:lang w:val="it-IT"/>
        </w:rPr>
        <w:t xml:space="preserve">). </w:t>
      </w:r>
    </w:p>
    <w:p w14:paraId="2249272C" w14:textId="77777777" w:rsidR="00173B5D" w:rsidRPr="00C9575C" w:rsidRDefault="00173B5D" w:rsidP="00173B5D">
      <w:pPr>
        <w:tabs>
          <w:tab w:val="left" w:pos="567"/>
          <w:tab w:val="left" w:pos="3119"/>
        </w:tabs>
        <w:rPr>
          <w:color w:val="000000"/>
          <w:lang w:val="it-IT"/>
        </w:rPr>
      </w:pPr>
    </w:p>
    <w:p w14:paraId="6B7083CC" w14:textId="77777777" w:rsidR="00CC2B3F" w:rsidRPr="00C9575C" w:rsidRDefault="00CC0BC2">
      <w:pPr>
        <w:widowControl w:val="0"/>
        <w:rPr>
          <w:szCs w:val="22"/>
          <w:u w:val="single"/>
          <w:lang w:val="it-IT"/>
        </w:rPr>
      </w:pPr>
      <w:r w:rsidRPr="00C9575C">
        <w:rPr>
          <w:szCs w:val="22"/>
          <w:u w:val="single"/>
          <w:lang w:val="it-IT"/>
        </w:rPr>
        <w:t>Disfunzione mitocondriale</w:t>
      </w:r>
      <w:r w:rsidR="00310880" w:rsidRPr="00C9575C">
        <w:rPr>
          <w:iCs/>
          <w:u w:val="single"/>
          <w:lang w:val="it-IT"/>
        </w:rPr>
        <w:t xml:space="preserve"> dopo esposizione </w:t>
      </w:r>
      <w:r w:rsidR="00310880" w:rsidRPr="00C9575C">
        <w:rPr>
          <w:i/>
          <w:iCs/>
          <w:u w:val="single"/>
          <w:lang w:val="it-IT"/>
        </w:rPr>
        <w:t>in utero</w:t>
      </w:r>
    </w:p>
    <w:p w14:paraId="567D0785" w14:textId="77777777" w:rsidR="00310880" w:rsidRPr="00C9575C" w:rsidRDefault="00310880" w:rsidP="00310880">
      <w:pPr>
        <w:rPr>
          <w:lang w:val="it-IT"/>
        </w:rPr>
      </w:pPr>
    </w:p>
    <w:p w14:paraId="15964E10" w14:textId="77777777" w:rsidR="00310880" w:rsidRPr="00C9575C" w:rsidRDefault="00310880" w:rsidP="00310880">
      <w:pPr>
        <w:rPr>
          <w:lang w:val="it-IT"/>
        </w:rPr>
      </w:pPr>
      <w:r w:rsidRPr="00C9575C">
        <w:rPr>
          <w:lang w:val="it-IT"/>
        </w:rPr>
        <w:t>Gli analoghi nucleosidici</w:t>
      </w:r>
      <w:r w:rsidR="00C21DDB" w:rsidRPr="00C9575C">
        <w:rPr>
          <w:lang w:val="it-IT"/>
        </w:rPr>
        <w:t xml:space="preserve"> e nucleotidici</w:t>
      </w:r>
      <w:r w:rsidRPr="00C9575C">
        <w:rPr>
          <w:lang w:val="it-IT"/>
        </w:rPr>
        <w:t xml:space="preserve"> possono influire sulla funzione mitocondriale a livelli variabili, più pronunciati con stavudina, didanosina e zidovudina. Ci sono state segnalazioni di disfunzione mitocondriale in neonati HIV negativi esposti, </w:t>
      </w:r>
      <w:r w:rsidRPr="00C9575C">
        <w:rPr>
          <w:i/>
          <w:iCs/>
          <w:lang w:val="it-IT"/>
        </w:rPr>
        <w:t>in utero</w:t>
      </w:r>
      <w:r w:rsidRPr="00C9575C">
        <w:rPr>
          <w:lang w:val="it-IT"/>
        </w:rPr>
        <w:t xml:space="preserve"> e/o dopo la nascita, ad analoghi nucleosidici; queste riguardavano prevalentemente regimi terapeutici contenenti zidovudina. Le principali reazioni avverse riportate sono disturbi ematologici (anemia, neutropenia) e disturbi del metabolismo (iperlattatemia, iperlipasemia). Questi eventi sono stati spesso transitori.</w:t>
      </w:r>
      <w:r w:rsidR="00DF4AC4" w:rsidRPr="00C9575C">
        <w:rPr>
          <w:lang w:val="it-IT"/>
        </w:rPr>
        <w:t xml:space="preserve"> Raramente sono stati riportati</w:t>
      </w:r>
      <w:r w:rsidRPr="00C9575C">
        <w:rPr>
          <w:lang w:val="it-IT"/>
        </w:rPr>
        <w:t xml:space="preserve"> disordini neurologici ad insorgenza tardiva (ipertonia, convulsioni, comportamento anormale). Non è noto attualmente se tali disordini neurologici sono transitori o permanenti. Questi risultati devono essere </w:t>
      </w:r>
      <w:r w:rsidRPr="00C9575C">
        <w:rPr>
          <w:lang w:val="it-IT"/>
        </w:rPr>
        <w:lastRenderedPageBreak/>
        <w:t xml:space="preserve">tenuti in considerazione per qualsiasi bambino esposto </w:t>
      </w:r>
      <w:r w:rsidRPr="00C9575C">
        <w:rPr>
          <w:i/>
          <w:iCs/>
          <w:lang w:val="it-IT"/>
        </w:rPr>
        <w:t>in utero</w:t>
      </w:r>
      <w:r w:rsidRPr="00C9575C">
        <w:rPr>
          <w:lang w:val="it-IT"/>
        </w:rPr>
        <w:t xml:space="preserve"> ad analoghi nucleosidici </w:t>
      </w:r>
      <w:r w:rsidR="00C21DDB" w:rsidRPr="00C9575C">
        <w:rPr>
          <w:lang w:val="it-IT"/>
        </w:rPr>
        <w:t xml:space="preserve">e nucleotidici </w:t>
      </w:r>
      <w:r w:rsidRPr="00C9575C">
        <w:rPr>
          <w:lang w:val="it-IT"/>
        </w:rPr>
        <w:t>che presenta manifestazioni cliniche severe di eziologia non nota, in particolare manifestazioni neurologiche. Questi risultati non modificano le attuali raccomandazioni nazionali di usare una terapia antiretrovirale nelle donne in gravidanza al fine di prevenire la trasmissione verticale dell’HIV.</w:t>
      </w:r>
    </w:p>
    <w:p w14:paraId="423D7FFF" w14:textId="77777777" w:rsidR="0099367F" w:rsidRPr="00C9575C" w:rsidRDefault="0099367F">
      <w:pPr>
        <w:widowControl w:val="0"/>
        <w:rPr>
          <w:szCs w:val="22"/>
          <w:lang w:val="it-IT"/>
        </w:rPr>
      </w:pPr>
    </w:p>
    <w:p w14:paraId="4C643EB7" w14:textId="77777777" w:rsidR="00991921" w:rsidRPr="00C9575C" w:rsidRDefault="00CC0BC2" w:rsidP="00FC30A8">
      <w:pPr>
        <w:widowControl w:val="0"/>
        <w:rPr>
          <w:szCs w:val="22"/>
          <w:u w:val="single"/>
          <w:lang w:val="it-IT"/>
        </w:rPr>
      </w:pPr>
      <w:r w:rsidRPr="00C9575C">
        <w:rPr>
          <w:szCs w:val="22"/>
          <w:u w:val="single"/>
          <w:lang w:val="it-IT"/>
        </w:rPr>
        <w:t xml:space="preserve">Sindrome da riattivazione immunitaria </w:t>
      </w:r>
    </w:p>
    <w:p w14:paraId="3CC6CD98" w14:textId="77777777" w:rsidR="0099367F" w:rsidRPr="00C9575C" w:rsidRDefault="0099367F" w:rsidP="00FC30A8">
      <w:pPr>
        <w:widowControl w:val="0"/>
        <w:rPr>
          <w:szCs w:val="22"/>
          <w:lang w:val="it-IT"/>
        </w:rPr>
      </w:pPr>
    </w:p>
    <w:p w14:paraId="31CA1543" w14:textId="77777777" w:rsidR="00FC30A8" w:rsidRPr="00C9575C" w:rsidRDefault="00991921" w:rsidP="00376939">
      <w:pPr>
        <w:widowControl w:val="0"/>
        <w:ind w:right="-142"/>
        <w:rPr>
          <w:szCs w:val="22"/>
          <w:lang w:val="it-IT"/>
        </w:rPr>
      </w:pPr>
      <w:r w:rsidRPr="00C9575C">
        <w:rPr>
          <w:szCs w:val="22"/>
          <w:lang w:val="it-IT"/>
        </w:rPr>
        <w:t>I</w:t>
      </w:r>
      <w:r w:rsidR="0084378B" w:rsidRPr="00C9575C">
        <w:rPr>
          <w:szCs w:val="22"/>
          <w:lang w:val="it-IT"/>
        </w:rPr>
        <w:t xml:space="preserve">n pazienti affetti da HIV con deficienza immunitaria </w:t>
      </w:r>
      <w:r w:rsidR="004F4C0A" w:rsidRPr="00C9575C">
        <w:rPr>
          <w:szCs w:val="22"/>
          <w:lang w:val="it-IT"/>
        </w:rPr>
        <w:t xml:space="preserve">severa </w:t>
      </w:r>
      <w:r w:rsidR="00533BB7" w:rsidRPr="00C9575C">
        <w:rPr>
          <w:szCs w:val="22"/>
          <w:lang w:val="it-IT"/>
        </w:rPr>
        <w:t>all’inizio</w:t>
      </w:r>
      <w:r w:rsidR="0084378B" w:rsidRPr="00C9575C">
        <w:rPr>
          <w:szCs w:val="22"/>
          <w:lang w:val="it-IT"/>
        </w:rPr>
        <w:t xml:space="preserve"> della terapia antiretrovirale di combinazione (CART), può insorgere una reazione infiammatoria a patogeni opportunisti asintomatici o residuali e causare condizioni cliniche serie, o il peggioramento dei sintomi. Tipicamente, tali reazioni sono state osservate entro le primissime settimane o mesi dall’inizio della </w:t>
      </w:r>
      <w:r w:rsidR="00F40076" w:rsidRPr="00C9575C">
        <w:rPr>
          <w:szCs w:val="22"/>
          <w:lang w:val="it-IT"/>
        </w:rPr>
        <w:t>CART</w:t>
      </w:r>
      <w:r w:rsidR="0084378B" w:rsidRPr="00C9575C">
        <w:rPr>
          <w:szCs w:val="22"/>
          <w:lang w:val="it-IT"/>
        </w:rPr>
        <w:t>. Esempi rilevanti sono l</w:t>
      </w:r>
      <w:r w:rsidR="004D2B45" w:rsidRPr="00C9575C">
        <w:rPr>
          <w:szCs w:val="22"/>
          <w:lang w:val="it-IT"/>
        </w:rPr>
        <w:t>a</w:t>
      </w:r>
      <w:r w:rsidR="0084378B" w:rsidRPr="00C9575C">
        <w:rPr>
          <w:szCs w:val="22"/>
          <w:lang w:val="it-IT"/>
        </w:rPr>
        <w:t xml:space="preserve"> retinit</w:t>
      </w:r>
      <w:r w:rsidR="004D2B45" w:rsidRPr="00C9575C">
        <w:rPr>
          <w:szCs w:val="22"/>
          <w:lang w:val="it-IT"/>
        </w:rPr>
        <w:t>e</w:t>
      </w:r>
      <w:r w:rsidR="0084378B" w:rsidRPr="00C9575C">
        <w:rPr>
          <w:szCs w:val="22"/>
          <w:lang w:val="it-IT"/>
        </w:rPr>
        <w:t xml:space="preserve"> da citomegalovirus, le infezioni micobatteriche generalizzate e/o focali e la polmonite da </w:t>
      </w:r>
      <w:r w:rsidR="0084378B" w:rsidRPr="00C9575C">
        <w:rPr>
          <w:i/>
          <w:szCs w:val="22"/>
          <w:lang w:val="it-IT"/>
        </w:rPr>
        <w:t xml:space="preserve">Pneumocystis </w:t>
      </w:r>
      <w:r w:rsidR="00EA74D8" w:rsidRPr="00C9575C">
        <w:rPr>
          <w:i/>
          <w:iCs/>
          <w:lang w:val="it-IT"/>
        </w:rPr>
        <w:t>jirovecii</w:t>
      </w:r>
      <w:r w:rsidR="00EA74D8" w:rsidRPr="00C9575C">
        <w:rPr>
          <w:i/>
          <w:szCs w:val="22"/>
          <w:lang w:val="it-IT"/>
        </w:rPr>
        <w:t xml:space="preserve"> </w:t>
      </w:r>
      <w:r w:rsidR="00EA74D8" w:rsidRPr="00C9575C">
        <w:rPr>
          <w:lang w:val="it-IT"/>
        </w:rPr>
        <w:t>(spesso indicata come PCP)</w:t>
      </w:r>
      <w:r w:rsidR="00EA74D8" w:rsidRPr="00C9575C">
        <w:rPr>
          <w:i/>
          <w:lang w:val="it-IT"/>
        </w:rPr>
        <w:t>.</w:t>
      </w:r>
      <w:r w:rsidR="0084378B" w:rsidRPr="00C9575C">
        <w:rPr>
          <w:szCs w:val="22"/>
          <w:lang w:val="it-IT"/>
        </w:rPr>
        <w:t xml:space="preserve"> Qualsiasi sintomo infiammatorio deve essere valutato e, se necessario, deve essere instaurato un trattamento.</w:t>
      </w:r>
      <w:r w:rsidR="00FC30A8" w:rsidRPr="00C9575C">
        <w:rPr>
          <w:szCs w:val="22"/>
          <w:lang w:val="it-IT"/>
        </w:rPr>
        <w:t xml:space="preserve"> Sono stati anche segnalati disturbi autoimmuni (come il morbo di Graves</w:t>
      </w:r>
      <w:r w:rsidR="00C21DDB" w:rsidRPr="00C9575C">
        <w:rPr>
          <w:szCs w:val="22"/>
          <w:lang w:val="it-IT"/>
        </w:rPr>
        <w:t xml:space="preserve"> e l’epatite autoimmune</w:t>
      </w:r>
      <w:r w:rsidR="00FC30A8" w:rsidRPr="00C9575C">
        <w:rPr>
          <w:szCs w:val="22"/>
          <w:lang w:val="it-IT"/>
        </w:rPr>
        <w:t>) in un contesto di riattivazione immunitaria; tuttavia il tempo di insorgenza segnalato è più variabile e tali eventi possono verificarsi molti mesi dopo l’inizio del trattamento.</w:t>
      </w:r>
    </w:p>
    <w:p w14:paraId="309E8B66" w14:textId="77777777" w:rsidR="00C21DDB" w:rsidRPr="00C9575C" w:rsidRDefault="00C21DDB" w:rsidP="00376939">
      <w:pPr>
        <w:widowControl w:val="0"/>
        <w:ind w:right="-142"/>
        <w:rPr>
          <w:color w:val="000000"/>
          <w:szCs w:val="22"/>
          <w:lang w:val="it-IT"/>
        </w:rPr>
      </w:pPr>
    </w:p>
    <w:p w14:paraId="4D569CA6" w14:textId="77777777" w:rsidR="00991921" w:rsidRPr="00C9575C" w:rsidRDefault="00CC0BC2">
      <w:pPr>
        <w:widowControl w:val="0"/>
        <w:tabs>
          <w:tab w:val="left" w:pos="567"/>
        </w:tabs>
        <w:rPr>
          <w:szCs w:val="22"/>
          <w:u w:val="single"/>
          <w:lang w:val="it-IT"/>
        </w:rPr>
      </w:pPr>
      <w:r w:rsidRPr="00C9575C">
        <w:rPr>
          <w:szCs w:val="22"/>
          <w:u w:val="single"/>
          <w:lang w:val="it-IT"/>
        </w:rPr>
        <w:t xml:space="preserve">Osteonecrosi </w:t>
      </w:r>
    </w:p>
    <w:p w14:paraId="0EC468EB" w14:textId="77777777" w:rsidR="00382E38" w:rsidRPr="00C9575C" w:rsidRDefault="00382E38">
      <w:pPr>
        <w:widowControl w:val="0"/>
        <w:tabs>
          <w:tab w:val="left" w:pos="567"/>
        </w:tabs>
        <w:rPr>
          <w:szCs w:val="22"/>
          <w:lang w:val="it-IT"/>
        </w:rPr>
      </w:pPr>
    </w:p>
    <w:p w14:paraId="1FF9C655" w14:textId="77777777" w:rsidR="0084378B" w:rsidRPr="00C9575C" w:rsidRDefault="00991921">
      <w:pPr>
        <w:widowControl w:val="0"/>
        <w:tabs>
          <w:tab w:val="left" w:pos="567"/>
        </w:tabs>
        <w:rPr>
          <w:szCs w:val="22"/>
          <w:lang w:val="it-IT"/>
        </w:rPr>
      </w:pPr>
      <w:r w:rsidRPr="00C9575C">
        <w:rPr>
          <w:szCs w:val="22"/>
          <w:lang w:val="it-IT"/>
        </w:rPr>
        <w:t>S</w:t>
      </w:r>
      <w:r w:rsidR="0084378B" w:rsidRPr="00C9575C">
        <w:rPr>
          <w:szCs w:val="22"/>
          <w:lang w:val="it-IT"/>
        </w:rPr>
        <w:t xml:space="preserve">ebbene l’eziologia sia considerata multifattoriale (compreso l’impiego di corticosteroidi, il consumo di alcol, l’immunosoppressione grave, un più elevato indice di massa corporea), sono stati riportati casi di </w:t>
      </w:r>
      <w:r w:rsidR="00376939" w:rsidRPr="00C9575C">
        <w:rPr>
          <w:szCs w:val="22"/>
          <w:lang w:val="it-IT"/>
        </w:rPr>
        <w:t>osteonecrosi</w:t>
      </w:r>
      <w:r w:rsidR="0084378B" w:rsidRPr="00C9575C">
        <w:rPr>
          <w:szCs w:val="22"/>
          <w:lang w:val="it-IT"/>
        </w:rPr>
        <w:t xml:space="preserve"> soprattutto nei pazienti con malattia da HIV in stadio avanzato e/o esposti per lungo tempo alla CART. Ai pazienti deve essere raccomandato di rivolg</w:t>
      </w:r>
      <w:r w:rsidR="0034129A" w:rsidRPr="00C9575C">
        <w:rPr>
          <w:szCs w:val="22"/>
          <w:lang w:val="it-IT"/>
        </w:rPr>
        <w:t xml:space="preserve">ersi al </w:t>
      </w:r>
      <w:r w:rsidR="0084378B" w:rsidRPr="00C9575C">
        <w:rPr>
          <w:szCs w:val="22"/>
          <w:lang w:val="it-IT"/>
        </w:rPr>
        <w:t>medico in caso di comparsa di fastidi, dolor</w:t>
      </w:r>
      <w:r w:rsidR="00BA225D" w:rsidRPr="00C9575C">
        <w:rPr>
          <w:szCs w:val="22"/>
          <w:lang w:val="it-IT"/>
        </w:rPr>
        <w:t>e e rigidità alle articolazioni</w:t>
      </w:r>
      <w:r w:rsidR="0084378B" w:rsidRPr="00C9575C">
        <w:rPr>
          <w:szCs w:val="22"/>
          <w:lang w:val="it-IT"/>
        </w:rPr>
        <w:t xml:space="preserve"> o difficoltà nel movimento.  </w:t>
      </w:r>
    </w:p>
    <w:p w14:paraId="4C3A5EE1" w14:textId="77777777" w:rsidR="0084378B" w:rsidRPr="00C9575C" w:rsidRDefault="0084378B">
      <w:pPr>
        <w:widowControl w:val="0"/>
        <w:tabs>
          <w:tab w:val="left" w:pos="567"/>
        </w:tabs>
        <w:rPr>
          <w:szCs w:val="22"/>
          <w:lang w:val="it-IT"/>
        </w:rPr>
      </w:pPr>
    </w:p>
    <w:p w14:paraId="7656B9D2" w14:textId="77777777" w:rsidR="00991921" w:rsidRPr="00C9575C" w:rsidRDefault="00CC0BC2">
      <w:pPr>
        <w:widowControl w:val="0"/>
        <w:tabs>
          <w:tab w:val="left" w:pos="567"/>
        </w:tabs>
        <w:rPr>
          <w:szCs w:val="22"/>
          <w:u w:val="single"/>
          <w:lang w:val="it-IT"/>
        </w:rPr>
      </w:pPr>
      <w:r w:rsidRPr="00C9575C">
        <w:rPr>
          <w:szCs w:val="22"/>
          <w:u w:val="single"/>
          <w:lang w:val="it-IT"/>
        </w:rPr>
        <w:t>Infezioni opportunistiche</w:t>
      </w:r>
    </w:p>
    <w:p w14:paraId="7823B68E" w14:textId="77777777" w:rsidR="00457DE7" w:rsidRPr="00C9575C" w:rsidRDefault="00457DE7">
      <w:pPr>
        <w:widowControl w:val="0"/>
        <w:tabs>
          <w:tab w:val="left" w:pos="567"/>
        </w:tabs>
        <w:rPr>
          <w:szCs w:val="22"/>
          <w:lang w:val="it-IT"/>
        </w:rPr>
      </w:pPr>
    </w:p>
    <w:p w14:paraId="0D1F5CCD" w14:textId="05BE440E" w:rsidR="0084378B" w:rsidRPr="00C9575C" w:rsidRDefault="00991921">
      <w:pPr>
        <w:widowControl w:val="0"/>
        <w:tabs>
          <w:tab w:val="left" w:pos="567"/>
        </w:tabs>
        <w:rPr>
          <w:szCs w:val="22"/>
          <w:lang w:val="it-IT"/>
        </w:rPr>
      </w:pPr>
      <w:r w:rsidRPr="00C9575C">
        <w:rPr>
          <w:szCs w:val="22"/>
          <w:lang w:val="it-IT"/>
        </w:rPr>
        <w:t>I</w:t>
      </w:r>
      <w:r w:rsidR="0084378B" w:rsidRPr="00C9575C">
        <w:rPr>
          <w:szCs w:val="22"/>
          <w:lang w:val="it-IT"/>
        </w:rPr>
        <w:t xml:space="preserve"> pazienti devono essere avvisati che Kivexa o qualsiasi altra terapia antiretrovirale, non guarisce l’infezione da HIV e che essi possono continuare a sviluppare infezioni opportunistiche e altre complicanze dell’infezione da HIV. Pertanto</w:t>
      </w:r>
      <w:r w:rsidR="005D3E9F">
        <w:rPr>
          <w:szCs w:val="22"/>
          <w:lang w:val="it-IT"/>
        </w:rPr>
        <w:t>,</w:t>
      </w:r>
      <w:r w:rsidR="0084378B" w:rsidRPr="00C9575C">
        <w:rPr>
          <w:szCs w:val="22"/>
          <w:lang w:val="it-IT"/>
        </w:rPr>
        <w:t xml:space="preserve"> i pazienti devono rimanere sotto stretta osservazione clinica da parte di medici esperti nel trattamento di tali patologie associate all’HIV.</w:t>
      </w:r>
    </w:p>
    <w:p w14:paraId="0737D7A7" w14:textId="547646F6" w:rsidR="0084378B" w:rsidRDefault="0084378B">
      <w:pPr>
        <w:widowControl w:val="0"/>
        <w:tabs>
          <w:tab w:val="left" w:pos="567"/>
        </w:tabs>
        <w:rPr>
          <w:i/>
          <w:szCs w:val="22"/>
          <w:lang w:val="it-IT"/>
        </w:rPr>
      </w:pPr>
      <w:bookmarkStart w:id="1" w:name="_Hlk145692314"/>
    </w:p>
    <w:p w14:paraId="1994A660" w14:textId="023FE482" w:rsidR="00341228" w:rsidRPr="00C9575C" w:rsidRDefault="00873D81" w:rsidP="00341228">
      <w:pPr>
        <w:rPr>
          <w:color w:val="000000"/>
          <w:u w:val="single"/>
          <w:lang w:val="it-IT"/>
        </w:rPr>
      </w:pPr>
      <w:bookmarkStart w:id="2" w:name="_Hlk145692274"/>
      <w:r>
        <w:rPr>
          <w:color w:val="000000"/>
          <w:u w:val="single"/>
          <w:lang w:val="it-IT"/>
        </w:rPr>
        <w:t>Eventi cardiovascolari</w:t>
      </w:r>
    </w:p>
    <w:p w14:paraId="76BF640C" w14:textId="77777777" w:rsidR="00341228" w:rsidRPr="00C9575C" w:rsidRDefault="00341228" w:rsidP="00341228">
      <w:pPr>
        <w:rPr>
          <w:i/>
          <w:color w:val="000000"/>
          <w:lang w:val="it-IT"/>
        </w:rPr>
      </w:pPr>
    </w:p>
    <w:p w14:paraId="276E22E3" w14:textId="40D5D91C" w:rsidR="00341228" w:rsidRPr="00C9575C" w:rsidRDefault="00341228" w:rsidP="00341228">
      <w:pPr>
        <w:rPr>
          <w:color w:val="000000"/>
          <w:lang w:val="it-IT"/>
        </w:rPr>
      </w:pPr>
      <w:r>
        <w:rPr>
          <w:color w:val="000000"/>
          <w:lang w:val="it-IT"/>
        </w:rPr>
        <w:t xml:space="preserve">Sebbene </w:t>
      </w:r>
      <w:r w:rsidRPr="00C9575C">
        <w:rPr>
          <w:color w:val="000000"/>
          <w:lang w:val="it-IT"/>
        </w:rPr>
        <w:t>i dati disponibili da studi</w:t>
      </w:r>
      <w:r>
        <w:rPr>
          <w:color w:val="000000"/>
          <w:lang w:val="it-IT"/>
        </w:rPr>
        <w:t xml:space="preserve"> clinici e osservazionali </w:t>
      </w:r>
      <w:r w:rsidR="00873D81">
        <w:rPr>
          <w:color w:val="000000"/>
          <w:lang w:val="it-IT"/>
        </w:rPr>
        <w:t xml:space="preserve">con abacavir </w:t>
      </w:r>
      <w:r w:rsidRPr="00C9575C">
        <w:rPr>
          <w:color w:val="000000"/>
          <w:lang w:val="it-IT"/>
        </w:rPr>
        <w:t>mostr</w:t>
      </w:r>
      <w:r>
        <w:rPr>
          <w:color w:val="000000"/>
          <w:lang w:val="it-IT"/>
        </w:rPr>
        <w:t>i</w:t>
      </w:r>
      <w:r w:rsidRPr="00C9575C">
        <w:rPr>
          <w:color w:val="000000"/>
          <w:lang w:val="it-IT"/>
        </w:rPr>
        <w:t xml:space="preserve">no </w:t>
      </w:r>
      <w:r w:rsidRPr="00341228">
        <w:rPr>
          <w:color w:val="000000"/>
          <w:lang w:val="it-IT"/>
        </w:rPr>
        <w:t>risultati contradditori, diversi studi suggeriscono un aumento del rischio di eventi cardiovascolari (in particolare infarto del miocardio) nei pazienti trattati con abacavir.</w:t>
      </w:r>
      <w:r w:rsidRPr="00C9575C">
        <w:rPr>
          <w:color w:val="000000"/>
          <w:lang w:val="it-IT"/>
        </w:rPr>
        <w:t xml:space="preserve"> </w:t>
      </w:r>
      <w:r>
        <w:rPr>
          <w:color w:val="000000"/>
          <w:lang w:val="it-IT"/>
        </w:rPr>
        <w:t>Pertanto, q</w:t>
      </w:r>
      <w:r w:rsidRPr="00C9575C">
        <w:rPr>
          <w:color w:val="000000"/>
          <w:lang w:val="it-IT"/>
        </w:rPr>
        <w:t>uando si prescrive Kivexa, si devono intraprendere azioni per minimizzare tutti i fattori di rischio modificabili (ad esempio il fumo, l’ipertensione e l’iperlipidemia).</w:t>
      </w:r>
    </w:p>
    <w:p w14:paraId="781A073D" w14:textId="77777777" w:rsidR="00341228" w:rsidRPr="00C9575C" w:rsidRDefault="00341228">
      <w:pPr>
        <w:widowControl w:val="0"/>
        <w:tabs>
          <w:tab w:val="left" w:pos="567"/>
        </w:tabs>
        <w:rPr>
          <w:i/>
          <w:szCs w:val="22"/>
          <w:lang w:val="it-IT"/>
        </w:rPr>
      </w:pPr>
    </w:p>
    <w:p w14:paraId="222B039C" w14:textId="42C236E4" w:rsidR="00F57DD4" w:rsidRPr="0065197A" w:rsidRDefault="00CD3BD4" w:rsidP="00F03299">
      <w:pPr>
        <w:suppressAutoHyphens/>
        <w:rPr>
          <w:szCs w:val="22"/>
          <w:lang w:val="it-IT"/>
        </w:rPr>
      </w:pPr>
      <w:r w:rsidRPr="0065197A">
        <w:rPr>
          <w:szCs w:val="22"/>
          <w:lang w:val="it-IT"/>
        </w:rPr>
        <w:t>Inoltre, quando si trattano pazienti ad alto rischio cardiovascolare, si devono prendere in considerazione opzioni terapeutiche alternative al regime contenente abacavir.</w:t>
      </w:r>
    </w:p>
    <w:bookmarkEnd w:id="1"/>
    <w:bookmarkEnd w:id="2"/>
    <w:p w14:paraId="02C94C4E" w14:textId="77777777" w:rsidR="00F03299" w:rsidRPr="00C03451" w:rsidRDefault="00F03299" w:rsidP="00BB7A2E">
      <w:pPr>
        <w:suppressAutoHyphens/>
        <w:rPr>
          <w:szCs w:val="22"/>
          <w:u w:val="single"/>
          <w:lang w:val="it-IT"/>
        </w:rPr>
      </w:pPr>
    </w:p>
    <w:p w14:paraId="6736496B" w14:textId="77777777" w:rsidR="00F57DD4" w:rsidRPr="00C03451" w:rsidRDefault="00F57DD4" w:rsidP="00F57DD4">
      <w:pPr>
        <w:suppressAutoHyphens/>
        <w:ind w:left="567" w:hanging="567"/>
        <w:rPr>
          <w:szCs w:val="22"/>
          <w:u w:val="single"/>
          <w:lang w:val="it-IT"/>
        </w:rPr>
      </w:pPr>
      <w:r w:rsidRPr="00C03451">
        <w:rPr>
          <w:szCs w:val="22"/>
          <w:u w:val="single"/>
          <w:lang w:val="it-IT"/>
        </w:rPr>
        <w:t xml:space="preserve">Somministrazione </w:t>
      </w:r>
      <w:r w:rsidR="00C9575C" w:rsidRPr="00C03451">
        <w:rPr>
          <w:szCs w:val="22"/>
          <w:u w:val="single"/>
          <w:lang w:val="it-IT"/>
        </w:rPr>
        <w:t xml:space="preserve">nei </w:t>
      </w:r>
      <w:r w:rsidR="00D3714C">
        <w:rPr>
          <w:szCs w:val="22"/>
          <w:u w:val="single"/>
          <w:lang w:val="it-IT"/>
        </w:rPr>
        <w:t>s</w:t>
      </w:r>
      <w:r w:rsidRPr="00C03451">
        <w:rPr>
          <w:szCs w:val="22"/>
          <w:u w:val="single"/>
          <w:lang w:val="it-IT"/>
        </w:rPr>
        <w:t>oggetti con compromissione renale moderata</w:t>
      </w:r>
    </w:p>
    <w:p w14:paraId="28AB6E3B" w14:textId="77777777" w:rsidR="00F57DD4" w:rsidRPr="00C03451" w:rsidRDefault="00F57DD4" w:rsidP="00F57DD4">
      <w:pPr>
        <w:suppressAutoHyphens/>
        <w:rPr>
          <w:szCs w:val="22"/>
          <w:u w:val="single"/>
          <w:lang w:val="it-IT"/>
        </w:rPr>
      </w:pPr>
    </w:p>
    <w:p w14:paraId="53B09789" w14:textId="202E7DA1" w:rsidR="00F57DD4" w:rsidRPr="00C03451" w:rsidRDefault="00F57DD4" w:rsidP="00F57DD4">
      <w:pPr>
        <w:suppressAutoHyphens/>
        <w:rPr>
          <w:szCs w:val="22"/>
          <w:lang w:val="it-IT"/>
        </w:rPr>
      </w:pPr>
      <w:r w:rsidRPr="00C03451">
        <w:rPr>
          <w:szCs w:val="22"/>
          <w:lang w:val="it-IT"/>
        </w:rPr>
        <w:t>I pazienti con una clearance della creatinina compresa tra 30 e 49 mL/min trattati con Kivexa possono andare incontro ad un'esposizione a lamivudina (AUC) da 1,6 a 3,3</w:t>
      </w:r>
      <w:r w:rsidR="00060663">
        <w:rPr>
          <w:szCs w:val="22"/>
          <w:lang w:val="it-IT"/>
        </w:rPr>
        <w:t> </w:t>
      </w:r>
      <w:r w:rsidRPr="00C03451">
        <w:rPr>
          <w:szCs w:val="22"/>
          <w:lang w:val="it-IT"/>
        </w:rPr>
        <w:t>volte superiore rispetto ai pazienti con una clearance della creatinina ≥</w:t>
      </w:r>
      <w:r w:rsidR="00060663">
        <w:rPr>
          <w:szCs w:val="22"/>
          <w:lang w:val="it-IT"/>
        </w:rPr>
        <w:t> </w:t>
      </w:r>
      <w:r w:rsidRPr="00C03451">
        <w:rPr>
          <w:szCs w:val="22"/>
          <w:lang w:val="it-IT"/>
        </w:rPr>
        <w:t>50 mL/min. Non ci sono dati di sicurezza provenienti da studi randomizzati, controllati che confrontano Kivexa con i singoli componenti nei pazienti con una clearance della creatinina compresa tra 30 e 49 mL/min che hanno ricevuto lamivudina ad una dose aggiustata. Negli studi registrativi originali di lamivudina in combinazione con zidovudina, esposizioni più elevate di lamivudina sono state associate a tassi più elevati di tossicità ematologiche (neutropenia e anemia), sebbene le interruzioni dovute a neutropenia o anemia si siano verificate ciascuna in &lt;</w:t>
      </w:r>
      <w:r w:rsidR="00060663">
        <w:rPr>
          <w:szCs w:val="22"/>
          <w:lang w:val="it-IT"/>
        </w:rPr>
        <w:t> </w:t>
      </w:r>
      <w:r w:rsidRPr="00C03451">
        <w:rPr>
          <w:szCs w:val="22"/>
          <w:lang w:val="it-IT"/>
        </w:rPr>
        <w:t>1% dei soggetti. Possono verificarsi altri eventi avversi correlati a lamivudina (come disturbi gastrointestinali ed epatici).</w:t>
      </w:r>
    </w:p>
    <w:p w14:paraId="38B25543" w14:textId="77777777" w:rsidR="00F57DD4" w:rsidRPr="00C03451" w:rsidRDefault="00F57DD4" w:rsidP="00F57DD4">
      <w:pPr>
        <w:suppressAutoHyphens/>
        <w:rPr>
          <w:szCs w:val="22"/>
          <w:lang w:val="it-IT"/>
        </w:rPr>
      </w:pPr>
    </w:p>
    <w:p w14:paraId="2C7DB3CC" w14:textId="4C5C76FC" w:rsidR="00F57DD4" w:rsidRPr="00C03451" w:rsidRDefault="00F57DD4" w:rsidP="00F57DD4">
      <w:pPr>
        <w:tabs>
          <w:tab w:val="left" w:pos="0"/>
        </w:tabs>
        <w:suppressAutoHyphens/>
        <w:rPr>
          <w:szCs w:val="22"/>
          <w:lang w:val="it-IT"/>
        </w:rPr>
      </w:pPr>
      <w:r w:rsidRPr="00C03451">
        <w:rPr>
          <w:szCs w:val="22"/>
          <w:lang w:val="it-IT"/>
        </w:rPr>
        <w:lastRenderedPageBreak/>
        <w:t>I pazienti con una clearance della creatinina persistente tra 30 e 49</w:t>
      </w:r>
      <w:r w:rsidR="00060663">
        <w:rPr>
          <w:szCs w:val="22"/>
          <w:lang w:val="it-IT"/>
        </w:rPr>
        <w:t> </w:t>
      </w:r>
      <w:r w:rsidRPr="00C03451">
        <w:rPr>
          <w:szCs w:val="22"/>
          <w:lang w:val="it-IT"/>
        </w:rPr>
        <w:t>mL/min che vengono trattati con Kivexa devono essere monitorati per gli eventi avversi correlati a lamivudina, in particolare le tossicità ematologiche. Se si manifestano neutropenia o anemia o un peggioramento delle stesse, si raccomanda un aggiustamento della dose di lamivudina, secondo le informazioni del riassunto delle caratteristiche del prodotto di lamivudina, che non può essere ottenuto con Kivexa. Kivexa deve essere sospeso e devono essere usati i singoli componenti per ricostituire il regime di trattamento.</w:t>
      </w:r>
    </w:p>
    <w:p w14:paraId="6D676562" w14:textId="77777777" w:rsidR="000A59C7" w:rsidRPr="00C9575C" w:rsidRDefault="000A59C7" w:rsidP="000A59C7">
      <w:pPr>
        <w:widowControl w:val="0"/>
        <w:rPr>
          <w:rStyle w:val="PageNumber"/>
          <w:color w:val="000000"/>
          <w:lang w:val="it-IT"/>
        </w:rPr>
      </w:pPr>
    </w:p>
    <w:p w14:paraId="32A95D5C" w14:textId="77777777" w:rsidR="00991921" w:rsidRPr="00C9575C" w:rsidRDefault="00CC0BC2" w:rsidP="000A59C7">
      <w:pPr>
        <w:widowControl w:val="0"/>
        <w:rPr>
          <w:rStyle w:val="PageNumber"/>
          <w:color w:val="000000"/>
          <w:u w:val="single"/>
          <w:lang w:val="it-IT"/>
        </w:rPr>
      </w:pPr>
      <w:r w:rsidRPr="00C9575C">
        <w:rPr>
          <w:rStyle w:val="PageNumber"/>
          <w:color w:val="000000"/>
          <w:u w:val="single"/>
          <w:lang w:val="it-IT"/>
        </w:rPr>
        <w:t>Interazioni farmacologiche</w:t>
      </w:r>
    </w:p>
    <w:p w14:paraId="266F5689" w14:textId="77777777" w:rsidR="0099367F" w:rsidRPr="00C9575C" w:rsidRDefault="0099367F" w:rsidP="000A59C7">
      <w:pPr>
        <w:widowControl w:val="0"/>
        <w:rPr>
          <w:rStyle w:val="PageNumber"/>
          <w:color w:val="000000"/>
          <w:lang w:val="it-IT"/>
        </w:rPr>
      </w:pPr>
    </w:p>
    <w:p w14:paraId="18577D85" w14:textId="77777777" w:rsidR="000A59C7" w:rsidRPr="00C9575C" w:rsidRDefault="000A59C7" w:rsidP="000A59C7">
      <w:pPr>
        <w:widowControl w:val="0"/>
        <w:rPr>
          <w:szCs w:val="22"/>
          <w:lang w:val="it-IT"/>
        </w:rPr>
      </w:pPr>
      <w:r w:rsidRPr="00C9575C">
        <w:rPr>
          <w:rStyle w:val="PageNumber"/>
          <w:color w:val="000000"/>
          <w:lang w:val="it-IT"/>
        </w:rPr>
        <w:t>Kivexa non deve essere preso con qualsiasi altro medicinale contenente lamivudina o medicinali contenenti emtricitabina.</w:t>
      </w:r>
    </w:p>
    <w:p w14:paraId="6F77102F" w14:textId="77777777" w:rsidR="00295C4D" w:rsidRPr="00C9575C" w:rsidRDefault="00295C4D" w:rsidP="00295C4D">
      <w:pPr>
        <w:numPr>
          <w:ilvl w:val="12"/>
          <w:numId w:val="0"/>
        </w:numPr>
        <w:tabs>
          <w:tab w:val="left" w:pos="567"/>
        </w:tabs>
        <w:rPr>
          <w:rStyle w:val="PageNumber"/>
          <w:color w:val="000000"/>
          <w:lang w:val="it-IT"/>
        </w:rPr>
      </w:pPr>
    </w:p>
    <w:p w14:paraId="45B4D61B" w14:textId="77777777" w:rsidR="00295C4D" w:rsidRPr="00C9575C" w:rsidRDefault="00295C4D" w:rsidP="00295C4D">
      <w:pPr>
        <w:numPr>
          <w:ilvl w:val="12"/>
          <w:numId w:val="0"/>
        </w:numPr>
        <w:tabs>
          <w:tab w:val="left" w:pos="567"/>
        </w:tabs>
        <w:rPr>
          <w:rStyle w:val="PageNumber"/>
          <w:color w:val="000000"/>
          <w:lang w:val="it-IT"/>
        </w:rPr>
      </w:pPr>
      <w:r w:rsidRPr="00C9575C">
        <w:rPr>
          <w:rStyle w:val="PageNumber"/>
          <w:color w:val="000000"/>
          <w:lang w:val="it-IT"/>
        </w:rPr>
        <w:t>La combinazione di lamivudina con cladribina non è raccomandata (vedere paragrafo 4.5).</w:t>
      </w:r>
    </w:p>
    <w:p w14:paraId="4586AD8A" w14:textId="77777777" w:rsidR="007E35FB" w:rsidRPr="00C9575C" w:rsidRDefault="007E35FB" w:rsidP="00B5082D">
      <w:pPr>
        <w:rPr>
          <w:color w:val="000000"/>
          <w:lang w:val="it-IT"/>
        </w:rPr>
      </w:pPr>
    </w:p>
    <w:p w14:paraId="5ABC57E7" w14:textId="77777777" w:rsidR="00991921" w:rsidRPr="00C9575C" w:rsidRDefault="00CC0BC2" w:rsidP="007E35FB">
      <w:pPr>
        <w:widowControl w:val="0"/>
        <w:tabs>
          <w:tab w:val="left" w:pos="567"/>
        </w:tabs>
        <w:rPr>
          <w:szCs w:val="22"/>
          <w:u w:val="single"/>
          <w:lang w:val="it-IT"/>
        </w:rPr>
      </w:pPr>
      <w:r w:rsidRPr="00C9575C">
        <w:rPr>
          <w:szCs w:val="22"/>
          <w:u w:val="single"/>
          <w:lang w:val="it-IT"/>
        </w:rPr>
        <w:t xml:space="preserve">Eccipienti </w:t>
      </w:r>
    </w:p>
    <w:p w14:paraId="068531C8" w14:textId="77777777" w:rsidR="0099367F" w:rsidRPr="00C9575C" w:rsidRDefault="0099367F" w:rsidP="007E35FB">
      <w:pPr>
        <w:widowControl w:val="0"/>
        <w:tabs>
          <w:tab w:val="left" w:pos="567"/>
        </w:tabs>
        <w:rPr>
          <w:szCs w:val="22"/>
          <w:lang w:val="it-IT"/>
        </w:rPr>
      </w:pPr>
    </w:p>
    <w:p w14:paraId="3ED3789C" w14:textId="77777777" w:rsidR="007E35FB" w:rsidRPr="00C9575C" w:rsidRDefault="007E35FB" w:rsidP="007E35FB">
      <w:pPr>
        <w:widowControl w:val="0"/>
        <w:tabs>
          <w:tab w:val="left" w:pos="567"/>
        </w:tabs>
        <w:rPr>
          <w:szCs w:val="22"/>
          <w:lang w:val="it-IT"/>
        </w:rPr>
      </w:pPr>
      <w:r w:rsidRPr="00C9575C">
        <w:rPr>
          <w:szCs w:val="22"/>
          <w:lang w:val="it-IT"/>
        </w:rPr>
        <w:t>Kivexa contiene l’agente colorante azoico giallo tramonto che può causare reazioni allergiche.</w:t>
      </w:r>
    </w:p>
    <w:p w14:paraId="51C6BFEE" w14:textId="77777777" w:rsidR="002B6B67" w:rsidRPr="00C03451" w:rsidRDefault="002B6B67" w:rsidP="002B6B67">
      <w:pPr>
        <w:suppressAutoHyphens/>
        <w:rPr>
          <w:color w:val="000000"/>
          <w:szCs w:val="22"/>
          <w:lang w:val="it-IT"/>
        </w:rPr>
      </w:pPr>
    </w:p>
    <w:p w14:paraId="50BDDD55" w14:textId="77777777" w:rsidR="002B6B67" w:rsidRPr="00C03451" w:rsidRDefault="002B6B67" w:rsidP="002B6B67">
      <w:pPr>
        <w:tabs>
          <w:tab w:val="left" w:pos="851"/>
        </w:tabs>
        <w:contextualSpacing/>
        <w:rPr>
          <w:szCs w:val="22"/>
          <w:lang w:val="it-IT"/>
        </w:rPr>
      </w:pPr>
      <w:r w:rsidRPr="00C03451">
        <w:rPr>
          <w:color w:val="000000"/>
          <w:szCs w:val="22"/>
          <w:lang w:val="it-IT"/>
        </w:rPr>
        <w:t>Questo medicinale contiene meno di 1 mmol (23 mg) di sodio per unità di dosaggio, cioè è essenzialmente ‘senza sodio’.</w:t>
      </w:r>
      <w:r w:rsidRPr="00C03451">
        <w:rPr>
          <w:szCs w:val="22"/>
          <w:lang w:val="it-IT"/>
        </w:rPr>
        <w:t xml:space="preserve"> </w:t>
      </w:r>
    </w:p>
    <w:p w14:paraId="1EE0F7D9" w14:textId="77777777" w:rsidR="002B6B67" w:rsidRPr="00C9575C" w:rsidRDefault="002B6B67" w:rsidP="007E35FB">
      <w:pPr>
        <w:widowControl w:val="0"/>
        <w:tabs>
          <w:tab w:val="left" w:pos="567"/>
        </w:tabs>
        <w:rPr>
          <w:szCs w:val="22"/>
          <w:lang w:val="it-IT"/>
        </w:rPr>
      </w:pPr>
    </w:p>
    <w:p w14:paraId="3790FDE0" w14:textId="5AC16C6C" w:rsidR="0084378B" w:rsidRPr="00C9575C" w:rsidRDefault="0084378B" w:rsidP="00601679">
      <w:pPr>
        <w:keepNext/>
        <w:widowControl w:val="0"/>
        <w:tabs>
          <w:tab w:val="left" w:pos="567"/>
        </w:tabs>
        <w:outlineLvl w:val="0"/>
        <w:rPr>
          <w:b/>
          <w:szCs w:val="22"/>
          <w:lang w:val="it-IT"/>
        </w:rPr>
      </w:pPr>
      <w:r w:rsidRPr="00C9575C">
        <w:rPr>
          <w:b/>
          <w:szCs w:val="22"/>
          <w:lang w:val="it-IT"/>
        </w:rPr>
        <w:t>4.5</w:t>
      </w:r>
      <w:r w:rsidRPr="00C9575C">
        <w:rPr>
          <w:b/>
          <w:szCs w:val="22"/>
          <w:lang w:val="it-IT"/>
        </w:rPr>
        <w:tab/>
        <w:t>Interazioni con altri medicinali ed altre forme d</w:t>
      </w:r>
      <w:r w:rsidR="00CE3A3C" w:rsidRPr="00C9575C">
        <w:rPr>
          <w:b/>
          <w:szCs w:val="22"/>
          <w:lang w:val="it-IT"/>
        </w:rPr>
        <w:t xml:space="preserve">i </w:t>
      </w:r>
      <w:r w:rsidRPr="00C9575C">
        <w:rPr>
          <w:b/>
          <w:szCs w:val="22"/>
          <w:lang w:val="it-IT"/>
        </w:rPr>
        <w:t>interazione</w:t>
      </w:r>
      <w:r w:rsidR="0092155C">
        <w:rPr>
          <w:b/>
          <w:szCs w:val="22"/>
          <w:lang w:val="it-IT"/>
        </w:rPr>
        <w:fldChar w:fldCharType="begin"/>
      </w:r>
      <w:r w:rsidR="0092155C">
        <w:rPr>
          <w:b/>
          <w:szCs w:val="22"/>
          <w:lang w:val="it-IT"/>
        </w:rPr>
        <w:instrText xml:space="preserve"> DOCVARIABLE vault_nd_835c4fe7-615e-403e-a0a2-d2e9683b92ef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50683D23" w14:textId="77777777" w:rsidR="0084378B" w:rsidRPr="00C9575C" w:rsidRDefault="0084378B" w:rsidP="00601679">
      <w:pPr>
        <w:keepNext/>
        <w:widowControl w:val="0"/>
        <w:tabs>
          <w:tab w:val="left" w:pos="567"/>
        </w:tabs>
        <w:outlineLvl w:val="0"/>
        <w:rPr>
          <w:b/>
          <w:szCs w:val="22"/>
          <w:lang w:val="it-IT"/>
        </w:rPr>
      </w:pPr>
    </w:p>
    <w:p w14:paraId="49FE3B7C" w14:textId="77777777" w:rsidR="0084378B" w:rsidRPr="00C9575C" w:rsidRDefault="0084378B" w:rsidP="00601679">
      <w:pPr>
        <w:keepNext/>
        <w:widowControl w:val="0"/>
        <w:tabs>
          <w:tab w:val="left" w:pos="567"/>
        </w:tabs>
        <w:rPr>
          <w:szCs w:val="22"/>
          <w:lang w:val="it-IT"/>
        </w:rPr>
      </w:pPr>
      <w:r w:rsidRPr="00C9575C">
        <w:rPr>
          <w:szCs w:val="22"/>
          <w:lang w:val="it-IT"/>
        </w:rPr>
        <w:t>Kivexa contiene abacavir e lamivudina, pertanto ogni interazione che sia stata identificata con i singoli medicinali può verificarsi con Kivexa. Gli studi clinici hanno dimostrato che non ci sono interazioni clinicamente significative tra abacavir e lamivudina.</w:t>
      </w:r>
    </w:p>
    <w:p w14:paraId="393CE0BC" w14:textId="77777777" w:rsidR="00CD5DFC" w:rsidRPr="00C9575C" w:rsidRDefault="00CD5DFC" w:rsidP="00CD5DFC">
      <w:pPr>
        <w:widowControl w:val="0"/>
        <w:rPr>
          <w:szCs w:val="22"/>
          <w:lang w:val="it-IT"/>
        </w:rPr>
      </w:pPr>
    </w:p>
    <w:p w14:paraId="6F865A38" w14:textId="77777777" w:rsidR="00CD5DFC" w:rsidRPr="00C9575C" w:rsidRDefault="00CD5DFC" w:rsidP="00CD5DFC">
      <w:pPr>
        <w:widowControl w:val="0"/>
        <w:rPr>
          <w:szCs w:val="22"/>
          <w:lang w:val="it-IT"/>
        </w:rPr>
      </w:pPr>
      <w:r w:rsidRPr="00C9575C">
        <w:rPr>
          <w:szCs w:val="22"/>
          <w:lang w:val="it-IT"/>
        </w:rPr>
        <w:t>Abacavir è metabolizzato dagli enzimi UDP</w:t>
      </w:r>
      <w:r w:rsidRPr="00C9575C">
        <w:rPr>
          <w:szCs w:val="22"/>
          <w:lang w:val="it-IT"/>
        </w:rPr>
        <w:noBreakHyphen/>
        <w:t>glucuroniltransferasi (UGT) e dall’alcool deidrogenasi;</w:t>
      </w:r>
    </w:p>
    <w:p w14:paraId="104012F4" w14:textId="77777777" w:rsidR="00CD5DFC" w:rsidRPr="00C9575C" w:rsidRDefault="00CD5DFC" w:rsidP="00CD5DFC">
      <w:pPr>
        <w:widowControl w:val="0"/>
        <w:rPr>
          <w:szCs w:val="22"/>
          <w:lang w:val="it-IT"/>
        </w:rPr>
      </w:pPr>
      <w:r w:rsidRPr="00C9575C">
        <w:rPr>
          <w:szCs w:val="22"/>
          <w:lang w:val="it-IT"/>
        </w:rPr>
        <w:t xml:space="preserve">la </w:t>
      </w:r>
      <w:r w:rsidR="002C330E" w:rsidRPr="00C9575C">
        <w:rPr>
          <w:szCs w:val="22"/>
          <w:lang w:val="it-IT"/>
        </w:rPr>
        <w:t>co-</w:t>
      </w:r>
      <w:r w:rsidRPr="00C9575C">
        <w:rPr>
          <w:szCs w:val="22"/>
          <w:lang w:val="it-IT"/>
        </w:rPr>
        <w:t xml:space="preserve">somministrazione di induttori o inibitori degli enzimi UGT o di composti eliminati attraverso l’alcol deidrogenasi potrebbe alterare l’esposizione ad abacavir. </w:t>
      </w:r>
      <w:r w:rsidR="00382E38" w:rsidRPr="00C9575C">
        <w:rPr>
          <w:szCs w:val="22"/>
          <w:lang w:val="it-IT"/>
        </w:rPr>
        <w:t>La</w:t>
      </w:r>
      <w:r w:rsidRPr="00C9575C">
        <w:rPr>
          <w:szCs w:val="22"/>
          <w:lang w:val="it-IT"/>
        </w:rPr>
        <w:t xml:space="preserve">mivudina </w:t>
      </w:r>
      <w:r w:rsidR="002630CC" w:rsidRPr="00C9575C">
        <w:rPr>
          <w:szCs w:val="22"/>
          <w:lang w:val="it-IT"/>
        </w:rPr>
        <w:t>viene</w:t>
      </w:r>
      <w:r w:rsidRPr="00C9575C">
        <w:rPr>
          <w:szCs w:val="22"/>
          <w:lang w:val="it-IT"/>
        </w:rPr>
        <w:t xml:space="preserve"> eliminata per via renale. La secrezione renale attiva </w:t>
      </w:r>
      <w:r w:rsidR="00382E38" w:rsidRPr="00C9575C">
        <w:rPr>
          <w:szCs w:val="22"/>
          <w:lang w:val="it-IT"/>
        </w:rPr>
        <w:t>di</w:t>
      </w:r>
      <w:r w:rsidRPr="00C9575C">
        <w:rPr>
          <w:szCs w:val="22"/>
          <w:lang w:val="it-IT"/>
        </w:rPr>
        <w:t xml:space="preserve"> lamivudina nell’urina avviene attraverso i trasportatori dei cationi organici (</w:t>
      </w:r>
      <w:r w:rsidRPr="00C9575C">
        <w:rPr>
          <w:i/>
          <w:szCs w:val="22"/>
          <w:lang w:val="it-IT"/>
        </w:rPr>
        <w:t>organic cation transporter</w:t>
      </w:r>
      <w:r w:rsidRPr="00C9575C">
        <w:rPr>
          <w:szCs w:val="22"/>
          <w:lang w:val="it-IT"/>
        </w:rPr>
        <w:t xml:space="preserve">- OCT); la </w:t>
      </w:r>
      <w:r w:rsidR="002C330E" w:rsidRPr="00C9575C">
        <w:rPr>
          <w:szCs w:val="22"/>
          <w:lang w:val="it-IT"/>
        </w:rPr>
        <w:t>co-</w:t>
      </w:r>
      <w:r w:rsidRPr="00C9575C">
        <w:rPr>
          <w:szCs w:val="22"/>
          <w:lang w:val="it-IT"/>
        </w:rPr>
        <w:t xml:space="preserve">somministrazione di lamivudina con inibitori </w:t>
      </w:r>
      <w:r w:rsidR="00F05108" w:rsidRPr="00C9575C">
        <w:rPr>
          <w:szCs w:val="22"/>
          <w:lang w:val="it-IT"/>
        </w:rPr>
        <w:t xml:space="preserve">degli </w:t>
      </w:r>
      <w:r w:rsidRPr="00C9575C">
        <w:rPr>
          <w:szCs w:val="22"/>
          <w:lang w:val="it-IT"/>
        </w:rPr>
        <w:t xml:space="preserve">OCT può aumentare l’esposizione </w:t>
      </w:r>
      <w:r w:rsidR="00382E38" w:rsidRPr="00C9575C">
        <w:rPr>
          <w:szCs w:val="22"/>
          <w:lang w:val="it-IT"/>
        </w:rPr>
        <w:t>a</w:t>
      </w:r>
      <w:r w:rsidRPr="00C9575C">
        <w:rPr>
          <w:szCs w:val="22"/>
          <w:lang w:val="it-IT"/>
        </w:rPr>
        <w:t xml:space="preserve"> lamivudina.</w:t>
      </w:r>
    </w:p>
    <w:p w14:paraId="0523D0D1" w14:textId="77777777" w:rsidR="006927F1" w:rsidRPr="00C9575C" w:rsidRDefault="006927F1" w:rsidP="00CD5DFC">
      <w:pPr>
        <w:widowControl w:val="0"/>
        <w:rPr>
          <w:szCs w:val="22"/>
          <w:lang w:val="it-IT"/>
        </w:rPr>
      </w:pPr>
    </w:p>
    <w:p w14:paraId="4A0EA1EA" w14:textId="7F23578B" w:rsidR="0084378B" w:rsidRPr="00C9575C" w:rsidRDefault="0084378B">
      <w:pPr>
        <w:widowControl w:val="0"/>
        <w:tabs>
          <w:tab w:val="left" w:pos="567"/>
        </w:tabs>
        <w:rPr>
          <w:szCs w:val="22"/>
          <w:lang w:val="it-IT"/>
        </w:rPr>
      </w:pPr>
      <w:r w:rsidRPr="00C9575C">
        <w:rPr>
          <w:szCs w:val="22"/>
          <w:lang w:val="it-IT"/>
        </w:rPr>
        <w:t>Abacavir e lamivudina non sono metabolizzati in maniera significativa dagli enzimi del citocromo P</w:t>
      </w:r>
      <w:r w:rsidRPr="00C9575C">
        <w:rPr>
          <w:szCs w:val="22"/>
          <w:vertAlign w:val="subscript"/>
          <w:lang w:val="it-IT"/>
        </w:rPr>
        <w:t>450</w:t>
      </w:r>
      <w:r w:rsidRPr="00C9575C">
        <w:rPr>
          <w:szCs w:val="22"/>
          <w:lang w:val="it-IT"/>
        </w:rPr>
        <w:t xml:space="preserve"> (come CYP3A4, CYP 2C9 o CYP 2D6) e non inducono questo sistema enzimatico. </w:t>
      </w:r>
      <w:r w:rsidR="002B6B67" w:rsidRPr="00C9575C">
        <w:rPr>
          <w:szCs w:val="22"/>
          <w:lang w:val="it-IT"/>
        </w:rPr>
        <w:t>Lamivudina non inibisce gli enzimi del citocromo P450. Abacavir mostra un limitat</w:t>
      </w:r>
      <w:r w:rsidR="00E25C92" w:rsidRPr="00C9575C">
        <w:rPr>
          <w:szCs w:val="22"/>
          <w:lang w:val="it-IT"/>
        </w:rPr>
        <w:t>o</w:t>
      </w:r>
      <w:r w:rsidR="002B6B67" w:rsidRPr="00C9575C">
        <w:rPr>
          <w:szCs w:val="22"/>
          <w:lang w:val="it-IT"/>
        </w:rPr>
        <w:t xml:space="preserve"> potenzial</w:t>
      </w:r>
      <w:r w:rsidR="00E25C92" w:rsidRPr="00C9575C">
        <w:rPr>
          <w:szCs w:val="22"/>
          <w:lang w:val="it-IT"/>
        </w:rPr>
        <w:t xml:space="preserve">e </w:t>
      </w:r>
      <w:r w:rsidR="002B6B67" w:rsidRPr="00C9575C">
        <w:rPr>
          <w:szCs w:val="22"/>
          <w:lang w:val="it-IT"/>
        </w:rPr>
        <w:t xml:space="preserve">di inibire il metabolismo mediato dal CYP3A4 e </w:t>
      </w:r>
      <w:r w:rsidR="002B6B67" w:rsidRPr="00C9575C">
        <w:rPr>
          <w:i/>
          <w:iCs/>
          <w:szCs w:val="22"/>
          <w:lang w:val="it-IT"/>
        </w:rPr>
        <w:t>in vitro</w:t>
      </w:r>
      <w:r w:rsidR="002B6B67" w:rsidRPr="00C9575C">
        <w:rPr>
          <w:szCs w:val="22"/>
          <w:lang w:val="it-IT"/>
        </w:rPr>
        <w:t xml:space="preserve"> ha dimostrato di non inibire gli enzimi CYP2C9 o CYP 2D6. Studi</w:t>
      </w:r>
      <w:r w:rsidR="002B6B67" w:rsidRPr="00C9575C">
        <w:rPr>
          <w:i/>
          <w:iCs/>
          <w:szCs w:val="22"/>
          <w:lang w:val="it-IT"/>
        </w:rPr>
        <w:t xml:space="preserve"> in vitro</w:t>
      </w:r>
      <w:r w:rsidR="002B6B67" w:rsidRPr="00C9575C">
        <w:rPr>
          <w:szCs w:val="22"/>
          <w:lang w:val="it-IT"/>
        </w:rPr>
        <w:t xml:space="preserve"> hanno dimostrato che abacavir </w:t>
      </w:r>
      <w:r w:rsidR="00113478" w:rsidRPr="00C9575C">
        <w:rPr>
          <w:lang w:val="it-IT"/>
        </w:rPr>
        <w:t>può potenzialmente</w:t>
      </w:r>
      <w:r w:rsidR="002B6B67" w:rsidRPr="00C9575C">
        <w:rPr>
          <w:szCs w:val="22"/>
          <w:lang w:val="it-IT"/>
        </w:rPr>
        <w:t xml:space="preserve"> inibire il citocromo P450 1A1 (CYP1A1). </w:t>
      </w:r>
      <w:r w:rsidRPr="00C9575C">
        <w:rPr>
          <w:szCs w:val="22"/>
          <w:lang w:val="it-IT"/>
        </w:rPr>
        <w:t>Pertanto, vi è uno scarso potenziale di interazioni con gli inibitori antiretrovirali della proteasi, con i non nucleosidi e altri medicinali metabolizzati dagli enzimi principali del P</w:t>
      </w:r>
      <w:r w:rsidR="00783CAC" w:rsidRPr="00C9575C">
        <w:rPr>
          <w:szCs w:val="22"/>
          <w:vertAlign w:val="subscript"/>
          <w:lang w:val="it-IT"/>
        </w:rPr>
        <w:t>450</w:t>
      </w:r>
      <w:r w:rsidR="004C3F00" w:rsidRPr="00C9575C">
        <w:rPr>
          <w:szCs w:val="22"/>
          <w:lang w:val="it-IT"/>
        </w:rPr>
        <w:t>.</w:t>
      </w:r>
    </w:p>
    <w:p w14:paraId="2E666C7E" w14:textId="77777777" w:rsidR="00CD5DFC" w:rsidRPr="00C9575C" w:rsidRDefault="00CD5DFC" w:rsidP="00CD5DFC">
      <w:pPr>
        <w:widowControl w:val="0"/>
        <w:rPr>
          <w:szCs w:val="22"/>
          <w:lang w:val="it-IT"/>
        </w:rPr>
      </w:pPr>
    </w:p>
    <w:p w14:paraId="2A5CF97D" w14:textId="77777777" w:rsidR="00BA7D7D" w:rsidRPr="00C9575C" w:rsidRDefault="00BA7D7D" w:rsidP="00376939">
      <w:pPr>
        <w:widowControl w:val="0"/>
        <w:ind w:right="-284"/>
        <w:rPr>
          <w:szCs w:val="22"/>
          <w:lang w:val="it-IT"/>
        </w:rPr>
      </w:pPr>
      <w:r w:rsidRPr="00C9575C">
        <w:rPr>
          <w:szCs w:val="22"/>
          <w:lang w:val="it-IT"/>
        </w:rPr>
        <w:t>Kivexa non deve essere preso con qualsiasi altro medicinale contenen</w:t>
      </w:r>
      <w:r w:rsidR="00341D77" w:rsidRPr="00C9575C">
        <w:rPr>
          <w:szCs w:val="22"/>
          <w:lang w:val="it-IT"/>
        </w:rPr>
        <w:t>te lamivudina (vedere paragrafo </w:t>
      </w:r>
      <w:r w:rsidRPr="00C9575C">
        <w:rPr>
          <w:szCs w:val="22"/>
          <w:lang w:val="it-IT"/>
        </w:rPr>
        <w:t>4.4).</w:t>
      </w:r>
    </w:p>
    <w:p w14:paraId="4BDBF079" w14:textId="77777777" w:rsidR="00376939" w:rsidRPr="00C9575C" w:rsidRDefault="00376939" w:rsidP="00376939">
      <w:pPr>
        <w:widowControl w:val="0"/>
        <w:rPr>
          <w:szCs w:val="22"/>
          <w:lang w:val="it-IT"/>
        </w:rPr>
      </w:pPr>
    </w:p>
    <w:p w14:paraId="4FA53769" w14:textId="77777777" w:rsidR="00302F0D" w:rsidRPr="00C9575C" w:rsidRDefault="00CD5DFC" w:rsidP="00376939">
      <w:pPr>
        <w:widowControl w:val="0"/>
        <w:rPr>
          <w:szCs w:val="22"/>
          <w:lang w:val="it-IT"/>
        </w:rPr>
      </w:pPr>
      <w:r w:rsidRPr="00C9575C">
        <w:rPr>
          <w:szCs w:val="22"/>
          <w:lang w:val="it-IT"/>
        </w:rPr>
        <w:t>L’elenco di seguito riportato non deve essere considerato esaustivo</w:t>
      </w:r>
      <w:r w:rsidR="002C330E" w:rsidRPr="00C9575C">
        <w:rPr>
          <w:szCs w:val="22"/>
          <w:lang w:val="it-IT"/>
        </w:rPr>
        <w:t>,</w:t>
      </w:r>
      <w:r w:rsidRPr="00C9575C">
        <w:rPr>
          <w:szCs w:val="22"/>
          <w:lang w:val="it-IT"/>
        </w:rPr>
        <w:t xml:space="preserve"> ma è rappresentativo delle classi studiate.</w:t>
      </w:r>
    </w:p>
    <w:p w14:paraId="104B8EBD" w14:textId="77777777" w:rsidR="0084478A" w:rsidRPr="00C9575C" w:rsidRDefault="00302F0D" w:rsidP="00376939">
      <w:pPr>
        <w:widowControl w:val="0"/>
        <w:rPr>
          <w:szCs w:val="22"/>
          <w:lang w:val="it-IT"/>
        </w:rPr>
      </w:pPr>
      <w:r w:rsidRPr="00C9575C">
        <w:rPr>
          <w:szCs w:val="22"/>
          <w:lang w:val="it-IT"/>
        </w:rPr>
        <w:br w:type="page"/>
      </w:r>
    </w:p>
    <w:tbl>
      <w:tblPr>
        <w:tblpPr w:leftFromText="180" w:rightFromText="180" w:vertAnchor="text" w:horzAnchor="margin" w:tblpX="216" w:tblpY="154"/>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60"/>
        <w:gridCol w:w="2844"/>
      </w:tblGrid>
      <w:tr w:rsidR="009F5615" w:rsidRPr="00C9575C" w14:paraId="100A9276" w14:textId="77777777" w:rsidTr="004D03BC">
        <w:trPr>
          <w:cantSplit/>
        </w:trPr>
        <w:tc>
          <w:tcPr>
            <w:tcW w:w="1785" w:type="pct"/>
          </w:tcPr>
          <w:p w14:paraId="3DAFA919" w14:textId="77777777" w:rsidR="009F5615" w:rsidRPr="00C9575C" w:rsidRDefault="009F5615"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lastRenderedPageBreak/>
              <w:t>Farmaci per area terapeutica</w:t>
            </w:r>
          </w:p>
          <w:p w14:paraId="16F70604" w14:textId="77777777" w:rsidR="009F5615" w:rsidRPr="00C9575C" w:rsidRDefault="009F5615" w:rsidP="00933DED">
            <w:pPr>
              <w:pStyle w:val="tabletextNS"/>
              <w:keepNext/>
              <w:rPr>
                <w:rFonts w:ascii="Times New Roman" w:hAnsi="Times New Roman" w:cs="Times New Roman"/>
                <w:b/>
                <w:sz w:val="22"/>
                <w:szCs w:val="22"/>
                <w:lang w:val="it-IT"/>
              </w:rPr>
            </w:pPr>
          </w:p>
        </w:tc>
        <w:tc>
          <w:tcPr>
            <w:tcW w:w="1638" w:type="pct"/>
          </w:tcPr>
          <w:p w14:paraId="1DAE8A71" w14:textId="77777777" w:rsidR="009F5615" w:rsidRPr="00C9575C" w:rsidRDefault="009F5615"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Interazioni</w:t>
            </w:r>
          </w:p>
          <w:p w14:paraId="4C01D35D" w14:textId="77777777" w:rsidR="009F5615" w:rsidRPr="00C9575C" w:rsidRDefault="009F5615"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Cambiamenti nella media geometrica (%)</w:t>
            </w:r>
          </w:p>
          <w:p w14:paraId="7D16671B" w14:textId="77777777" w:rsidR="009F5615" w:rsidRPr="00C9575C" w:rsidRDefault="009F5615"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(Possibile meccanismo)</w:t>
            </w:r>
          </w:p>
        </w:tc>
        <w:tc>
          <w:tcPr>
            <w:tcW w:w="1577" w:type="pct"/>
          </w:tcPr>
          <w:p w14:paraId="5F7E6C38" w14:textId="77777777" w:rsidR="009F5615" w:rsidRPr="00C9575C" w:rsidRDefault="009F5615"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Raccomandazioni relative alla co-somministrazione</w:t>
            </w:r>
          </w:p>
        </w:tc>
      </w:tr>
      <w:tr w:rsidR="009F5615" w:rsidRPr="00C9575C" w14:paraId="4F72335A" w14:textId="77777777" w:rsidTr="00933DED">
        <w:trPr>
          <w:cantSplit/>
        </w:trPr>
        <w:tc>
          <w:tcPr>
            <w:tcW w:w="5000" w:type="pct"/>
            <w:gridSpan w:val="3"/>
          </w:tcPr>
          <w:p w14:paraId="00A184D9" w14:textId="77777777" w:rsidR="009F5615" w:rsidRPr="00C9575C" w:rsidRDefault="009F5615"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b/>
                <w:sz w:val="22"/>
                <w:szCs w:val="22"/>
                <w:lang w:val="it-IT"/>
              </w:rPr>
              <w:t>MEDICINALI ANTIRETROVIRALI</w:t>
            </w:r>
          </w:p>
        </w:tc>
      </w:tr>
      <w:tr w:rsidR="009F5615" w:rsidRPr="00C9575C" w14:paraId="5CE2A226" w14:textId="77777777" w:rsidTr="004D03BC">
        <w:trPr>
          <w:cantSplit/>
        </w:trPr>
        <w:tc>
          <w:tcPr>
            <w:tcW w:w="1785" w:type="pct"/>
          </w:tcPr>
          <w:p w14:paraId="6B28D837" w14:textId="77777777" w:rsidR="009F5615" w:rsidRPr="00C9575C" w:rsidRDefault="009F5615"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Didanosina/Abacavir</w:t>
            </w:r>
          </w:p>
        </w:tc>
        <w:tc>
          <w:tcPr>
            <w:tcW w:w="1638" w:type="pct"/>
          </w:tcPr>
          <w:p w14:paraId="18FB9717" w14:textId="77777777" w:rsidR="009F5615" w:rsidRPr="00C9575C" w:rsidRDefault="009F5615" w:rsidP="00933DED">
            <w:pPr>
              <w:pStyle w:val="tabletextNS"/>
              <w:keepNext/>
              <w:rPr>
                <w:rFonts w:ascii="Times New Roman" w:hAnsi="Times New Roman" w:cs="Times New Roman"/>
                <w:snapToGrid w:val="0"/>
                <w:color w:val="000000"/>
                <w:sz w:val="22"/>
                <w:szCs w:val="22"/>
                <w:lang w:val="it-IT"/>
              </w:rPr>
            </w:pPr>
            <w:r w:rsidRPr="00C9575C">
              <w:rPr>
                <w:rFonts w:ascii="Times New Roman" w:hAnsi="Times New Roman" w:cs="Times New Roman"/>
                <w:snapToGrid w:val="0"/>
                <w:color w:val="000000"/>
                <w:sz w:val="22"/>
                <w:szCs w:val="22"/>
                <w:lang w:val="it-IT"/>
              </w:rPr>
              <w:t>Interazione non studiata.</w:t>
            </w:r>
          </w:p>
        </w:tc>
        <w:tc>
          <w:tcPr>
            <w:tcW w:w="1577" w:type="pct"/>
            <w:vMerge w:val="restart"/>
          </w:tcPr>
          <w:p w14:paraId="06E0106C" w14:textId="77777777" w:rsidR="009F5615" w:rsidRPr="00C9575C" w:rsidRDefault="009F5615"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snapToGrid w:val="0"/>
                <w:color w:val="000000"/>
                <w:sz w:val="22"/>
                <w:szCs w:val="22"/>
                <w:lang w:val="it-IT"/>
              </w:rPr>
              <w:t>Non è necessario alcun aggiustamento della dose.</w:t>
            </w:r>
          </w:p>
        </w:tc>
      </w:tr>
      <w:tr w:rsidR="009F5615" w:rsidRPr="00C9575C" w14:paraId="343582BD" w14:textId="77777777" w:rsidTr="004D03BC">
        <w:trPr>
          <w:cantSplit/>
        </w:trPr>
        <w:tc>
          <w:tcPr>
            <w:tcW w:w="1785" w:type="pct"/>
          </w:tcPr>
          <w:p w14:paraId="7D737E5E" w14:textId="77777777" w:rsidR="009F5615" w:rsidRPr="00C9575C" w:rsidRDefault="009F5615"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Didanosina/Lamivudina</w:t>
            </w:r>
          </w:p>
        </w:tc>
        <w:tc>
          <w:tcPr>
            <w:tcW w:w="1638" w:type="pct"/>
          </w:tcPr>
          <w:p w14:paraId="52C3D1EF" w14:textId="77777777" w:rsidR="009F5615" w:rsidRPr="00C9575C" w:rsidRDefault="009F5615" w:rsidP="00933DED">
            <w:pPr>
              <w:pStyle w:val="tabletextNS"/>
              <w:keepNext/>
              <w:rPr>
                <w:rFonts w:ascii="Times New Roman" w:hAnsi="Times New Roman" w:cs="Times New Roman"/>
                <w:snapToGrid w:val="0"/>
                <w:color w:val="000000"/>
                <w:sz w:val="22"/>
                <w:szCs w:val="22"/>
                <w:lang w:val="it-IT"/>
              </w:rPr>
            </w:pPr>
            <w:r w:rsidRPr="00C9575C">
              <w:rPr>
                <w:rFonts w:ascii="Times New Roman" w:hAnsi="Times New Roman" w:cs="Times New Roman"/>
                <w:snapToGrid w:val="0"/>
                <w:color w:val="000000"/>
                <w:sz w:val="22"/>
                <w:szCs w:val="22"/>
                <w:lang w:val="it-IT"/>
              </w:rPr>
              <w:t>Interazione non studiata.</w:t>
            </w:r>
          </w:p>
        </w:tc>
        <w:tc>
          <w:tcPr>
            <w:tcW w:w="1577" w:type="pct"/>
            <w:vMerge/>
          </w:tcPr>
          <w:p w14:paraId="3D59AC58" w14:textId="77777777" w:rsidR="009F5615" w:rsidRPr="00C9575C" w:rsidRDefault="009F5615" w:rsidP="00933DED">
            <w:pPr>
              <w:pStyle w:val="tabletextNS"/>
              <w:keepNext/>
              <w:rPr>
                <w:rFonts w:ascii="Times New Roman" w:hAnsi="Times New Roman" w:cs="Times New Roman"/>
                <w:color w:val="000000"/>
                <w:sz w:val="22"/>
                <w:szCs w:val="22"/>
                <w:lang w:val="it-IT"/>
              </w:rPr>
            </w:pPr>
          </w:p>
        </w:tc>
      </w:tr>
      <w:tr w:rsidR="009F5615" w:rsidRPr="00C9575C" w14:paraId="427A5791" w14:textId="77777777" w:rsidTr="004D03BC">
        <w:trPr>
          <w:cantSplit/>
        </w:trPr>
        <w:tc>
          <w:tcPr>
            <w:tcW w:w="1785" w:type="pct"/>
          </w:tcPr>
          <w:p w14:paraId="03E54D2D" w14:textId="77777777" w:rsidR="009F5615" w:rsidRPr="00C9575C" w:rsidRDefault="009F5615"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Zidovudina/Abacavir</w:t>
            </w:r>
          </w:p>
        </w:tc>
        <w:tc>
          <w:tcPr>
            <w:tcW w:w="1638" w:type="pct"/>
          </w:tcPr>
          <w:p w14:paraId="0ECE79E3" w14:textId="77777777" w:rsidR="009F5615" w:rsidRPr="00C9575C" w:rsidRDefault="009F5615" w:rsidP="00933DED">
            <w:pPr>
              <w:pStyle w:val="tabletextNS"/>
              <w:keepNext/>
              <w:rPr>
                <w:rFonts w:ascii="Times New Roman" w:hAnsi="Times New Roman" w:cs="Times New Roman"/>
                <w:snapToGrid w:val="0"/>
                <w:color w:val="000000"/>
                <w:sz w:val="22"/>
                <w:szCs w:val="22"/>
                <w:lang w:val="it-IT"/>
              </w:rPr>
            </w:pPr>
            <w:r w:rsidRPr="00C9575C">
              <w:rPr>
                <w:rFonts w:ascii="Times New Roman" w:hAnsi="Times New Roman" w:cs="Times New Roman"/>
                <w:snapToGrid w:val="0"/>
                <w:color w:val="000000"/>
                <w:sz w:val="22"/>
                <w:szCs w:val="22"/>
                <w:lang w:val="it-IT"/>
              </w:rPr>
              <w:t>Interazione non studiata.</w:t>
            </w:r>
          </w:p>
        </w:tc>
        <w:tc>
          <w:tcPr>
            <w:tcW w:w="1577" w:type="pct"/>
            <w:vMerge/>
          </w:tcPr>
          <w:p w14:paraId="2226B855" w14:textId="77777777" w:rsidR="009F5615" w:rsidRPr="00C9575C" w:rsidRDefault="009F5615" w:rsidP="00933DED">
            <w:pPr>
              <w:pStyle w:val="tabletextNS"/>
              <w:keepNext/>
              <w:rPr>
                <w:rFonts w:ascii="Times New Roman" w:hAnsi="Times New Roman" w:cs="Times New Roman"/>
                <w:color w:val="000000"/>
                <w:sz w:val="22"/>
                <w:szCs w:val="22"/>
                <w:lang w:val="it-IT"/>
              </w:rPr>
            </w:pPr>
          </w:p>
        </w:tc>
      </w:tr>
      <w:tr w:rsidR="009F5615" w:rsidRPr="00C9575C" w14:paraId="503A5143" w14:textId="77777777" w:rsidTr="004D03BC">
        <w:trPr>
          <w:cantSplit/>
        </w:trPr>
        <w:tc>
          <w:tcPr>
            <w:tcW w:w="1785" w:type="pct"/>
          </w:tcPr>
          <w:p w14:paraId="6A7E227A" w14:textId="77777777" w:rsidR="009F5615" w:rsidRPr="00C9575C" w:rsidRDefault="009F5615"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Zidovudina/Lamivudina</w:t>
            </w:r>
          </w:p>
          <w:p w14:paraId="03FD8322" w14:textId="77777777" w:rsidR="009F5615" w:rsidRPr="00C9575C" w:rsidRDefault="009F5615"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Zidovudina 300 mg singola dose</w:t>
            </w:r>
          </w:p>
          <w:p w14:paraId="2F9C568A" w14:textId="77777777" w:rsidR="009F5615" w:rsidRPr="00C9575C" w:rsidRDefault="009F5615"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Lamivudina 150 mg singola dose</w:t>
            </w:r>
          </w:p>
        </w:tc>
        <w:tc>
          <w:tcPr>
            <w:tcW w:w="1638" w:type="pct"/>
          </w:tcPr>
          <w:p w14:paraId="1BB0C5E6" w14:textId="77777777" w:rsidR="009F5615" w:rsidRPr="00C9575C" w:rsidRDefault="009F5615"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Lamivudina</w:t>
            </w:r>
            <w:r w:rsidR="00117CA3" w:rsidRPr="00C9575C">
              <w:rPr>
                <w:rFonts w:ascii="Times New Roman" w:hAnsi="Times New Roman" w:cs="Times New Roman"/>
                <w:color w:val="000000"/>
                <w:sz w:val="22"/>
                <w:szCs w:val="22"/>
                <w:lang w:val="it-IT"/>
              </w:rPr>
              <w:t>:</w:t>
            </w:r>
            <w:r w:rsidRPr="00C9575C">
              <w:rPr>
                <w:rFonts w:ascii="Times New Roman" w:hAnsi="Times New Roman" w:cs="Times New Roman"/>
                <w:color w:val="000000"/>
                <w:sz w:val="22"/>
                <w:szCs w:val="22"/>
                <w:lang w:val="it-IT"/>
              </w:rPr>
              <w:t xml:space="preserve"> AUC </w:t>
            </w:r>
            <w:r w:rsidRPr="00C9575C">
              <w:rPr>
                <w:rFonts w:ascii="Times New Roman" w:hAnsi="Times New Roman" w:cs="Times New Roman"/>
                <w:color w:val="000000"/>
                <w:sz w:val="22"/>
                <w:szCs w:val="22"/>
                <w:lang w:val="it-IT"/>
              </w:rPr>
              <w:sym w:font="Symbol" w:char="F0AB"/>
            </w:r>
          </w:p>
          <w:p w14:paraId="67A4D342" w14:textId="77777777" w:rsidR="009F5615" w:rsidRPr="00C9575C" w:rsidRDefault="009F5615" w:rsidP="00933DED">
            <w:pPr>
              <w:pStyle w:val="tabletextNS"/>
              <w:keepNext/>
              <w:rPr>
                <w:rFonts w:ascii="Times New Roman" w:hAnsi="Times New Roman" w:cs="Times New Roman"/>
                <w:snapToGrid w:val="0"/>
                <w:color w:val="000000"/>
                <w:sz w:val="22"/>
                <w:szCs w:val="22"/>
                <w:lang w:val="it-IT"/>
              </w:rPr>
            </w:pPr>
            <w:r w:rsidRPr="00C9575C">
              <w:rPr>
                <w:rFonts w:ascii="Times New Roman" w:hAnsi="Times New Roman" w:cs="Times New Roman"/>
                <w:color w:val="000000"/>
                <w:sz w:val="22"/>
                <w:szCs w:val="22"/>
                <w:lang w:val="it-IT"/>
              </w:rPr>
              <w:t>Zidovudina</w:t>
            </w:r>
            <w:r w:rsidR="00117CA3" w:rsidRPr="00C9575C">
              <w:rPr>
                <w:rFonts w:ascii="Times New Roman" w:hAnsi="Times New Roman" w:cs="Times New Roman"/>
                <w:color w:val="000000"/>
                <w:sz w:val="22"/>
                <w:szCs w:val="22"/>
                <w:lang w:val="it-IT"/>
              </w:rPr>
              <w:t>:</w:t>
            </w:r>
            <w:r w:rsidRPr="00C9575C">
              <w:rPr>
                <w:rFonts w:ascii="Times New Roman" w:hAnsi="Times New Roman" w:cs="Times New Roman"/>
                <w:color w:val="000000"/>
                <w:sz w:val="22"/>
                <w:szCs w:val="22"/>
                <w:lang w:val="it-IT"/>
              </w:rPr>
              <w:t xml:space="preserve"> AUC </w:t>
            </w:r>
            <w:r w:rsidRPr="00C9575C">
              <w:rPr>
                <w:rFonts w:ascii="Times New Roman" w:hAnsi="Times New Roman" w:cs="Times New Roman"/>
                <w:color w:val="000000"/>
                <w:sz w:val="22"/>
                <w:szCs w:val="22"/>
                <w:lang w:val="it-IT"/>
              </w:rPr>
              <w:sym w:font="Symbol" w:char="F0AB"/>
            </w:r>
          </w:p>
        </w:tc>
        <w:tc>
          <w:tcPr>
            <w:tcW w:w="1577" w:type="pct"/>
            <w:vMerge/>
          </w:tcPr>
          <w:p w14:paraId="3949687D" w14:textId="77777777" w:rsidR="009F5615" w:rsidRPr="00C9575C" w:rsidRDefault="009F5615" w:rsidP="00933DED">
            <w:pPr>
              <w:pStyle w:val="tabletextNS"/>
              <w:keepNext/>
              <w:rPr>
                <w:rFonts w:ascii="Times New Roman" w:hAnsi="Times New Roman" w:cs="Times New Roman"/>
                <w:color w:val="000000"/>
                <w:sz w:val="22"/>
                <w:szCs w:val="22"/>
                <w:lang w:val="it-IT"/>
              </w:rPr>
            </w:pPr>
          </w:p>
        </w:tc>
      </w:tr>
      <w:tr w:rsidR="009B78F0" w:rsidRPr="00C9575C" w14:paraId="3EF894E9" w14:textId="77777777" w:rsidTr="004D03BC">
        <w:trPr>
          <w:cantSplit/>
        </w:trPr>
        <w:tc>
          <w:tcPr>
            <w:tcW w:w="1785" w:type="pct"/>
          </w:tcPr>
          <w:p w14:paraId="684C469D" w14:textId="77777777" w:rsidR="009B78F0" w:rsidRPr="00C9575C" w:rsidRDefault="009B78F0" w:rsidP="00933DED">
            <w:pPr>
              <w:pStyle w:val="tabletextNS"/>
              <w:keepNext/>
              <w:rPr>
                <w:rFonts w:ascii="Times New Roman" w:hAnsi="Times New Roman" w:cs="Times New Roman"/>
                <w:sz w:val="22"/>
                <w:szCs w:val="22"/>
                <w:lang w:val="it-IT"/>
              </w:rPr>
            </w:pPr>
            <w:r w:rsidRPr="00C03451">
              <w:rPr>
                <w:rFonts w:ascii="Times New Roman" w:hAnsi="Times New Roman" w:cs="Times New Roman"/>
                <w:sz w:val="22"/>
                <w:szCs w:val="22"/>
                <w:lang w:val="it-IT"/>
              </w:rPr>
              <w:t>Emtricitabina/Lamivudina</w:t>
            </w:r>
          </w:p>
        </w:tc>
        <w:tc>
          <w:tcPr>
            <w:tcW w:w="1638" w:type="pct"/>
          </w:tcPr>
          <w:p w14:paraId="513DD59E"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snapToGrid w:val="0"/>
                <w:color w:val="000000"/>
                <w:sz w:val="22"/>
                <w:szCs w:val="22"/>
                <w:lang w:val="it-IT"/>
              </w:rPr>
              <w:t>Interazione non studiata.</w:t>
            </w:r>
          </w:p>
        </w:tc>
        <w:tc>
          <w:tcPr>
            <w:tcW w:w="1577" w:type="pct"/>
          </w:tcPr>
          <w:p w14:paraId="4C38ED68"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A causa delle similitudini</w:t>
            </w:r>
            <w:r w:rsidR="00262B20" w:rsidRPr="00C9575C">
              <w:rPr>
                <w:rFonts w:ascii="Times New Roman" w:hAnsi="Times New Roman" w:cs="Times New Roman"/>
                <w:color w:val="000000"/>
                <w:sz w:val="22"/>
                <w:szCs w:val="22"/>
                <w:lang w:val="it-IT"/>
              </w:rPr>
              <w:t>,</w:t>
            </w:r>
            <w:r w:rsidRPr="00C9575C">
              <w:rPr>
                <w:rFonts w:ascii="Times New Roman" w:hAnsi="Times New Roman" w:cs="Times New Roman"/>
                <w:color w:val="000000"/>
                <w:sz w:val="22"/>
                <w:szCs w:val="22"/>
                <w:lang w:val="it-IT"/>
              </w:rPr>
              <w:t xml:space="preserve"> Kivexa non deve essere </w:t>
            </w:r>
            <w:r w:rsidR="0006029A" w:rsidRPr="00C9575C">
              <w:rPr>
                <w:rFonts w:ascii="Times New Roman" w:hAnsi="Times New Roman" w:cs="Times New Roman"/>
                <w:color w:val="000000"/>
                <w:sz w:val="22"/>
                <w:szCs w:val="22"/>
                <w:lang w:val="it-IT"/>
              </w:rPr>
              <w:t>co-</w:t>
            </w:r>
            <w:r w:rsidRPr="00C9575C">
              <w:rPr>
                <w:rFonts w:ascii="Times New Roman" w:hAnsi="Times New Roman" w:cs="Times New Roman"/>
                <w:color w:val="000000"/>
                <w:sz w:val="22"/>
                <w:szCs w:val="22"/>
                <w:lang w:val="it-IT"/>
              </w:rPr>
              <w:t>somministrato con altri analoghi della citidina</w:t>
            </w:r>
            <w:r w:rsidR="00262B20" w:rsidRPr="00C9575C">
              <w:rPr>
                <w:rFonts w:ascii="Times New Roman" w:hAnsi="Times New Roman" w:cs="Times New Roman"/>
                <w:color w:val="000000"/>
                <w:sz w:val="22"/>
                <w:szCs w:val="22"/>
                <w:lang w:val="it-IT"/>
              </w:rPr>
              <w:t>,</w:t>
            </w:r>
            <w:r w:rsidR="00CB272B" w:rsidRPr="00C9575C">
              <w:rPr>
                <w:rFonts w:ascii="Times New Roman" w:hAnsi="Times New Roman" w:cs="Times New Roman"/>
                <w:color w:val="000000"/>
                <w:sz w:val="22"/>
                <w:szCs w:val="22"/>
                <w:lang w:val="it-IT"/>
              </w:rPr>
              <w:t xml:space="preserve"> </w:t>
            </w:r>
            <w:r w:rsidRPr="00C9575C">
              <w:rPr>
                <w:rFonts w:ascii="Times New Roman" w:hAnsi="Times New Roman" w:cs="Times New Roman"/>
                <w:color w:val="000000"/>
                <w:sz w:val="22"/>
                <w:szCs w:val="22"/>
                <w:lang w:val="it-IT"/>
              </w:rPr>
              <w:t>come emtricitabina.</w:t>
            </w:r>
          </w:p>
        </w:tc>
      </w:tr>
      <w:tr w:rsidR="009B78F0" w:rsidRPr="00C9575C" w14:paraId="72920AC8" w14:textId="77777777" w:rsidTr="00933DED">
        <w:trPr>
          <w:cantSplit/>
        </w:trPr>
        <w:tc>
          <w:tcPr>
            <w:tcW w:w="5000" w:type="pct"/>
            <w:gridSpan w:val="3"/>
          </w:tcPr>
          <w:p w14:paraId="61757839"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b/>
                <w:sz w:val="22"/>
                <w:szCs w:val="22"/>
                <w:lang w:val="it-IT"/>
              </w:rPr>
              <w:t>MEDICINALI ANTINFETTIVI</w:t>
            </w:r>
          </w:p>
        </w:tc>
      </w:tr>
      <w:tr w:rsidR="009B78F0" w:rsidRPr="00447F27" w14:paraId="17690F44" w14:textId="77777777" w:rsidTr="004D03BC">
        <w:trPr>
          <w:cantSplit/>
        </w:trPr>
        <w:tc>
          <w:tcPr>
            <w:tcW w:w="1785" w:type="pct"/>
          </w:tcPr>
          <w:p w14:paraId="67B47FF5" w14:textId="77777777" w:rsidR="009B78F0" w:rsidRPr="00C9575C" w:rsidRDefault="009B78F0" w:rsidP="00933DED">
            <w:pPr>
              <w:pStyle w:val="tabletextNS"/>
              <w:keepNext/>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Trimetoprim/sulfametossazolo (Co-trimossazolo)/Abacavir</w:t>
            </w:r>
          </w:p>
        </w:tc>
        <w:tc>
          <w:tcPr>
            <w:tcW w:w="1638" w:type="pct"/>
          </w:tcPr>
          <w:p w14:paraId="129DCA06" w14:textId="77777777" w:rsidR="009B78F0" w:rsidRPr="00C9575C" w:rsidRDefault="009B78F0" w:rsidP="00933DED">
            <w:pPr>
              <w:pStyle w:val="tabletextNS"/>
              <w:keepNext/>
              <w:rPr>
                <w:rFonts w:ascii="Times New Roman" w:hAnsi="Times New Roman" w:cs="Times New Roman"/>
                <w:snapToGrid w:val="0"/>
                <w:color w:val="000000"/>
                <w:sz w:val="22"/>
                <w:szCs w:val="22"/>
                <w:lang w:val="it-IT"/>
              </w:rPr>
            </w:pPr>
            <w:r w:rsidRPr="00C9575C">
              <w:rPr>
                <w:rFonts w:ascii="Times New Roman" w:hAnsi="Times New Roman" w:cs="Times New Roman"/>
                <w:color w:val="000000"/>
                <w:sz w:val="22"/>
                <w:szCs w:val="22"/>
                <w:lang w:val="it-IT"/>
              </w:rPr>
              <w:t>Interazione non studiata.</w:t>
            </w:r>
          </w:p>
        </w:tc>
        <w:tc>
          <w:tcPr>
            <w:tcW w:w="1577" w:type="pct"/>
            <w:vMerge w:val="restart"/>
          </w:tcPr>
          <w:p w14:paraId="4A5C10DC"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Non è necessario alcun aggiustamento della dose di Kivexa</w:t>
            </w:r>
            <w:r w:rsidR="00117CA3" w:rsidRPr="00C9575C">
              <w:rPr>
                <w:rFonts w:ascii="Times New Roman" w:hAnsi="Times New Roman" w:cs="Times New Roman"/>
                <w:color w:val="000000"/>
                <w:sz w:val="22"/>
                <w:szCs w:val="22"/>
                <w:lang w:val="it-IT"/>
              </w:rPr>
              <w:t>.</w:t>
            </w:r>
          </w:p>
          <w:p w14:paraId="48FFA91B" w14:textId="77777777" w:rsidR="00CB272B" w:rsidRPr="00C9575C" w:rsidRDefault="00CB272B" w:rsidP="00933DED">
            <w:pPr>
              <w:pStyle w:val="tabletextNS"/>
              <w:keepNext/>
              <w:rPr>
                <w:rFonts w:ascii="Times New Roman" w:hAnsi="Times New Roman" w:cs="Times New Roman"/>
                <w:color w:val="000000"/>
                <w:sz w:val="22"/>
                <w:szCs w:val="22"/>
                <w:lang w:val="it-IT"/>
              </w:rPr>
            </w:pPr>
          </w:p>
          <w:p w14:paraId="13073AD7"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 xml:space="preserve">Qualora venga richiesta la co-somministrazione con co-trimossazolo, si raccomanda che i pazienti siano monitorati clinicamente. Alte dosi di trimetoprim/sulfametossazolo per il trattamento della polmonite da </w:t>
            </w:r>
            <w:r w:rsidRPr="00C9575C">
              <w:rPr>
                <w:rFonts w:ascii="Times New Roman" w:hAnsi="Times New Roman" w:cs="Times New Roman"/>
                <w:i/>
                <w:color w:val="000000"/>
                <w:sz w:val="22"/>
                <w:szCs w:val="22"/>
                <w:lang w:val="it-IT"/>
              </w:rPr>
              <w:t>Pneumocystis jirovecii</w:t>
            </w:r>
            <w:r w:rsidRPr="00C9575C">
              <w:rPr>
                <w:rFonts w:ascii="Times New Roman" w:hAnsi="Times New Roman" w:cs="Times New Roman"/>
                <w:color w:val="000000"/>
                <w:sz w:val="22"/>
                <w:szCs w:val="22"/>
                <w:lang w:val="it-IT"/>
              </w:rPr>
              <w:t xml:space="preserve"> (PCP) e della toxoplasmosi non sono state studiate e devono essere evitate. </w:t>
            </w:r>
          </w:p>
        </w:tc>
      </w:tr>
      <w:tr w:rsidR="009B78F0" w:rsidRPr="00447F27" w14:paraId="5635C966" w14:textId="77777777" w:rsidTr="004D03BC">
        <w:trPr>
          <w:cantSplit/>
          <w:trHeight w:val="3033"/>
        </w:trPr>
        <w:tc>
          <w:tcPr>
            <w:tcW w:w="1785" w:type="pct"/>
          </w:tcPr>
          <w:p w14:paraId="347B7048"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Trimetoprim/sulfametossazolo (Co-trimossazolo)/Lamivudina</w:t>
            </w:r>
          </w:p>
          <w:p w14:paraId="7E8F460E" w14:textId="77777777" w:rsidR="009B78F0" w:rsidRPr="00C9575C" w:rsidRDefault="009B78F0" w:rsidP="00933DED">
            <w:pPr>
              <w:pStyle w:val="tabletextNS"/>
              <w:keepNext/>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(160 mg/800 mg una volta al giorno per 5 giorni/300 mg singola dose)</w:t>
            </w:r>
          </w:p>
        </w:tc>
        <w:tc>
          <w:tcPr>
            <w:tcW w:w="1638" w:type="pct"/>
          </w:tcPr>
          <w:p w14:paraId="597F875D"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 xml:space="preserve">Lamivudina: AUC </w:t>
            </w:r>
            <w:r w:rsidRPr="00C9575C">
              <w:rPr>
                <w:rFonts w:ascii="Times New Roman" w:hAnsi="Times New Roman" w:cs="Times New Roman"/>
                <w:color w:val="000000"/>
                <w:sz w:val="22"/>
                <w:szCs w:val="22"/>
                <w:lang w:val="it-IT"/>
              </w:rPr>
              <w:sym w:font="Symbol" w:char="F0AD"/>
            </w:r>
            <w:r w:rsidRPr="00C9575C">
              <w:rPr>
                <w:rFonts w:ascii="Times New Roman" w:hAnsi="Times New Roman" w:cs="Times New Roman"/>
                <w:color w:val="000000"/>
                <w:sz w:val="22"/>
                <w:szCs w:val="22"/>
                <w:lang w:val="it-IT"/>
              </w:rPr>
              <w:t>40%</w:t>
            </w:r>
          </w:p>
          <w:p w14:paraId="0C78D36E" w14:textId="77777777" w:rsidR="009B78F0" w:rsidRPr="00C9575C" w:rsidRDefault="009B78F0" w:rsidP="00933DED">
            <w:pPr>
              <w:pStyle w:val="tabletextNS"/>
              <w:keepNext/>
              <w:rPr>
                <w:rFonts w:ascii="Times New Roman" w:hAnsi="Times New Roman" w:cs="Times New Roman"/>
                <w:color w:val="000000"/>
                <w:sz w:val="22"/>
                <w:szCs w:val="22"/>
                <w:lang w:val="it-IT"/>
              </w:rPr>
            </w:pPr>
          </w:p>
          <w:p w14:paraId="1253D1DF"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 xml:space="preserve">Trimetoprim: AUC </w:t>
            </w:r>
            <w:r w:rsidRPr="00C9575C">
              <w:rPr>
                <w:rFonts w:ascii="Times New Roman" w:hAnsi="Times New Roman" w:cs="Times New Roman"/>
                <w:color w:val="000000"/>
                <w:sz w:val="22"/>
                <w:szCs w:val="22"/>
                <w:lang w:val="it-IT"/>
              </w:rPr>
              <w:sym w:font="Symbol" w:char="F0AB"/>
            </w:r>
          </w:p>
          <w:p w14:paraId="34A70040" w14:textId="77777777" w:rsidR="009B78F0" w:rsidRPr="00C9575C" w:rsidRDefault="009B78F0"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 xml:space="preserve">Sulfametossazolo: AUC </w:t>
            </w:r>
            <w:r w:rsidRPr="00C9575C">
              <w:rPr>
                <w:rFonts w:ascii="Times New Roman" w:hAnsi="Times New Roman" w:cs="Times New Roman"/>
                <w:color w:val="000000"/>
                <w:sz w:val="22"/>
                <w:szCs w:val="22"/>
                <w:lang w:val="it-IT"/>
              </w:rPr>
              <w:sym w:font="Symbol" w:char="F0AB"/>
            </w:r>
          </w:p>
          <w:p w14:paraId="05C15F7C" w14:textId="77777777" w:rsidR="009B78F0" w:rsidRPr="00C9575C" w:rsidRDefault="009B78F0" w:rsidP="00933DED">
            <w:pPr>
              <w:pStyle w:val="tabletextNS"/>
              <w:keepNext/>
              <w:rPr>
                <w:rFonts w:ascii="Times New Roman" w:hAnsi="Times New Roman" w:cs="Times New Roman"/>
                <w:color w:val="000000"/>
                <w:sz w:val="22"/>
                <w:szCs w:val="22"/>
                <w:lang w:val="it-IT"/>
              </w:rPr>
            </w:pPr>
          </w:p>
          <w:p w14:paraId="6678CF6B" w14:textId="77777777" w:rsidR="009B78F0" w:rsidRPr="00C9575C" w:rsidRDefault="009B78F0" w:rsidP="00933DED">
            <w:pPr>
              <w:pStyle w:val="tabletextNS"/>
              <w:keepNext/>
              <w:rPr>
                <w:rFonts w:ascii="Times New Roman" w:hAnsi="Times New Roman" w:cs="Times New Roman"/>
                <w:snapToGrid w:val="0"/>
                <w:color w:val="000000"/>
                <w:sz w:val="22"/>
                <w:szCs w:val="22"/>
                <w:lang w:val="it-IT"/>
              </w:rPr>
            </w:pPr>
            <w:r w:rsidRPr="00C9575C">
              <w:rPr>
                <w:rFonts w:ascii="Times New Roman" w:hAnsi="Times New Roman" w:cs="Times New Roman"/>
                <w:color w:val="000000"/>
                <w:sz w:val="22"/>
                <w:szCs w:val="22"/>
                <w:lang w:val="it-IT"/>
              </w:rPr>
              <w:t>(inibizione dei trasportatori dei cationi organici)</w:t>
            </w:r>
          </w:p>
        </w:tc>
        <w:tc>
          <w:tcPr>
            <w:tcW w:w="1577" w:type="pct"/>
            <w:vMerge/>
          </w:tcPr>
          <w:p w14:paraId="43BA1EA0" w14:textId="77777777" w:rsidR="009B78F0" w:rsidRPr="00C9575C" w:rsidRDefault="009B78F0" w:rsidP="00933DED">
            <w:pPr>
              <w:pStyle w:val="tabletextNS"/>
              <w:keepNext/>
              <w:rPr>
                <w:rFonts w:ascii="Times New Roman" w:hAnsi="Times New Roman" w:cs="Times New Roman"/>
                <w:color w:val="000000"/>
                <w:sz w:val="22"/>
                <w:szCs w:val="22"/>
                <w:lang w:val="it-IT"/>
              </w:rPr>
            </w:pPr>
          </w:p>
        </w:tc>
      </w:tr>
      <w:tr w:rsidR="009B78F0" w:rsidRPr="00C9575C" w:rsidDel="005B0600" w14:paraId="7F412048" w14:textId="77777777" w:rsidTr="00933DED">
        <w:trPr>
          <w:cantSplit/>
        </w:trPr>
        <w:tc>
          <w:tcPr>
            <w:tcW w:w="5000" w:type="pct"/>
            <w:gridSpan w:val="3"/>
          </w:tcPr>
          <w:p w14:paraId="687C2FC2" w14:textId="77777777" w:rsidR="009B78F0" w:rsidRPr="00C9575C" w:rsidDel="005B0600" w:rsidRDefault="009B78F0"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color w:val="000000"/>
                <w:sz w:val="22"/>
                <w:szCs w:val="22"/>
                <w:lang w:val="it-IT"/>
              </w:rPr>
              <w:t>ANTIMICOBATTERICI</w:t>
            </w:r>
          </w:p>
        </w:tc>
      </w:tr>
      <w:tr w:rsidR="009E552C" w:rsidRPr="00C9575C" w14:paraId="1AB40EA1" w14:textId="77777777" w:rsidTr="004D03BC">
        <w:trPr>
          <w:cantSplit/>
        </w:trPr>
        <w:tc>
          <w:tcPr>
            <w:tcW w:w="1785" w:type="pct"/>
          </w:tcPr>
          <w:p w14:paraId="00805F33" w14:textId="77777777" w:rsidR="009E552C" w:rsidRPr="00C9575C" w:rsidRDefault="009E552C"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Rifampicina/Abacavir</w:t>
            </w:r>
          </w:p>
        </w:tc>
        <w:tc>
          <w:tcPr>
            <w:tcW w:w="1638" w:type="pct"/>
          </w:tcPr>
          <w:p w14:paraId="57D0D083" w14:textId="77777777" w:rsidR="009E552C" w:rsidRPr="00C9575C" w:rsidRDefault="009E552C"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Interazione non studiata.</w:t>
            </w:r>
          </w:p>
          <w:p w14:paraId="00DC1925" w14:textId="77777777" w:rsidR="009E552C" w:rsidRPr="00C9575C" w:rsidRDefault="009E552C" w:rsidP="00933DED">
            <w:pPr>
              <w:pStyle w:val="tabletextNS"/>
              <w:keepNext/>
              <w:rPr>
                <w:rFonts w:ascii="Times New Roman" w:hAnsi="Times New Roman" w:cs="Times New Roman"/>
                <w:color w:val="000000"/>
                <w:sz w:val="22"/>
                <w:szCs w:val="22"/>
                <w:lang w:val="it-IT"/>
              </w:rPr>
            </w:pPr>
          </w:p>
          <w:p w14:paraId="16BD606F" w14:textId="77777777" w:rsidR="009E552C" w:rsidRPr="00C9575C" w:rsidRDefault="009E552C" w:rsidP="00933DED">
            <w:pPr>
              <w:pStyle w:val="tabletextNS"/>
              <w:keepNext/>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Da potenziale a leggera diminuzione delle concentrazioni plasmatiche di abacavir mediante induzione dell’UGT.</w:t>
            </w:r>
          </w:p>
        </w:tc>
        <w:tc>
          <w:tcPr>
            <w:tcW w:w="1577" w:type="pct"/>
            <w:vMerge w:val="restart"/>
          </w:tcPr>
          <w:p w14:paraId="7A293A72" w14:textId="77777777" w:rsidR="009E552C" w:rsidRPr="00C9575C" w:rsidRDefault="009E552C"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Dati insufficienti per raccomandare un aggiustamento della dose.</w:t>
            </w:r>
          </w:p>
        </w:tc>
      </w:tr>
      <w:tr w:rsidR="009E552C" w:rsidRPr="00C9575C" w14:paraId="1B36CF3C" w14:textId="77777777" w:rsidTr="004D03BC">
        <w:trPr>
          <w:cantSplit/>
        </w:trPr>
        <w:tc>
          <w:tcPr>
            <w:tcW w:w="1785" w:type="pct"/>
          </w:tcPr>
          <w:p w14:paraId="08A2053E" w14:textId="77777777" w:rsidR="009E552C" w:rsidRPr="00C9575C" w:rsidRDefault="009E552C"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Rifampicina/Lamivudina</w:t>
            </w:r>
          </w:p>
        </w:tc>
        <w:tc>
          <w:tcPr>
            <w:tcW w:w="1638" w:type="pct"/>
          </w:tcPr>
          <w:p w14:paraId="4AAFCB54" w14:textId="77777777" w:rsidR="009E552C" w:rsidRPr="00C9575C" w:rsidRDefault="009E552C" w:rsidP="00933DED">
            <w:pPr>
              <w:pStyle w:val="tabletextNS"/>
              <w:keepNext/>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Interazione non studiata.</w:t>
            </w:r>
          </w:p>
        </w:tc>
        <w:tc>
          <w:tcPr>
            <w:tcW w:w="1577" w:type="pct"/>
            <w:vMerge/>
          </w:tcPr>
          <w:p w14:paraId="55182B02" w14:textId="77777777" w:rsidR="009E552C" w:rsidRPr="00C9575C" w:rsidRDefault="009E552C" w:rsidP="00933DED">
            <w:pPr>
              <w:pStyle w:val="tabletextNS"/>
              <w:keepNext/>
              <w:rPr>
                <w:rFonts w:ascii="Times New Roman" w:hAnsi="Times New Roman" w:cs="Times New Roman"/>
                <w:color w:val="000000"/>
                <w:sz w:val="22"/>
                <w:szCs w:val="22"/>
                <w:lang w:val="it-IT"/>
              </w:rPr>
            </w:pPr>
          </w:p>
        </w:tc>
      </w:tr>
    </w:tbl>
    <w:p w14:paraId="20B8ECAB" w14:textId="77777777" w:rsidR="009B78F0" w:rsidRPr="00C03451" w:rsidRDefault="009B78F0">
      <w:pPr>
        <w:rPr>
          <w:lang w:val="it-IT"/>
        </w:rPr>
      </w:pPr>
      <w:r w:rsidRPr="00C03451">
        <w:rPr>
          <w:lang w:val="it-IT"/>
        </w:rPr>
        <w:br w:type="page"/>
      </w:r>
    </w:p>
    <w:tbl>
      <w:tblPr>
        <w:tblpPr w:leftFromText="180" w:rightFromText="180" w:vertAnchor="text" w:horzAnchor="margin" w:tblpX="108" w:tblpY="154"/>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3074"/>
        <w:gridCol w:w="2571"/>
      </w:tblGrid>
      <w:tr w:rsidR="009B78F0" w:rsidRPr="00C9575C" w14:paraId="5155502E" w14:textId="77777777" w:rsidTr="00D05FE0">
        <w:trPr>
          <w:cantSplit/>
        </w:trPr>
        <w:tc>
          <w:tcPr>
            <w:tcW w:w="1801" w:type="pct"/>
          </w:tcPr>
          <w:p w14:paraId="715C149D" w14:textId="77777777" w:rsidR="009B78F0" w:rsidRPr="00C9575C" w:rsidRDefault="009B78F0"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lastRenderedPageBreak/>
              <w:t>Farmaci per area terapeutica</w:t>
            </w:r>
          </w:p>
          <w:p w14:paraId="748FC996" w14:textId="77777777" w:rsidR="009B78F0" w:rsidRPr="00C9575C" w:rsidRDefault="009B78F0" w:rsidP="00933DED">
            <w:pPr>
              <w:pStyle w:val="tabletextNS"/>
              <w:keepNext/>
              <w:rPr>
                <w:rFonts w:ascii="Times New Roman" w:hAnsi="Times New Roman" w:cs="Times New Roman"/>
                <w:b/>
                <w:sz w:val="22"/>
                <w:szCs w:val="22"/>
                <w:lang w:val="it-IT"/>
              </w:rPr>
            </w:pPr>
          </w:p>
        </w:tc>
        <w:tc>
          <w:tcPr>
            <w:tcW w:w="1742" w:type="pct"/>
          </w:tcPr>
          <w:p w14:paraId="4B3577C0" w14:textId="77777777" w:rsidR="009B78F0" w:rsidRPr="00C9575C" w:rsidRDefault="009B78F0"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Interazioni</w:t>
            </w:r>
          </w:p>
          <w:p w14:paraId="5D3FEF1E" w14:textId="77777777" w:rsidR="009B78F0" w:rsidRPr="00C9575C" w:rsidRDefault="009B78F0"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Cambiamenti nella media geometrica (%)</w:t>
            </w:r>
          </w:p>
          <w:p w14:paraId="78C54117" w14:textId="77777777" w:rsidR="009B78F0" w:rsidRPr="00C9575C" w:rsidRDefault="009B78F0"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(Possibile meccanismo)</w:t>
            </w:r>
          </w:p>
        </w:tc>
        <w:tc>
          <w:tcPr>
            <w:tcW w:w="1457" w:type="pct"/>
          </w:tcPr>
          <w:p w14:paraId="425EFE79" w14:textId="77777777" w:rsidR="009B78F0" w:rsidRPr="00C9575C" w:rsidRDefault="009B78F0"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Raccomandazioni relative alla co-somministrazione</w:t>
            </w:r>
          </w:p>
        </w:tc>
      </w:tr>
      <w:tr w:rsidR="00BA7D7D" w:rsidRPr="00C9575C" w14:paraId="6B5C3D0D" w14:textId="77777777" w:rsidTr="00933DED">
        <w:trPr>
          <w:cantSplit/>
        </w:trPr>
        <w:tc>
          <w:tcPr>
            <w:tcW w:w="5000" w:type="pct"/>
            <w:gridSpan w:val="3"/>
          </w:tcPr>
          <w:p w14:paraId="50F1E7F3"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b/>
                <w:color w:val="000000"/>
                <w:sz w:val="22"/>
                <w:szCs w:val="22"/>
                <w:lang w:val="it-IT"/>
              </w:rPr>
              <w:t>ANTICONVULSIVANTI</w:t>
            </w:r>
          </w:p>
        </w:tc>
      </w:tr>
      <w:tr w:rsidR="00BA7D7D" w:rsidRPr="00C9575C" w14:paraId="71B2ACAF" w14:textId="77777777" w:rsidTr="00D05FE0">
        <w:trPr>
          <w:cantSplit/>
        </w:trPr>
        <w:tc>
          <w:tcPr>
            <w:tcW w:w="1801" w:type="pct"/>
          </w:tcPr>
          <w:p w14:paraId="4C9F0B84" w14:textId="77777777" w:rsidR="00BA7D7D" w:rsidRPr="00C9575C" w:rsidRDefault="00BA7D7D"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Fenobarbital/Abacavir</w:t>
            </w:r>
          </w:p>
        </w:tc>
        <w:tc>
          <w:tcPr>
            <w:tcW w:w="1742" w:type="pct"/>
          </w:tcPr>
          <w:p w14:paraId="0C89A118"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Interazione non studiata.</w:t>
            </w:r>
          </w:p>
          <w:p w14:paraId="16F5DCE7" w14:textId="77777777" w:rsidR="00BA7D7D" w:rsidRPr="00C9575C" w:rsidRDefault="00BA7D7D" w:rsidP="00933DED">
            <w:pPr>
              <w:pStyle w:val="tabletextNS"/>
              <w:keepNext/>
              <w:rPr>
                <w:rFonts w:ascii="Times New Roman" w:hAnsi="Times New Roman" w:cs="Times New Roman"/>
                <w:sz w:val="22"/>
                <w:szCs w:val="22"/>
                <w:lang w:val="it-IT"/>
              </w:rPr>
            </w:pPr>
          </w:p>
          <w:p w14:paraId="712852D2" w14:textId="77777777" w:rsidR="00BA7D7D" w:rsidRPr="00C9575C" w:rsidRDefault="00BA7D7D" w:rsidP="00933DED">
            <w:pPr>
              <w:pStyle w:val="tabletextNS"/>
              <w:keepNext/>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Da potenziale a leggera diminuzione delle concentrazioni plasmatiche di abacavir mediante induzione dell’UGT.</w:t>
            </w:r>
          </w:p>
        </w:tc>
        <w:tc>
          <w:tcPr>
            <w:tcW w:w="1457" w:type="pct"/>
            <w:vMerge w:val="restart"/>
          </w:tcPr>
          <w:p w14:paraId="32FE3861"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 xml:space="preserve">Dati insufficienti per raccomandare un aggiustamento della dose. </w:t>
            </w:r>
          </w:p>
          <w:p w14:paraId="5DC59EE7" w14:textId="77777777" w:rsidR="00BA7D7D" w:rsidRPr="00C9575C" w:rsidRDefault="00BA7D7D" w:rsidP="00933DED">
            <w:pPr>
              <w:pStyle w:val="tabletextNS"/>
              <w:keepNext/>
              <w:rPr>
                <w:rFonts w:ascii="Times New Roman" w:hAnsi="Times New Roman" w:cs="Times New Roman"/>
                <w:color w:val="000000"/>
                <w:sz w:val="22"/>
                <w:szCs w:val="22"/>
                <w:lang w:val="it-IT"/>
              </w:rPr>
            </w:pPr>
          </w:p>
          <w:p w14:paraId="016DF091" w14:textId="77777777" w:rsidR="00BA7D7D" w:rsidRPr="00C9575C" w:rsidRDefault="00BA7D7D" w:rsidP="00933DED">
            <w:pPr>
              <w:pStyle w:val="tabletextNS"/>
              <w:keepNext/>
              <w:rPr>
                <w:rFonts w:ascii="Times New Roman" w:hAnsi="Times New Roman" w:cs="Times New Roman"/>
                <w:color w:val="000000"/>
                <w:sz w:val="22"/>
                <w:szCs w:val="22"/>
                <w:lang w:val="it-IT"/>
              </w:rPr>
            </w:pPr>
          </w:p>
        </w:tc>
      </w:tr>
      <w:tr w:rsidR="00BA7D7D" w:rsidRPr="00C9575C" w14:paraId="2D6AE628" w14:textId="77777777" w:rsidTr="00D05FE0">
        <w:trPr>
          <w:cantSplit/>
        </w:trPr>
        <w:tc>
          <w:tcPr>
            <w:tcW w:w="1801" w:type="pct"/>
          </w:tcPr>
          <w:p w14:paraId="6E97B6C0" w14:textId="77777777" w:rsidR="00BA7D7D" w:rsidRPr="00C9575C" w:rsidRDefault="00BA7D7D"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Fenobarbital/Lamivudina</w:t>
            </w:r>
          </w:p>
        </w:tc>
        <w:tc>
          <w:tcPr>
            <w:tcW w:w="1742" w:type="pct"/>
          </w:tcPr>
          <w:p w14:paraId="4D4ACED2" w14:textId="77777777" w:rsidR="00BA7D7D" w:rsidRPr="00C9575C" w:rsidRDefault="00BA7D7D" w:rsidP="00933DED">
            <w:pPr>
              <w:pStyle w:val="tabletextNS"/>
              <w:keepNext/>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Interazione non studiata.</w:t>
            </w:r>
          </w:p>
        </w:tc>
        <w:tc>
          <w:tcPr>
            <w:tcW w:w="1457" w:type="pct"/>
            <w:vMerge/>
          </w:tcPr>
          <w:p w14:paraId="49ED3DDB" w14:textId="77777777" w:rsidR="00BA7D7D" w:rsidRPr="00C9575C" w:rsidRDefault="00BA7D7D" w:rsidP="00933DED">
            <w:pPr>
              <w:pStyle w:val="tabletextNS"/>
              <w:keepNext/>
              <w:rPr>
                <w:rFonts w:ascii="Times New Roman" w:hAnsi="Times New Roman" w:cs="Times New Roman"/>
                <w:color w:val="000000"/>
                <w:sz w:val="22"/>
                <w:szCs w:val="22"/>
                <w:lang w:val="it-IT"/>
              </w:rPr>
            </w:pPr>
          </w:p>
        </w:tc>
      </w:tr>
      <w:tr w:rsidR="00BA7D7D" w:rsidRPr="00C9575C" w14:paraId="475EBB47" w14:textId="77777777" w:rsidTr="00D05FE0">
        <w:trPr>
          <w:cantSplit/>
        </w:trPr>
        <w:tc>
          <w:tcPr>
            <w:tcW w:w="1801" w:type="pct"/>
          </w:tcPr>
          <w:p w14:paraId="790C6013" w14:textId="77777777" w:rsidR="00BA7D7D" w:rsidRPr="00C9575C" w:rsidRDefault="00BA7D7D"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Fenitoina/Abacavir</w:t>
            </w:r>
          </w:p>
        </w:tc>
        <w:tc>
          <w:tcPr>
            <w:tcW w:w="1742" w:type="pct"/>
          </w:tcPr>
          <w:p w14:paraId="6ACEA70B"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Interazione non studiata.</w:t>
            </w:r>
          </w:p>
          <w:p w14:paraId="14EB51CD" w14:textId="77777777" w:rsidR="00BA7D7D" w:rsidRPr="00C9575C" w:rsidRDefault="00BA7D7D" w:rsidP="00933DED">
            <w:pPr>
              <w:pStyle w:val="tabletextNS"/>
              <w:keepNext/>
              <w:rPr>
                <w:rFonts w:ascii="Times New Roman" w:hAnsi="Times New Roman" w:cs="Times New Roman"/>
                <w:sz w:val="22"/>
                <w:szCs w:val="22"/>
                <w:lang w:val="it-IT"/>
              </w:rPr>
            </w:pPr>
          </w:p>
          <w:p w14:paraId="22ADE23E" w14:textId="77777777" w:rsidR="00BA7D7D" w:rsidRPr="00C9575C" w:rsidRDefault="00BA7D7D" w:rsidP="00933DED">
            <w:pPr>
              <w:pStyle w:val="tabletextNS"/>
              <w:keepNext/>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Da potenziale a leggera diminuzione delle concentrazioni plasmatiche di abacavir mediante induzione dell’UGT.</w:t>
            </w:r>
          </w:p>
        </w:tc>
        <w:tc>
          <w:tcPr>
            <w:tcW w:w="1457" w:type="pct"/>
            <w:vMerge w:val="restart"/>
          </w:tcPr>
          <w:p w14:paraId="03CD23EB"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Dati insufficienti per raccomandare un aggiustamento della dose.</w:t>
            </w:r>
          </w:p>
          <w:p w14:paraId="6FE7951B" w14:textId="77777777" w:rsidR="00BA7D7D" w:rsidRPr="00C9575C" w:rsidRDefault="00BA7D7D" w:rsidP="00933DED">
            <w:pPr>
              <w:pStyle w:val="tabletextNS"/>
              <w:keepNext/>
              <w:rPr>
                <w:rFonts w:ascii="Times New Roman" w:hAnsi="Times New Roman" w:cs="Times New Roman"/>
                <w:sz w:val="22"/>
                <w:szCs w:val="22"/>
                <w:lang w:val="it-IT"/>
              </w:rPr>
            </w:pPr>
          </w:p>
          <w:p w14:paraId="2250297E"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Monitoraggio delle concentrazioni di fenitoina.</w:t>
            </w:r>
          </w:p>
          <w:p w14:paraId="785483D6" w14:textId="77777777" w:rsidR="00BA7D7D" w:rsidRPr="00C9575C" w:rsidRDefault="00BA7D7D" w:rsidP="00933DED">
            <w:pPr>
              <w:pStyle w:val="tabletextNS"/>
              <w:keepNext/>
              <w:rPr>
                <w:rFonts w:ascii="Times New Roman" w:hAnsi="Times New Roman" w:cs="Times New Roman"/>
                <w:color w:val="000000"/>
                <w:sz w:val="22"/>
                <w:szCs w:val="22"/>
                <w:lang w:val="it-IT"/>
              </w:rPr>
            </w:pPr>
          </w:p>
          <w:p w14:paraId="5D52AA5E" w14:textId="77777777" w:rsidR="00BA7D7D" w:rsidRPr="00C9575C" w:rsidRDefault="00BA7D7D" w:rsidP="00933DED">
            <w:pPr>
              <w:pStyle w:val="tabletextNS"/>
              <w:keepNext/>
              <w:rPr>
                <w:rFonts w:ascii="Times New Roman" w:hAnsi="Times New Roman" w:cs="Times New Roman"/>
                <w:sz w:val="22"/>
                <w:szCs w:val="22"/>
                <w:lang w:val="it-IT"/>
              </w:rPr>
            </w:pPr>
          </w:p>
        </w:tc>
      </w:tr>
      <w:tr w:rsidR="00BA7D7D" w:rsidRPr="00C9575C" w14:paraId="2A48BB01" w14:textId="77777777" w:rsidTr="00D05FE0">
        <w:trPr>
          <w:cantSplit/>
        </w:trPr>
        <w:tc>
          <w:tcPr>
            <w:tcW w:w="1801" w:type="pct"/>
          </w:tcPr>
          <w:p w14:paraId="1843788C" w14:textId="77777777" w:rsidR="00BA7D7D" w:rsidRPr="00C9575C" w:rsidRDefault="00BA7D7D"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Fenitoina/Lamivudina</w:t>
            </w:r>
          </w:p>
        </w:tc>
        <w:tc>
          <w:tcPr>
            <w:tcW w:w="1742" w:type="pct"/>
          </w:tcPr>
          <w:p w14:paraId="6F745FF5"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Interazione non studiata.</w:t>
            </w:r>
          </w:p>
        </w:tc>
        <w:tc>
          <w:tcPr>
            <w:tcW w:w="1457" w:type="pct"/>
            <w:vMerge/>
          </w:tcPr>
          <w:p w14:paraId="5E9236AF" w14:textId="77777777" w:rsidR="00BA7D7D" w:rsidRPr="00C9575C" w:rsidRDefault="00BA7D7D" w:rsidP="00933DED">
            <w:pPr>
              <w:pStyle w:val="tabletextNS"/>
              <w:keepNext/>
              <w:rPr>
                <w:rFonts w:ascii="Times New Roman" w:hAnsi="Times New Roman" w:cs="Times New Roman"/>
                <w:color w:val="000000"/>
                <w:sz w:val="22"/>
                <w:szCs w:val="22"/>
                <w:lang w:val="it-IT"/>
              </w:rPr>
            </w:pPr>
          </w:p>
        </w:tc>
      </w:tr>
      <w:tr w:rsidR="00BA7D7D" w:rsidRPr="00C9575C" w14:paraId="472E0D1B" w14:textId="77777777" w:rsidTr="00933DED">
        <w:trPr>
          <w:cantSplit/>
        </w:trPr>
        <w:tc>
          <w:tcPr>
            <w:tcW w:w="5000" w:type="pct"/>
            <w:gridSpan w:val="3"/>
          </w:tcPr>
          <w:p w14:paraId="433AF0A0"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b/>
                <w:sz w:val="22"/>
                <w:szCs w:val="22"/>
                <w:lang w:val="it-IT"/>
              </w:rPr>
              <w:t>ANTISTAMINICI (ANTAGONISTI DEI RECETTORI H2 DELL’ISTAMINA)</w:t>
            </w:r>
          </w:p>
        </w:tc>
      </w:tr>
      <w:tr w:rsidR="00BA7D7D" w:rsidRPr="00C9575C" w14:paraId="0B848F5F" w14:textId="77777777" w:rsidTr="00D05FE0">
        <w:trPr>
          <w:cantSplit/>
        </w:trPr>
        <w:tc>
          <w:tcPr>
            <w:tcW w:w="1801" w:type="pct"/>
          </w:tcPr>
          <w:p w14:paraId="4CB99CA0"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Ranitidina/Abacavir</w:t>
            </w:r>
          </w:p>
        </w:tc>
        <w:tc>
          <w:tcPr>
            <w:tcW w:w="1742" w:type="pct"/>
          </w:tcPr>
          <w:p w14:paraId="07BA7B79" w14:textId="77777777" w:rsidR="00BA7D7D" w:rsidRPr="00C9575C" w:rsidRDefault="00BA7D7D" w:rsidP="00933DED">
            <w:pPr>
              <w:pStyle w:val="tabletextNS"/>
              <w:rPr>
                <w:rFonts w:ascii="Times New Roman" w:hAnsi="Times New Roman" w:cs="Times New Roman"/>
                <w:snapToGrid w:val="0"/>
                <w:color w:val="000000"/>
                <w:sz w:val="22"/>
                <w:szCs w:val="22"/>
                <w:lang w:val="it-IT"/>
              </w:rPr>
            </w:pPr>
            <w:r w:rsidRPr="00C9575C">
              <w:rPr>
                <w:rFonts w:ascii="Times New Roman" w:hAnsi="Times New Roman" w:cs="Times New Roman"/>
                <w:color w:val="000000"/>
                <w:sz w:val="22"/>
                <w:szCs w:val="22"/>
                <w:lang w:val="it-IT"/>
              </w:rPr>
              <w:t>Interazione non studiata.</w:t>
            </w:r>
          </w:p>
        </w:tc>
        <w:tc>
          <w:tcPr>
            <w:tcW w:w="1457" w:type="pct"/>
            <w:vMerge w:val="restart"/>
          </w:tcPr>
          <w:p w14:paraId="181F802A"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Non è necessario alcun aggiustamento della dose.</w:t>
            </w:r>
          </w:p>
        </w:tc>
      </w:tr>
      <w:tr w:rsidR="00BA7D7D" w:rsidRPr="00C9575C" w14:paraId="59B31B2C" w14:textId="77777777" w:rsidTr="00D05FE0">
        <w:trPr>
          <w:cantSplit/>
        </w:trPr>
        <w:tc>
          <w:tcPr>
            <w:tcW w:w="1801" w:type="pct"/>
          </w:tcPr>
          <w:p w14:paraId="777CE741"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Ranitidina/Lamivudina</w:t>
            </w:r>
          </w:p>
        </w:tc>
        <w:tc>
          <w:tcPr>
            <w:tcW w:w="1742" w:type="pct"/>
          </w:tcPr>
          <w:p w14:paraId="0DC0AE37" w14:textId="77777777" w:rsidR="00BA7D7D" w:rsidRPr="00C9575C" w:rsidRDefault="00BA7D7D" w:rsidP="00933DED">
            <w:pPr>
              <w:pStyle w:val="tabletextNS"/>
              <w:keepNext/>
              <w:widowControl w:val="0"/>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Interazione non studiata.</w:t>
            </w:r>
          </w:p>
          <w:p w14:paraId="33E8225D" w14:textId="77777777" w:rsidR="00BA7D7D" w:rsidRPr="00C9575C" w:rsidRDefault="00BA7D7D" w:rsidP="00933DED">
            <w:pPr>
              <w:pStyle w:val="tabletextNS"/>
              <w:keepNext/>
              <w:widowControl w:val="0"/>
              <w:rPr>
                <w:rFonts w:ascii="Times New Roman" w:hAnsi="Times New Roman" w:cs="Times New Roman"/>
                <w:snapToGrid w:val="0"/>
                <w:color w:val="000000"/>
                <w:sz w:val="22"/>
                <w:szCs w:val="22"/>
                <w:lang w:val="it-IT"/>
              </w:rPr>
            </w:pPr>
          </w:p>
          <w:p w14:paraId="6B7B0DF8"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 xml:space="preserve">Interazioni clinicamente significative sono improbabili. </w:t>
            </w:r>
            <w:r w:rsidR="00A56985" w:rsidRPr="00C9575C">
              <w:rPr>
                <w:rFonts w:ascii="Times New Roman" w:hAnsi="Times New Roman" w:cs="Times New Roman"/>
                <w:color w:val="000000"/>
                <w:sz w:val="22"/>
                <w:szCs w:val="22"/>
                <w:lang w:val="it-IT"/>
              </w:rPr>
              <w:t>R</w:t>
            </w:r>
            <w:r w:rsidRPr="00C9575C">
              <w:rPr>
                <w:rFonts w:ascii="Times New Roman" w:hAnsi="Times New Roman" w:cs="Times New Roman"/>
                <w:color w:val="000000"/>
                <w:sz w:val="22"/>
                <w:szCs w:val="22"/>
                <w:lang w:val="it-IT"/>
              </w:rPr>
              <w:t>anitidina viene eliminata solo in parte dal sistema di trasporto renale dei cationi organici.</w:t>
            </w:r>
          </w:p>
        </w:tc>
        <w:tc>
          <w:tcPr>
            <w:tcW w:w="1457" w:type="pct"/>
            <w:vMerge/>
          </w:tcPr>
          <w:p w14:paraId="6AD3C82B" w14:textId="77777777" w:rsidR="00BA7D7D" w:rsidRPr="00C9575C" w:rsidRDefault="00BA7D7D" w:rsidP="00933DED">
            <w:pPr>
              <w:pStyle w:val="tabletextNS"/>
              <w:keepNext/>
              <w:rPr>
                <w:rFonts w:ascii="Times New Roman" w:hAnsi="Times New Roman" w:cs="Times New Roman"/>
                <w:b/>
                <w:sz w:val="22"/>
                <w:szCs w:val="22"/>
                <w:lang w:val="it-IT"/>
              </w:rPr>
            </w:pPr>
          </w:p>
        </w:tc>
      </w:tr>
      <w:tr w:rsidR="00BA7D7D" w:rsidRPr="00C9575C" w14:paraId="516BBDCE" w14:textId="77777777" w:rsidTr="00D05FE0">
        <w:trPr>
          <w:cantSplit/>
        </w:trPr>
        <w:tc>
          <w:tcPr>
            <w:tcW w:w="1801" w:type="pct"/>
          </w:tcPr>
          <w:p w14:paraId="47264312"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Cimetidina/Abacavir</w:t>
            </w:r>
          </w:p>
        </w:tc>
        <w:tc>
          <w:tcPr>
            <w:tcW w:w="1742" w:type="pct"/>
          </w:tcPr>
          <w:p w14:paraId="21E7EC72" w14:textId="77777777" w:rsidR="00BA7D7D" w:rsidRPr="00C9575C" w:rsidRDefault="00BA7D7D" w:rsidP="00933DED">
            <w:pPr>
              <w:pStyle w:val="tabletextNS"/>
              <w:rPr>
                <w:rFonts w:ascii="Times New Roman" w:hAnsi="Times New Roman" w:cs="Times New Roman"/>
                <w:snapToGrid w:val="0"/>
                <w:color w:val="000000"/>
                <w:sz w:val="22"/>
                <w:szCs w:val="22"/>
                <w:lang w:val="it-IT"/>
              </w:rPr>
            </w:pPr>
            <w:r w:rsidRPr="00C9575C">
              <w:rPr>
                <w:rFonts w:ascii="Times New Roman" w:hAnsi="Times New Roman" w:cs="Times New Roman"/>
                <w:color w:val="000000"/>
                <w:sz w:val="22"/>
                <w:szCs w:val="22"/>
                <w:lang w:val="it-IT"/>
              </w:rPr>
              <w:t>Interazione non studiata.</w:t>
            </w:r>
          </w:p>
        </w:tc>
        <w:tc>
          <w:tcPr>
            <w:tcW w:w="1457" w:type="pct"/>
            <w:vMerge w:val="restart"/>
          </w:tcPr>
          <w:p w14:paraId="5966A243" w14:textId="77777777" w:rsidR="00BA7D7D" w:rsidRPr="00C9575C" w:rsidRDefault="00BA7D7D"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color w:val="000000"/>
                <w:sz w:val="22"/>
                <w:szCs w:val="22"/>
                <w:lang w:val="it-IT"/>
              </w:rPr>
              <w:t>Non è necessario alcun aggiustamento della dose.</w:t>
            </w:r>
          </w:p>
        </w:tc>
      </w:tr>
      <w:tr w:rsidR="00BA7D7D" w:rsidRPr="00C9575C" w14:paraId="26A583CE" w14:textId="77777777" w:rsidTr="00D05FE0">
        <w:trPr>
          <w:cantSplit/>
        </w:trPr>
        <w:tc>
          <w:tcPr>
            <w:tcW w:w="1801" w:type="pct"/>
          </w:tcPr>
          <w:p w14:paraId="2D5D5D08"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Cimetidina/Lamivudina</w:t>
            </w:r>
          </w:p>
        </w:tc>
        <w:tc>
          <w:tcPr>
            <w:tcW w:w="1742" w:type="pct"/>
          </w:tcPr>
          <w:p w14:paraId="71C6C389" w14:textId="77777777" w:rsidR="00BA7D7D" w:rsidRPr="00C9575C" w:rsidRDefault="00BA7D7D" w:rsidP="00933DED">
            <w:pPr>
              <w:pStyle w:val="tabletextNS"/>
              <w:keepNext/>
              <w:widowControl w:val="0"/>
              <w:rPr>
                <w:rFonts w:ascii="Times New Roman" w:hAnsi="Times New Roman" w:cs="Times New Roman"/>
                <w:snapToGrid w:val="0"/>
                <w:color w:val="000000"/>
                <w:sz w:val="22"/>
                <w:szCs w:val="22"/>
                <w:lang w:val="it-IT"/>
              </w:rPr>
            </w:pPr>
            <w:r w:rsidRPr="00C9575C">
              <w:rPr>
                <w:rFonts w:ascii="Times New Roman" w:hAnsi="Times New Roman" w:cs="Times New Roman"/>
                <w:color w:val="000000"/>
                <w:sz w:val="22"/>
                <w:szCs w:val="22"/>
                <w:lang w:val="it-IT"/>
              </w:rPr>
              <w:t>Interazione non studiata.</w:t>
            </w:r>
            <w:r w:rsidRPr="00C9575C">
              <w:rPr>
                <w:rFonts w:ascii="Times New Roman" w:hAnsi="Times New Roman" w:cs="Times New Roman"/>
                <w:snapToGrid w:val="0"/>
                <w:color w:val="000000"/>
                <w:sz w:val="22"/>
                <w:szCs w:val="22"/>
                <w:lang w:val="it-IT"/>
              </w:rPr>
              <w:t xml:space="preserve"> </w:t>
            </w:r>
          </w:p>
          <w:p w14:paraId="7148517B" w14:textId="77777777" w:rsidR="00BA7D7D" w:rsidRPr="00C9575C" w:rsidRDefault="00BA7D7D" w:rsidP="00933DED">
            <w:pPr>
              <w:pStyle w:val="tabletextNS"/>
              <w:keepNext/>
              <w:widowControl w:val="0"/>
              <w:rPr>
                <w:rFonts w:ascii="Times New Roman" w:hAnsi="Times New Roman" w:cs="Times New Roman"/>
                <w:snapToGrid w:val="0"/>
                <w:color w:val="000000"/>
                <w:sz w:val="22"/>
                <w:szCs w:val="22"/>
                <w:lang w:val="it-IT"/>
              </w:rPr>
            </w:pPr>
          </w:p>
          <w:p w14:paraId="7E6ADF7B" w14:textId="77777777" w:rsidR="00BA7D7D" w:rsidRPr="00C9575C" w:rsidRDefault="00BA7D7D" w:rsidP="00933DED">
            <w:pPr>
              <w:pStyle w:val="tabletextNS"/>
              <w:rPr>
                <w:rFonts w:ascii="Times New Roman" w:hAnsi="Times New Roman" w:cs="Times New Roman"/>
                <w:snapToGrid w:val="0"/>
                <w:color w:val="000000"/>
                <w:sz w:val="22"/>
                <w:szCs w:val="22"/>
                <w:lang w:val="it-IT"/>
              </w:rPr>
            </w:pPr>
            <w:r w:rsidRPr="00C9575C">
              <w:rPr>
                <w:rFonts w:ascii="Times New Roman" w:hAnsi="Times New Roman" w:cs="Times New Roman"/>
                <w:color w:val="000000"/>
                <w:sz w:val="22"/>
                <w:szCs w:val="22"/>
                <w:lang w:val="it-IT"/>
              </w:rPr>
              <w:t xml:space="preserve">Interazioni clinicamente significative sono improbabili. </w:t>
            </w:r>
            <w:r w:rsidR="00A56985" w:rsidRPr="00C9575C">
              <w:rPr>
                <w:rFonts w:ascii="Times New Roman" w:hAnsi="Times New Roman" w:cs="Times New Roman"/>
                <w:color w:val="000000"/>
                <w:sz w:val="22"/>
                <w:szCs w:val="22"/>
                <w:lang w:val="it-IT"/>
              </w:rPr>
              <w:t>C</w:t>
            </w:r>
            <w:r w:rsidRPr="00C9575C">
              <w:rPr>
                <w:rFonts w:ascii="Times New Roman" w:hAnsi="Times New Roman" w:cs="Times New Roman"/>
                <w:color w:val="000000"/>
                <w:sz w:val="22"/>
                <w:szCs w:val="22"/>
                <w:lang w:val="it-IT"/>
              </w:rPr>
              <w:t>imetidina viene eliminata solo in parte dal sistema di trasporto renale dei cationi organici.</w:t>
            </w:r>
          </w:p>
        </w:tc>
        <w:tc>
          <w:tcPr>
            <w:tcW w:w="1457" w:type="pct"/>
            <w:vMerge/>
          </w:tcPr>
          <w:p w14:paraId="650C5F01" w14:textId="77777777" w:rsidR="00BA7D7D" w:rsidRPr="00C9575C" w:rsidRDefault="00BA7D7D" w:rsidP="00933DED">
            <w:pPr>
              <w:pStyle w:val="tabletextNS"/>
              <w:keepNext/>
              <w:rPr>
                <w:rFonts w:ascii="Times New Roman" w:hAnsi="Times New Roman" w:cs="Times New Roman"/>
                <w:color w:val="000000"/>
                <w:sz w:val="22"/>
                <w:szCs w:val="22"/>
                <w:lang w:val="it-IT"/>
              </w:rPr>
            </w:pPr>
          </w:p>
        </w:tc>
      </w:tr>
      <w:tr w:rsidR="00BA7D7D" w:rsidRPr="00C9575C" w14:paraId="39A543D4" w14:textId="77777777" w:rsidTr="00933DED">
        <w:trPr>
          <w:cantSplit/>
        </w:trPr>
        <w:tc>
          <w:tcPr>
            <w:tcW w:w="5000" w:type="pct"/>
            <w:gridSpan w:val="3"/>
          </w:tcPr>
          <w:p w14:paraId="36BE3287"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b/>
                <w:sz w:val="22"/>
                <w:szCs w:val="22"/>
                <w:lang w:val="it-IT"/>
              </w:rPr>
              <w:t>CITOTOSSICI</w:t>
            </w:r>
          </w:p>
        </w:tc>
      </w:tr>
      <w:tr w:rsidR="00BA7D7D" w:rsidRPr="00C9575C" w14:paraId="1E8B3F37" w14:textId="77777777" w:rsidTr="00D05FE0">
        <w:trPr>
          <w:cantSplit/>
        </w:trPr>
        <w:tc>
          <w:tcPr>
            <w:tcW w:w="1801" w:type="pct"/>
          </w:tcPr>
          <w:p w14:paraId="1427ED3E" w14:textId="77777777" w:rsidR="00BA7D7D" w:rsidRPr="00C9575C" w:rsidRDefault="00BA7D7D" w:rsidP="00933DED">
            <w:pPr>
              <w:pStyle w:val="tabletextNS"/>
              <w:rPr>
                <w:rFonts w:ascii="Times New Roman" w:hAnsi="Times New Roman" w:cs="Times New Roman"/>
                <w:b/>
                <w:sz w:val="22"/>
                <w:szCs w:val="22"/>
                <w:lang w:val="it-IT"/>
              </w:rPr>
            </w:pPr>
            <w:r w:rsidRPr="00C9575C">
              <w:rPr>
                <w:rFonts w:ascii="Times New Roman" w:hAnsi="Times New Roman" w:cs="Times New Roman"/>
                <w:sz w:val="22"/>
                <w:szCs w:val="22"/>
                <w:lang w:val="it-IT"/>
              </w:rPr>
              <w:t>Cladribina/Lamivudina</w:t>
            </w:r>
          </w:p>
        </w:tc>
        <w:tc>
          <w:tcPr>
            <w:tcW w:w="1742" w:type="pct"/>
          </w:tcPr>
          <w:p w14:paraId="5AC5131A" w14:textId="77777777" w:rsidR="00BA7D7D" w:rsidRPr="00C9575C" w:rsidRDefault="00BA7D7D" w:rsidP="00933DED">
            <w:pPr>
              <w:pStyle w:val="tabletextNS"/>
              <w:keepNext/>
              <w:widowControl w:val="0"/>
              <w:rPr>
                <w:rFonts w:ascii="Times New Roman" w:hAnsi="Times New Roman" w:cs="Times New Roman"/>
                <w:snapToGrid w:val="0"/>
                <w:color w:val="000000"/>
                <w:sz w:val="22"/>
                <w:szCs w:val="22"/>
                <w:lang w:val="it-IT"/>
              </w:rPr>
            </w:pPr>
            <w:r w:rsidRPr="00C9575C">
              <w:rPr>
                <w:rFonts w:ascii="Times New Roman" w:hAnsi="Times New Roman" w:cs="Times New Roman"/>
                <w:color w:val="000000"/>
                <w:sz w:val="22"/>
                <w:szCs w:val="22"/>
                <w:lang w:val="it-IT"/>
              </w:rPr>
              <w:t>Interazione non studiata.</w:t>
            </w:r>
            <w:r w:rsidRPr="00C9575C">
              <w:rPr>
                <w:rFonts w:ascii="Times New Roman" w:hAnsi="Times New Roman" w:cs="Times New Roman"/>
                <w:snapToGrid w:val="0"/>
                <w:color w:val="000000"/>
                <w:sz w:val="22"/>
                <w:szCs w:val="22"/>
                <w:lang w:val="it-IT"/>
              </w:rPr>
              <w:t xml:space="preserve"> </w:t>
            </w:r>
          </w:p>
          <w:p w14:paraId="557AB365" w14:textId="77777777" w:rsidR="00BA7D7D" w:rsidRPr="00C9575C" w:rsidRDefault="00BA7D7D" w:rsidP="00933DED">
            <w:pPr>
              <w:pStyle w:val="tabletextNS"/>
              <w:keepNext/>
              <w:widowControl w:val="0"/>
              <w:rPr>
                <w:rFonts w:ascii="Times New Roman" w:hAnsi="Times New Roman" w:cs="Times New Roman"/>
                <w:snapToGrid w:val="0"/>
                <w:color w:val="000000"/>
                <w:sz w:val="22"/>
                <w:szCs w:val="22"/>
                <w:lang w:val="it-IT"/>
              </w:rPr>
            </w:pPr>
          </w:p>
          <w:p w14:paraId="5F41198F"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i/>
                <w:sz w:val="22"/>
                <w:szCs w:val="22"/>
                <w:lang w:val="it-IT"/>
              </w:rPr>
              <w:t>In vitro</w:t>
            </w:r>
            <w:r w:rsidRPr="00C9575C">
              <w:rPr>
                <w:rFonts w:ascii="Times New Roman" w:hAnsi="Times New Roman" w:cs="Times New Roman"/>
                <w:sz w:val="22"/>
                <w:szCs w:val="22"/>
                <w:lang w:val="it-IT"/>
              </w:rPr>
              <w:t xml:space="preserve"> lamivudina inibisce la fosforilazione intracellulare di cladribina portando ad un potenziale rischio di perdita di efficacia di cladribina in caso di associazione in ambito clinico. Alcune evidenze cliniche supportano anche una possibile interazione tra lamivudina e cladribina.</w:t>
            </w:r>
          </w:p>
          <w:p w14:paraId="5F7E640E" w14:textId="77777777" w:rsidR="00921C38" w:rsidRPr="00C9575C" w:rsidRDefault="00921C38" w:rsidP="00933DED">
            <w:pPr>
              <w:pStyle w:val="tabletextNS"/>
              <w:rPr>
                <w:rFonts w:ascii="Times New Roman" w:hAnsi="Times New Roman" w:cs="Times New Roman"/>
                <w:sz w:val="22"/>
                <w:szCs w:val="22"/>
                <w:lang w:val="it-IT"/>
              </w:rPr>
            </w:pPr>
          </w:p>
          <w:p w14:paraId="0ED15683" w14:textId="77777777" w:rsidR="00BA7D7D" w:rsidRPr="00C9575C" w:rsidRDefault="00BA7D7D" w:rsidP="00933DED">
            <w:pPr>
              <w:pStyle w:val="tabletextNS"/>
              <w:rPr>
                <w:rFonts w:ascii="Times New Roman" w:hAnsi="Times New Roman" w:cs="Times New Roman"/>
                <w:b/>
                <w:sz w:val="22"/>
                <w:szCs w:val="22"/>
                <w:lang w:val="it-IT"/>
              </w:rPr>
            </w:pPr>
          </w:p>
        </w:tc>
        <w:tc>
          <w:tcPr>
            <w:tcW w:w="1457" w:type="pct"/>
          </w:tcPr>
          <w:p w14:paraId="0FF0A8DF" w14:textId="77777777" w:rsidR="00BA7D7D" w:rsidRPr="00C9575C" w:rsidRDefault="00BA7D7D" w:rsidP="00933DED">
            <w:pPr>
              <w:pStyle w:val="tabletextNS"/>
              <w:rPr>
                <w:rFonts w:ascii="Times New Roman" w:hAnsi="Times New Roman" w:cs="Times New Roman"/>
                <w:b/>
                <w:sz w:val="22"/>
                <w:szCs w:val="22"/>
                <w:lang w:val="it-IT"/>
              </w:rPr>
            </w:pPr>
            <w:r w:rsidRPr="00C9575C">
              <w:rPr>
                <w:rStyle w:val="PageNumber"/>
                <w:rFonts w:ascii="Times New Roman" w:hAnsi="Times New Roman" w:cs="Times New Roman"/>
                <w:color w:val="000000"/>
                <w:sz w:val="22"/>
                <w:szCs w:val="20"/>
                <w:lang w:val="it-IT" w:eastAsia="it-IT"/>
              </w:rPr>
              <w:t xml:space="preserve">Pertanto, l’uso concomitante di lamivudina con cladribina non è raccomandato </w:t>
            </w:r>
            <w:r w:rsidRPr="00C9575C">
              <w:rPr>
                <w:rStyle w:val="PageNumber"/>
                <w:rFonts w:ascii="Times New Roman" w:hAnsi="Times New Roman" w:cs="Times New Roman"/>
                <w:sz w:val="22"/>
                <w:szCs w:val="20"/>
                <w:lang w:val="it-IT" w:eastAsia="it-IT"/>
              </w:rPr>
              <w:t>(vedere paragrafo 4.4).</w:t>
            </w:r>
          </w:p>
        </w:tc>
      </w:tr>
      <w:tr w:rsidR="00BA7D7D" w:rsidRPr="00C9575C" w14:paraId="7A62ED4A" w14:textId="77777777" w:rsidTr="00D05FE0">
        <w:trPr>
          <w:cantSplit/>
        </w:trPr>
        <w:tc>
          <w:tcPr>
            <w:tcW w:w="1801" w:type="pct"/>
          </w:tcPr>
          <w:p w14:paraId="5F04F067" w14:textId="77777777" w:rsidR="00BA7D7D" w:rsidRPr="00C9575C" w:rsidRDefault="00BA7D7D" w:rsidP="00933DED">
            <w:pPr>
              <w:pStyle w:val="tabletextNS"/>
              <w:rPr>
                <w:rFonts w:ascii="Times New Roman" w:hAnsi="Times New Roman" w:cs="Times New Roman"/>
                <w:b/>
                <w:sz w:val="22"/>
                <w:szCs w:val="22"/>
                <w:lang w:val="it-IT"/>
              </w:rPr>
            </w:pPr>
            <w:r w:rsidRPr="00C9575C">
              <w:rPr>
                <w:rFonts w:ascii="Times New Roman" w:hAnsi="Times New Roman" w:cs="Times New Roman"/>
                <w:b/>
                <w:sz w:val="22"/>
                <w:szCs w:val="22"/>
                <w:lang w:val="it-IT"/>
              </w:rPr>
              <w:lastRenderedPageBreak/>
              <w:t xml:space="preserve">Farmaci per area terapeutica </w:t>
            </w:r>
          </w:p>
          <w:p w14:paraId="5B878DF0" w14:textId="77777777" w:rsidR="00BA7D7D" w:rsidRPr="00C9575C" w:rsidRDefault="00BA7D7D" w:rsidP="00933DED">
            <w:pPr>
              <w:pStyle w:val="tabletextNS"/>
              <w:keepNext/>
              <w:rPr>
                <w:rFonts w:ascii="Times New Roman" w:hAnsi="Times New Roman" w:cs="Times New Roman"/>
                <w:b/>
                <w:sz w:val="22"/>
                <w:szCs w:val="22"/>
                <w:lang w:val="it-IT"/>
              </w:rPr>
            </w:pPr>
          </w:p>
        </w:tc>
        <w:tc>
          <w:tcPr>
            <w:tcW w:w="1742" w:type="pct"/>
          </w:tcPr>
          <w:p w14:paraId="7A5D06F4" w14:textId="77777777" w:rsidR="00BA7D7D" w:rsidRPr="00C9575C" w:rsidRDefault="00BA7D7D" w:rsidP="00933DED">
            <w:pPr>
              <w:pStyle w:val="tabletextNS"/>
              <w:rPr>
                <w:rFonts w:ascii="Times New Roman" w:hAnsi="Times New Roman" w:cs="Times New Roman"/>
                <w:b/>
                <w:sz w:val="22"/>
                <w:szCs w:val="22"/>
                <w:lang w:val="it-IT"/>
              </w:rPr>
            </w:pPr>
            <w:r w:rsidRPr="00C9575C">
              <w:rPr>
                <w:rFonts w:ascii="Times New Roman" w:hAnsi="Times New Roman" w:cs="Times New Roman"/>
                <w:b/>
                <w:sz w:val="22"/>
                <w:szCs w:val="22"/>
                <w:lang w:val="it-IT"/>
              </w:rPr>
              <w:t>Interazioni</w:t>
            </w:r>
          </w:p>
          <w:p w14:paraId="5DE0A584" w14:textId="77777777" w:rsidR="00BA7D7D" w:rsidRPr="00C9575C" w:rsidRDefault="00BA7D7D" w:rsidP="00933DED">
            <w:pPr>
              <w:pStyle w:val="tabletextNS"/>
              <w:ind w:right="-250"/>
              <w:rPr>
                <w:rFonts w:ascii="Times New Roman" w:hAnsi="Times New Roman" w:cs="Times New Roman"/>
                <w:b/>
                <w:sz w:val="22"/>
                <w:szCs w:val="22"/>
                <w:lang w:val="it-IT"/>
              </w:rPr>
            </w:pPr>
            <w:r w:rsidRPr="00C9575C">
              <w:rPr>
                <w:rFonts w:ascii="Times New Roman" w:hAnsi="Times New Roman" w:cs="Times New Roman"/>
                <w:b/>
                <w:sz w:val="22"/>
                <w:szCs w:val="22"/>
                <w:lang w:val="it-IT"/>
              </w:rPr>
              <w:t>Cambiamenti nella media geometrica (%) (Possibile meccanismo)</w:t>
            </w:r>
          </w:p>
        </w:tc>
        <w:tc>
          <w:tcPr>
            <w:tcW w:w="1457" w:type="pct"/>
          </w:tcPr>
          <w:p w14:paraId="0E3AA1EE" w14:textId="77777777" w:rsidR="00BA7D7D" w:rsidRPr="00C9575C" w:rsidRDefault="00BA7D7D"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Raccomandazioni relative alla co-somministrazione</w:t>
            </w:r>
          </w:p>
        </w:tc>
      </w:tr>
      <w:tr w:rsidR="00BA7D7D" w:rsidRPr="00C9575C" w14:paraId="7B88FA98" w14:textId="77777777" w:rsidTr="00933DED">
        <w:trPr>
          <w:cantSplit/>
        </w:trPr>
        <w:tc>
          <w:tcPr>
            <w:tcW w:w="5000" w:type="pct"/>
            <w:gridSpan w:val="3"/>
          </w:tcPr>
          <w:p w14:paraId="40363B2D" w14:textId="77777777" w:rsidR="00BA7D7D" w:rsidRPr="00C9575C" w:rsidRDefault="00BA7D7D"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OPPIOIDI</w:t>
            </w:r>
          </w:p>
        </w:tc>
      </w:tr>
      <w:tr w:rsidR="00BA7D7D" w:rsidRPr="00C9575C" w14:paraId="1EA7009A" w14:textId="77777777" w:rsidTr="00D05FE0">
        <w:trPr>
          <w:cantSplit/>
        </w:trPr>
        <w:tc>
          <w:tcPr>
            <w:tcW w:w="1801" w:type="pct"/>
          </w:tcPr>
          <w:p w14:paraId="5102A3D6" w14:textId="77777777" w:rsidR="00BA7D7D" w:rsidRPr="00C9575C" w:rsidRDefault="00BA7D7D" w:rsidP="00933DED">
            <w:pPr>
              <w:pStyle w:val="tabletextNS"/>
              <w:keepNext/>
              <w:widowControl w:val="0"/>
              <w:rPr>
                <w:rFonts w:ascii="Times New Roman" w:hAnsi="Times New Roman" w:cs="Times New Roman"/>
                <w:sz w:val="22"/>
                <w:szCs w:val="22"/>
                <w:lang w:val="it-IT"/>
              </w:rPr>
            </w:pPr>
            <w:r w:rsidRPr="00C9575C">
              <w:rPr>
                <w:rFonts w:ascii="Times New Roman" w:hAnsi="Times New Roman" w:cs="Times New Roman"/>
                <w:sz w:val="22"/>
                <w:szCs w:val="22"/>
                <w:lang w:val="it-IT"/>
              </w:rPr>
              <w:t>Metadone/Abacavir</w:t>
            </w:r>
          </w:p>
          <w:p w14:paraId="6D542414" w14:textId="77777777" w:rsidR="00BA7D7D" w:rsidRPr="00C9575C" w:rsidRDefault="00BA7D7D" w:rsidP="00933DED">
            <w:pPr>
              <w:pStyle w:val="tabletextNS"/>
              <w:keepNext/>
              <w:rPr>
                <w:rFonts w:ascii="Times New Roman" w:hAnsi="Times New Roman" w:cs="Times New Roman"/>
                <w:sz w:val="22"/>
                <w:szCs w:val="22"/>
                <w:lang w:val="it-IT"/>
              </w:rPr>
            </w:pPr>
            <w:r w:rsidRPr="00C9575C">
              <w:rPr>
                <w:rFonts w:ascii="Times New Roman" w:hAnsi="Times New Roman" w:cs="Times New Roman"/>
                <w:sz w:val="22"/>
                <w:szCs w:val="22"/>
                <w:lang w:val="it-IT"/>
              </w:rPr>
              <w:t xml:space="preserve">(da </w:t>
            </w:r>
            <w:smartTag w:uri="urn:schemas-microsoft-com:office:smarttags" w:element="metricconverter">
              <w:smartTagPr>
                <w:attr w:name="ProductID" w:val="40 a"/>
              </w:smartTagPr>
              <w:r w:rsidRPr="00C9575C">
                <w:rPr>
                  <w:rFonts w:ascii="Times New Roman" w:hAnsi="Times New Roman" w:cs="Times New Roman"/>
                  <w:sz w:val="22"/>
                  <w:szCs w:val="22"/>
                  <w:lang w:val="it-IT"/>
                </w:rPr>
                <w:t>40 a</w:t>
              </w:r>
            </w:smartTag>
            <w:r w:rsidRPr="00C9575C">
              <w:rPr>
                <w:rFonts w:ascii="Times New Roman" w:hAnsi="Times New Roman" w:cs="Times New Roman"/>
                <w:sz w:val="22"/>
                <w:szCs w:val="22"/>
                <w:lang w:val="it-IT"/>
              </w:rPr>
              <w:t xml:space="preserve"> 90 mg una volta al giorno per 14 giorni/600 mg singola dose, poi 600 mg due volte al giorno per 14 giorni)</w:t>
            </w:r>
          </w:p>
        </w:tc>
        <w:tc>
          <w:tcPr>
            <w:tcW w:w="1742" w:type="pct"/>
          </w:tcPr>
          <w:p w14:paraId="4FF8FD37" w14:textId="77777777" w:rsidR="00BA7D7D" w:rsidRPr="00C03451" w:rsidRDefault="00BA7D7D" w:rsidP="00933DED">
            <w:pPr>
              <w:pStyle w:val="tabletextNS"/>
              <w:keepNext/>
              <w:tabs>
                <w:tab w:val="left" w:pos="809"/>
              </w:tabs>
              <w:rPr>
                <w:rFonts w:ascii="Times New Roman" w:hAnsi="Times New Roman" w:cs="Times New Roman"/>
                <w:snapToGrid w:val="0"/>
                <w:color w:val="000000"/>
                <w:sz w:val="22"/>
                <w:szCs w:val="22"/>
                <w:lang w:val="it-IT"/>
              </w:rPr>
            </w:pPr>
            <w:r w:rsidRPr="00C03451">
              <w:rPr>
                <w:rFonts w:ascii="Times New Roman" w:hAnsi="Times New Roman" w:cs="Times New Roman"/>
                <w:snapToGrid w:val="0"/>
                <w:color w:val="000000"/>
                <w:sz w:val="22"/>
                <w:szCs w:val="22"/>
                <w:lang w:val="it-IT"/>
              </w:rPr>
              <w:t xml:space="preserve">Abacavir:  AUC </w:t>
            </w:r>
            <w:r w:rsidRPr="00C9575C">
              <w:rPr>
                <w:rFonts w:ascii="Times New Roman" w:hAnsi="Times New Roman" w:cs="Times New Roman"/>
                <w:snapToGrid w:val="0"/>
                <w:color w:val="000000"/>
                <w:sz w:val="22"/>
                <w:szCs w:val="22"/>
                <w:lang w:val="it-IT"/>
              </w:rPr>
              <w:sym w:font="Symbol" w:char="F0AB"/>
            </w:r>
          </w:p>
          <w:p w14:paraId="1E16FAD4" w14:textId="77777777" w:rsidR="00BA7D7D" w:rsidRPr="00C03451" w:rsidRDefault="00BA7D7D" w:rsidP="00933DED">
            <w:pPr>
              <w:pStyle w:val="tabletextNS"/>
              <w:keepNext/>
              <w:rPr>
                <w:rFonts w:ascii="Times New Roman" w:hAnsi="Times New Roman" w:cs="Times New Roman"/>
                <w:color w:val="000000"/>
                <w:sz w:val="22"/>
                <w:szCs w:val="22"/>
                <w:lang w:val="it-IT"/>
              </w:rPr>
            </w:pPr>
            <w:r w:rsidRPr="00C03451">
              <w:rPr>
                <w:rFonts w:ascii="Times New Roman" w:hAnsi="Times New Roman" w:cs="Times New Roman"/>
                <w:snapToGrid w:val="0"/>
                <w:color w:val="000000"/>
                <w:sz w:val="22"/>
                <w:szCs w:val="22"/>
                <w:lang w:val="it-IT"/>
              </w:rPr>
              <w:t xml:space="preserve">                 C</w:t>
            </w:r>
            <w:r w:rsidRPr="00C03451">
              <w:rPr>
                <w:rFonts w:ascii="Times New Roman" w:hAnsi="Times New Roman" w:cs="Times New Roman"/>
                <w:snapToGrid w:val="0"/>
                <w:color w:val="000000"/>
                <w:sz w:val="22"/>
                <w:szCs w:val="22"/>
                <w:vertAlign w:val="subscript"/>
                <w:lang w:val="it-IT"/>
              </w:rPr>
              <w:t>max</w:t>
            </w:r>
            <w:r w:rsidRPr="00C03451">
              <w:rPr>
                <w:rFonts w:ascii="Times New Roman" w:hAnsi="Times New Roman" w:cs="Times New Roman"/>
                <w:snapToGrid w:val="0"/>
                <w:color w:val="000000"/>
                <w:sz w:val="22"/>
                <w:szCs w:val="22"/>
                <w:lang w:val="it-IT"/>
              </w:rPr>
              <w:t xml:space="preserve"> </w:t>
            </w:r>
            <w:r w:rsidRPr="00C9575C">
              <w:rPr>
                <w:rFonts w:ascii="Times New Roman" w:hAnsi="Times New Roman" w:cs="Times New Roman"/>
                <w:color w:val="000000"/>
                <w:sz w:val="22"/>
                <w:szCs w:val="22"/>
                <w:lang w:val="it-IT"/>
              </w:rPr>
              <w:sym w:font="Symbol" w:char="F0AF"/>
            </w:r>
            <w:r w:rsidRPr="00C03451">
              <w:rPr>
                <w:rFonts w:ascii="Times New Roman" w:hAnsi="Times New Roman" w:cs="Times New Roman"/>
                <w:color w:val="000000"/>
                <w:sz w:val="22"/>
                <w:szCs w:val="22"/>
                <w:lang w:val="it-IT"/>
              </w:rPr>
              <w:t>35%</w:t>
            </w:r>
          </w:p>
          <w:p w14:paraId="72A1544E" w14:textId="77777777" w:rsidR="00BA7D7D" w:rsidRPr="00C03451" w:rsidRDefault="00BA7D7D" w:rsidP="00933DED">
            <w:pPr>
              <w:pStyle w:val="tabletextNS"/>
              <w:keepNext/>
              <w:rPr>
                <w:rFonts w:ascii="Times New Roman" w:hAnsi="Times New Roman" w:cs="Times New Roman"/>
                <w:color w:val="000000"/>
                <w:sz w:val="22"/>
                <w:szCs w:val="22"/>
                <w:lang w:val="it-IT"/>
              </w:rPr>
            </w:pPr>
          </w:p>
          <w:p w14:paraId="322C2481" w14:textId="77777777" w:rsidR="00BA7D7D" w:rsidRPr="00C03451" w:rsidDel="00E43A0B" w:rsidRDefault="00BA7D7D" w:rsidP="00933DED">
            <w:pPr>
              <w:pStyle w:val="tabletextNS"/>
              <w:keepNext/>
              <w:rPr>
                <w:rFonts w:ascii="Times New Roman" w:hAnsi="Times New Roman" w:cs="Times New Roman"/>
                <w:snapToGrid w:val="0"/>
                <w:color w:val="000000"/>
                <w:sz w:val="22"/>
                <w:szCs w:val="22"/>
                <w:lang w:val="it-IT"/>
              </w:rPr>
            </w:pPr>
            <w:r w:rsidRPr="00C03451">
              <w:rPr>
                <w:rFonts w:ascii="Times New Roman" w:hAnsi="Times New Roman" w:cs="Times New Roman"/>
                <w:color w:val="000000"/>
                <w:sz w:val="22"/>
                <w:szCs w:val="22"/>
                <w:lang w:val="it-IT"/>
              </w:rPr>
              <w:t xml:space="preserve">Metadone: CL/F </w:t>
            </w:r>
            <w:r w:rsidRPr="00C9575C">
              <w:rPr>
                <w:rFonts w:ascii="Times New Roman" w:hAnsi="Times New Roman" w:cs="Times New Roman"/>
                <w:snapToGrid w:val="0"/>
                <w:color w:val="000000"/>
                <w:sz w:val="22"/>
                <w:szCs w:val="22"/>
                <w:lang w:val="it-IT"/>
              </w:rPr>
              <w:sym w:font="Symbol" w:char="F0AD"/>
            </w:r>
            <w:r w:rsidRPr="00C03451">
              <w:rPr>
                <w:rFonts w:ascii="Times New Roman" w:hAnsi="Times New Roman" w:cs="Times New Roman"/>
                <w:snapToGrid w:val="0"/>
                <w:color w:val="000000"/>
                <w:sz w:val="22"/>
                <w:szCs w:val="22"/>
                <w:lang w:val="it-IT"/>
              </w:rPr>
              <w:t>22%</w:t>
            </w:r>
          </w:p>
        </w:tc>
        <w:tc>
          <w:tcPr>
            <w:tcW w:w="1457" w:type="pct"/>
            <w:vMerge w:val="restart"/>
          </w:tcPr>
          <w:p w14:paraId="62813F8E" w14:textId="77777777" w:rsidR="00BA7D7D" w:rsidRPr="00C9575C" w:rsidRDefault="00BA7D7D" w:rsidP="00933DED">
            <w:pPr>
              <w:pStyle w:val="tabletextNS"/>
              <w:keepNext/>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Non è necessario alcun aggiustamento della dose di Kivexa.</w:t>
            </w:r>
          </w:p>
          <w:p w14:paraId="13700A7F" w14:textId="77777777" w:rsidR="00BA7D7D" w:rsidRPr="00C9575C" w:rsidRDefault="00BA7D7D" w:rsidP="00933DED">
            <w:pPr>
              <w:pStyle w:val="tabletextNS"/>
              <w:keepNext/>
              <w:rPr>
                <w:rFonts w:ascii="Times New Roman" w:hAnsi="Times New Roman" w:cs="Times New Roman"/>
                <w:color w:val="000000"/>
                <w:sz w:val="22"/>
                <w:szCs w:val="22"/>
                <w:lang w:val="it-IT"/>
              </w:rPr>
            </w:pPr>
          </w:p>
          <w:p w14:paraId="4C4F70CB" w14:textId="77777777" w:rsidR="00BA7D7D" w:rsidRPr="00C9575C" w:rsidRDefault="00BA7D7D" w:rsidP="00466A6E">
            <w:pPr>
              <w:pStyle w:val="tabletextNS"/>
              <w:keepNext/>
              <w:rPr>
                <w:rFonts w:ascii="Times New Roman" w:hAnsi="Times New Roman" w:cs="Times New Roman"/>
                <w:b/>
                <w:sz w:val="22"/>
                <w:szCs w:val="22"/>
                <w:lang w:val="it-IT"/>
              </w:rPr>
            </w:pPr>
            <w:r w:rsidRPr="00C9575C">
              <w:rPr>
                <w:rFonts w:ascii="Times New Roman" w:hAnsi="Times New Roman" w:cs="Times New Roman"/>
                <w:color w:val="000000"/>
                <w:sz w:val="22"/>
                <w:szCs w:val="22"/>
                <w:lang w:val="it-IT"/>
              </w:rPr>
              <w:t xml:space="preserve">Aggiustamenti della dose di </w:t>
            </w:r>
            <w:r w:rsidR="00466A6E" w:rsidRPr="00C9575C">
              <w:rPr>
                <w:rFonts w:ascii="Times New Roman" w:hAnsi="Times New Roman" w:cs="Times New Roman"/>
                <w:color w:val="000000"/>
                <w:sz w:val="22"/>
                <w:szCs w:val="22"/>
                <w:lang w:val="it-IT"/>
              </w:rPr>
              <w:t>m</w:t>
            </w:r>
            <w:r w:rsidRPr="00C9575C">
              <w:rPr>
                <w:rFonts w:ascii="Times New Roman" w:hAnsi="Times New Roman" w:cs="Times New Roman"/>
                <w:color w:val="000000"/>
                <w:sz w:val="22"/>
                <w:szCs w:val="22"/>
                <w:lang w:val="it-IT"/>
              </w:rPr>
              <w:t>etadone sono improbabili nella maggior parte dei pazienti; talvolta può essere richiesta una ri-titolazione del metadone.</w:t>
            </w:r>
          </w:p>
        </w:tc>
      </w:tr>
      <w:tr w:rsidR="00BA7D7D" w:rsidRPr="00C9575C" w14:paraId="2F8DD367" w14:textId="77777777" w:rsidTr="00D05FE0">
        <w:trPr>
          <w:cantSplit/>
        </w:trPr>
        <w:tc>
          <w:tcPr>
            <w:tcW w:w="1801" w:type="pct"/>
          </w:tcPr>
          <w:p w14:paraId="07CEDA28"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Metadone/Lamivudina</w:t>
            </w:r>
          </w:p>
        </w:tc>
        <w:tc>
          <w:tcPr>
            <w:tcW w:w="1742" w:type="pct"/>
          </w:tcPr>
          <w:p w14:paraId="2593EB94"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color w:val="000000"/>
                <w:sz w:val="22"/>
                <w:szCs w:val="22"/>
                <w:lang w:val="it-IT"/>
              </w:rPr>
              <w:t>Interazione non studiata.</w:t>
            </w:r>
            <w:r w:rsidRPr="00C9575C">
              <w:rPr>
                <w:rFonts w:ascii="Times New Roman" w:hAnsi="Times New Roman" w:cs="Times New Roman"/>
                <w:snapToGrid w:val="0"/>
                <w:color w:val="000000"/>
                <w:sz w:val="22"/>
                <w:szCs w:val="22"/>
                <w:lang w:val="it-IT"/>
              </w:rPr>
              <w:t xml:space="preserve"> </w:t>
            </w:r>
          </w:p>
        </w:tc>
        <w:tc>
          <w:tcPr>
            <w:tcW w:w="1457" w:type="pct"/>
            <w:vMerge/>
          </w:tcPr>
          <w:p w14:paraId="36C14556" w14:textId="77777777" w:rsidR="00BA7D7D" w:rsidRPr="00C9575C" w:rsidRDefault="00BA7D7D" w:rsidP="00933DED">
            <w:pPr>
              <w:pStyle w:val="tabletextNS"/>
              <w:keepNext/>
              <w:rPr>
                <w:rFonts w:ascii="Times New Roman" w:hAnsi="Times New Roman" w:cs="Times New Roman"/>
                <w:b/>
                <w:sz w:val="22"/>
                <w:szCs w:val="22"/>
                <w:lang w:val="it-IT"/>
              </w:rPr>
            </w:pPr>
          </w:p>
        </w:tc>
      </w:tr>
      <w:tr w:rsidR="00BA7D7D" w:rsidRPr="00C9575C" w14:paraId="1D833A9A" w14:textId="77777777" w:rsidTr="00933DED">
        <w:trPr>
          <w:cantSplit/>
        </w:trPr>
        <w:tc>
          <w:tcPr>
            <w:tcW w:w="5000" w:type="pct"/>
            <w:gridSpan w:val="3"/>
          </w:tcPr>
          <w:p w14:paraId="6EF3E41E" w14:textId="77777777" w:rsidR="00BA7D7D" w:rsidRPr="00C9575C" w:rsidRDefault="00BA7D7D"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RETINOIDI</w:t>
            </w:r>
          </w:p>
        </w:tc>
      </w:tr>
      <w:tr w:rsidR="00BA7D7D" w:rsidRPr="00C9575C" w14:paraId="6E2BEA47" w14:textId="77777777" w:rsidTr="00D05FE0">
        <w:trPr>
          <w:cantSplit/>
        </w:trPr>
        <w:tc>
          <w:tcPr>
            <w:tcW w:w="1801" w:type="pct"/>
          </w:tcPr>
          <w:p w14:paraId="4E6BE868" w14:textId="77777777" w:rsidR="00BA7D7D" w:rsidRPr="00C9575C" w:rsidRDefault="00BA7D7D" w:rsidP="00466A6E">
            <w:pPr>
              <w:pStyle w:val="tabletextNS"/>
              <w:ind w:right="-108"/>
              <w:rPr>
                <w:rFonts w:ascii="Times New Roman" w:hAnsi="Times New Roman" w:cs="Times New Roman"/>
                <w:sz w:val="22"/>
                <w:szCs w:val="22"/>
                <w:lang w:val="it-IT"/>
              </w:rPr>
            </w:pPr>
            <w:r w:rsidRPr="00C9575C">
              <w:rPr>
                <w:rFonts w:ascii="Times New Roman" w:hAnsi="Times New Roman" w:cs="Times New Roman"/>
                <w:sz w:val="22"/>
                <w:szCs w:val="22"/>
                <w:lang w:val="it-IT"/>
              </w:rPr>
              <w:t>Composti retinoidi</w:t>
            </w:r>
            <w:r w:rsidRPr="00C9575C">
              <w:rPr>
                <w:rFonts w:ascii="Times New Roman" w:hAnsi="Times New Roman" w:cs="Times New Roman"/>
                <w:sz w:val="22"/>
                <w:szCs w:val="22"/>
                <w:lang w:val="it-IT"/>
              </w:rPr>
              <w:br/>
              <w:t>(ad esempio isotretinoina)/Abacavir</w:t>
            </w:r>
          </w:p>
        </w:tc>
        <w:tc>
          <w:tcPr>
            <w:tcW w:w="1742" w:type="pct"/>
          </w:tcPr>
          <w:p w14:paraId="1CBFBC0B" w14:textId="77777777" w:rsidR="00BA7D7D" w:rsidRPr="00C9575C" w:rsidRDefault="00BA7D7D" w:rsidP="00933DED">
            <w:pPr>
              <w:pStyle w:val="tabletextNS"/>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Interazione non studiata</w:t>
            </w:r>
          </w:p>
          <w:p w14:paraId="029DB8CF" w14:textId="77777777" w:rsidR="00BA7D7D" w:rsidRPr="00C9575C" w:rsidRDefault="00BA7D7D" w:rsidP="00933DED">
            <w:pPr>
              <w:pStyle w:val="tabletextNS"/>
              <w:rPr>
                <w:rFonts w:ascii="Times New Roman" w:hAnsi="Times New Roman" w:cs="Times New Roman"/>
                <w:color w:val="000000"/>
                <w:sz w:val="22"/>
                <w:szCs w:val="22"/>
                <w:lang w:val="it-IT"/>
              </w:rPr>
            </w:pPr>
          </w:p>
          <w:p w14:paraId="77C78342" w14:textId="77777777" w:rsidR="00BA7D7D" w:rsidRPr="00C9575C" w:rsidRDefault="00BA7D7D" w:rsidP="00933DED">
            <w:pPr>
              <w:pStyle w:val="tabletextNS"/>
              <w:rPr>
                <w:rFonts w:ascii="Times New Roman" w:hAnsi="Times New Roman" w:cs="Times New Roman"/>
                <w:b/>
                <w:sz w:val="22"/>
                <w:szCs w:val="22"/>
                <w:lang w:val="it-IT"/>
              </w:rPr>
            </w:pPr>
            <w:r w:rsidRPr="00C9575C">
              <w:rPr>
                <w:rFonts w:ascii="Times New Roman" w:hAnsi="Times New Roman" w:cs="Times New Roman"/>
                <w:color w:val="000000"/>
                <w:sz w:val="22"/>
                <w:szCs w:val="22"/>
                <w:lang w:val="it-IT"/>
              </w:rPr>
              <w:t>Possibile interazione considerata la stessa via di eliminazione attraverso l’alcol deidrogenasi.</w:t>
            </w:r>
          </w:p>
        </w:tc>
        <w:tc>
          <w:tcPr>
            <w:tcW w:w="1457" w:type="pct"/>
            <w:vMerge w:val="restart"/>
          </w:tcPr>
          <w:p w14:paraId="3C0385AC" w14:textId="77777777" w:rsidR="00BA7D7D" w:rsidRPr="00C9575C" w:rsidRDefault="00BA7D7D"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color w:val="000000"/>
                <w:sz w:val="22"/>
                <w:szCs w:val="22"/>
                <w:lang w:val="it-IT"/>
              </w:rPr>
              <w:t>Dati insufficienti per raccomandare un aggiustamento della dose.</w:t>
            </w:r>
          </w:p>
        </w:tc>
      </w:tr>
      <w:tr w:rsidR="00BA7D7D" w:rsidRPr="00C9575C" w14:paraId="513E4EC3" w14:textId="77777777" w:rsidTr="00D05FE0">
        <w:trPr>
          <w:cantSplit/>
        </w:trPr>
        <w:tc>
          <w:tcPr>
            <w:tcW w:w="1801" w:type="pct"/>
          </w:tcPr>
          <w:p w14:paraId="25C79AFC" w14:textId="77777777" w:rsidR="003111C6" w:rsidRPr="00C9575C" w:rsidRDefault="00BA7D7D" w:rsidP="003111C6">
            <w:pPr>
              <w:pStyle w:val="tabletextNS"/>
              <w:ind w:right="-108"/>
              <w:rPr>
                <w:rFonts w:ascii="Times New Roman" w:hAnsi="Times New Roman" w:cs="Times New Roman"/>
                <w:sz w:val="22"/>
                <w:szCs w:val="22"/>
                <w:lang w:val="it-IT"/>
              </w:rPr>
            </w:pPr>
            <w:r w:rsidRPr="00C9575C">
              <w:rPr>
                <w:rFonts w:ascii="Times New Roman" w:hAnsi="Times New Roman" w:cs="Times New Roman"/>
                <w:sz w:val="22"/>
                <w:szCs w:val="22"/>
                <w:lang w:val="it-IT"/>
              </w:rPr>
              <w:t>Composti retinoidi</w:t>
            </w:r>
            <w:r w:rsidR="003111C6" w:rsidRPr="00C9575C">
              <w:rPr>
                <w:rFonts w:ascii="Times New Roman" w:hAnsi="Times New Roman" w:cs="Times New Roman"/>
                <w:sz w:val="22"/>
                <w:szCs w:val="22"/>
                <w:lang w:val="it-IT"/>
              </w:rPr>
              <w:t xml:space="preserve"> </w:t>
            </w:r>
            <w:r w:rsidRPr="00C9575C">
              <w:rPr>
                <w:rFonts w:ascii="Times New Roman" w:hAnsi="Times New Roman" w:cs="Times New Roman"/>
                <w:sz w:val="22"/>
                <w:szCs w:val="22"/>
                <w:lang w:val="it-IT"/>
              </w:rPr>
              <w:t>(ad esempio isotretinoina)/Lamivudina</w:t>
            </w:r>
          </w:p>
          <w:p w14:paraId="75916C51"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Nessuno studio di interazione farmacologica</w:t>
            </w:r>
          </w:p>
        </w:tc>
        <w:tc>
          <w:tcPr>
            <w:tcW w:w="1742" w:type="pct"/>
          </w:tcPr>
          <w:p w14:paraId="66F55729" w14:textId="77777777" w:rsidR="00BA7D7D" w:rsidRPr="00C9575C" w:rsidRDefault="00BA7D7D" w:rsidP="00933DED">
            <w:pPr>
              <w:pStyle w:val="tabletextNS"/>
              <w:rPr>
                <w:rFonts w:ascii="Times New Roman" w:hAnsi="Times New Roman" w:cs="Times New Roman"/>
                <w:color w:val="000000"/>
                <w:sz w:val="22"/>
                <w:szCs w:val="22"/>
                <w:lang w:val="it-IT"/>
              </w:rPr>
            </w:pPr>
            <w:r w:rsidRPr="00C9575C">
              <w:rPr>
                <w:rFonts w:ascii="Times New Roman" w:hAnsi="Times New Roman" w:cs="Times New Roman"/>
                <w:color w:val="000000"/>
                <w:sz w:val="22"/>
                <w:szCs w:val="22"/>
                <w:lang w:val="it-IT"/>
              </w:rPr>
              <w:t>Interazione non studiata</w:t>
            </w:r>
          </w:p>
          <w:p w14:paraId="6D1DA3EC" w14:textId="77777777" w:rsidR="00BA7D7D" w:rsidRPr="00C9575C" w:rsidRDefault="00BA7D7D" w:rsidP="00933DED">
            <w:pPr>
              <w:pStyle w:val="tabletextNS"/>
              <w:rPr>
                <w:rFonts w:ascii="Times New Roman" w:hAnsi="Times New Roman" w:cs="Times New Roman"/>
                <w:color w:val="000000"/>
                <w:sz w:val="22"/>
                <w:szCs w:val="22"/>
                <w:lang w:val="it-IT"/>
              </w:rPr>
            </w:pPr>
          </w:p>
        </w:tc>
        <w:tc>
          <w:tcPr>
            <w:tcW w:w="1457" w:type="pct"/>
            <w:vMerge/>
          </w:tcPr>
          <w:p w14:paraId="25268162" w14:textId="77777777" w:rsidR="00BA7D7D" w:rsidRPr="00C9575C" w:rsidRDefault="00BA7D7D" w:rsidP="00933DED">
            <w:pPr>
              <w:pStyle w:val="tabletextNS"/>
              <w:keepNext/>
              <w:rPr>
                <w:rFonts w:ascii="Times New Roman" w:hAnsi="Times New Roman" w:cs="Times New Roman"/>
                <w:b/>
                <w:sz w:val="22"/>
                <w:szCs w:val="22"/>
                <w:lang w:val="it-IT"/>
              </w:rPr>
            </w:pPr>
          </w:p>
        </w:tc>
      </w:tr>
      <w:tr w:rsidR="00BA7D7D" w:rsidRPr="00C9575C" w14:paraId="35D8B326" w14:textId="77777777" w:rsidTr="00933DED">
        <w:trPr>
          <w:cantSplit/>
        </w:trPr>
        <w:tc>
          <w:tcPr>
            <w:tcW w:w="5000" w:type="pct"/>
            <w:gridSpan w:val="3"/>
          </w:tcPr>
          <w:p w14:paraId="5E607797" w14:textId="77777777" w:rsidR="00BA7D7D" w:rsidRPr="00C9575C" w:rsidRDefault="00BA7D7D"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VARIE</w:t>
            </w:r>
          </w:p>
        </w:tc>
      </w:tr>
      <w:tr w:rsidR="00BA7D7D" w:rsidRPr="00C9575C" w14:paraId="16D88422" w14:textId="77777777" w:rsidTr="00D05FE0">
        <w:trPr>
          <w:cantSplit/>
        </w:trPr>
        <w:tc>
          <w:tcPr>
            <w:tcW w:w="1801" w:type="pct"/>
          </w:tcPr>
          <w:p w14:paraId="555D83BB"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Etanolo/Abacavir</w:t>
            </w:r>
          </w:p>
          <w:p w14:paraId="7F938F58"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(0,7 g/kg singola dose/600 mg singola dose)</w:t>
            </w:r>
          </w:p>
          <w:p w14:paraId="5AEF312E" w14:textId="77777777" w:rsidR="00BA7D7D" w:rsidRPr="00C9575C" w:rsidRDefault="00BA7D7D" w:rsidP="00933DED">
            <w:pPr>
              <w:pStyle w:val="tabletextNS"/>
              <w:rPr>
                <w:rFonts w:ascii="Times New Roman" w:hAnsi="Times New Roman" w:cs="Times New Roman"/>
                <w:b/>
                <w:sz w:val="22"/>
                <w:szCs w:val="22"/>
                <w:lang w:val="it-IT"/>
              </w:rPr>
            </w:pPr>
          </w:p>
        </w:tc>
        <w:tc>
          <w:tcPr>
            <w:tcW w:w="1742" w:type="pct"/>
          </w:tcPr>
          <w:p w14:paraId="253EA8A0"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 xml:space="preserve">Abacavir: AUC </w:t>
            </w:r>
            <w:r w:rsidRPr="00C9575C">
              <w:rPr>
                <w:rFonts w:ascii="Times New Roman" w:hAnsi="Times New Roman" w:cs="Times New Roman"/>
                <w:sz w:val="22"/>
                <w:szCs w:val="22"/>
                <w:lang w:val="it-IT"/>
              </w:rPr>
              <w:sym w:font="Symbol" w:char="F0AD"/>
            </w:r>
            <w:r w:rsidRPr="00C9575C">
              <w:rPr>
                <w:rFonts w:ascii="Times New Roman" w:hAnsi="Times New Roman" w:cs="Times New Roman"/>
                <w:sz w:val="22"/>
                <w:szCs w:val="22"/>
                <w:lang w:val="it-IT"/>
              </w:rPr>
              <w:t>41%</w:t>
            </w:r>
          </w:p>
          <w:p w14:paraId="6FD7BFB7" w14:textId="77777777" w:rsidR="00BA7D7D" w:rsidRPr="00C9575C" w:rsidRDefault="00BA7D7D" w:rsidP="00933DED">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 xml:space="preserve">Etanolo: AUC </w:t>
            </w:r>
            <w:r w:rsidRPr="00C9575C">
              <w:rPr>
                <w:rFonts w:ascii="Times New Roman" w:hAnsi="Times New Roman" w:cs="Times New Roman"/>
                <w:sz w:val="22"/>
                <w:szCs w:val="22"/>
                <w:lang w:val="it-IT"/>
              </w:rPr>
              <w:sym w:font="Symbol" w:char="F0AB"/>
            </w:r>
          </w:p>
          <w:p w14:paraId="42E2B529" w14:textId="77777777" w:rsidR="00BA7D7D" w:rsidRPr="00C9575C" w:rsidRDefault="00BA7D7D" w:rsidP="00933DED">
            <w:pPr>
              <w:pStyle w:val="tabletextNS"/>
              <w:rPr>
                <w:rFonts w:ascii="Times New Roman" w:hAnsi="Times New Roman" w:cs="Times New Roman"/>
                <w:sz w:val="22"/>
                <w:szCs w:val="22"/>
                <w:lang w:val="it-IT"/>
              </w:rPr>
            </w:pPr>
          </w:p>
          <w:p w14:paraId="0E4CAC1B" w14:textId="77777777" w:rsidR="00BA7D7D" w:rsidRPr="00C9575C" w:rsidRDefault="00BA7D7D" w:rsidP="00933DED">
            <w:pPr>
              <w:pStyle w:val="tabletextNS"/>
              <w:rPr>
                <w:rFonts w:ascii="Times New Roman" w:hAnsi="Times New Roman" w:cs="Times New Roman"/>
                <w:b/>
                <w:sz w:val="22"/>
                <w:szCs w:val="22"/>
                <w:lang w:val="it-IT"/>
              </w:rPr>
            </w:pPr>
            <w:r w:rsidRPr="00C9575C">
              <w:rPr>
                <w:rFonts w:ascii="Times New Roman" w:hAnsi="Times New Roman" w:cs="Times New Roman"/>
                <w:sz w:val="22"/>
                <w:szCs w:val="22"/>
                <w:lang w:val="it-IT"/>
              </w:rPr>
              <w:t>(Inibizione dell’alcol deidrogenasi)</w:t>
            </w:r>
          </w:p>
        </w:tc>
        <w:tc>
          <w:tcPr>
            <w:tcW w:w="1457" w:type="pct"/>
            <w:vMerge w:val="restart"/>
          </w:tcPr>
          <w:p w14:paraId="2E7342DA" w14:textId="77777777" w:rsidR="00BA7D7D" w:rsidRPr="00C9575C" w:rsidRDefault="00BA7D7D" w:rsidP="00933DED">
            <w:pPr>
              <w:pStyle w:val="tabletextNS"/>
              <w:keepNext/>
              <w:rPr>
                <w:rFonts w:ascii="Times New Roman" w:hAnsi="Times New Roman" w:cs="Times New Roman"/>
                <w:b/>
                <w:sz w:val="22"/>
                <w:szCs w:val="22"/>
                <w:lang w:val="it-IT"/>
              </w:rPr>
            </w:pPr>
            <w:r w:rsidRPr="00C9575C">
              <w:rPr>
                <w:rFonts w:ascii="Times New Roman" w:hAnsi="Times New Roman" w:cs="Times New Roman"/>
                <w:sz w:val="22"/>
                <w:szCs w:val="22"/>
                <w:lang w:val="it-IT"/>
              </w:rPr>
              <w:t xml:space="preserve">Non è necessario alcun aggiustamento </w:t>
            </w:r>
            <w:r w:rsidRPr="00C9575C">
              <w:rPr>
                <w:rFonts w:ascii="Times New Roman" w:hAnsi="Times New Roman" w:cs="Times New Roman"/>
                <w:color w:val="000000"/>
                <w:sz w:val="22"/>
                <w:szCs w:val="22"/>
                <w:lang w:val="it-IT"/>
              </w:rPr>
              <w:t>della dose.</w:t>
            </w:r>
          </w:p>
        </w:tc>
      </w:tr>
      <w:tr w:rsidR="00BA7D7D" w:rsidRPr="00C9575C" w14:paraId="6289D923" w14:textId="77777777" w:rsidTr="00D05FE0">
        <w:trPr>
          <w:cantSplit/>
        </w:trPr>
        <w:tc>
          <w:tcPr>
            <w:tcW w:w="1801" w:type="pct"/>
          </w:tcPr>
          <w:p w14:paraId="0B51C527" w14:textId="77777777" w:rsidR="00BA7D7D" w:rsidRPr="00C9575C" w:rsidRDefault="00BA7D7D" w:rsidP="00933DED">
            <w:pPr>
              <w:pStyle w:val="tabletextNS"/>
              <w:rPr>
                <w:rFonts w:ascii="Times New Roman" w:hAnsi="Times New Roman" w:cs="Times New Roman"/>
                <w:b/>
                <w:sz w:val="22"/>
                <w:szCs w:val="22"/>
                <w:lang w:val="it-IT"/>
              </w:rPr>
            </w:pPr>
            <w:r w:rsidRPr="00C9575C">
              <w:rPr>
                <w:rFonts w:ascii="Times New Roman" w:hAnsi="Times New Roman" w:cs="Times New Roman"/>
                <w:sz w:val="22"/>
                <w:szCs w:val="22"/>
                <w:lang w:val="it-IT"/>
              </w:rPr>
              <w:t>Etanolo/Lamivudina</w:t>
            </w:r>
          </w:p>
        </w:tc>
        <w:tc>
          <w:tcPr>
            <w:tcW w:w="1742" w:type="pct"/>
          </w:tcPr>
          <w:p w14:paraId="5B051081" w14:textId="77777777" w:rsidR="00BA7D7D" w:rsidRPr="00C9575C" w:rsidRDefault="00BA7D7D" w:rsidP="00B06541">
            <w:pPr>
              <w:pStyle w:val="tabletextNS"/>
              <w:rPr>
                <w:rFonts w:ascii="Times New Roman" w:hAnsi="Times New Roman" w:cs="Times New Roman"/>
                <w:b/>
                <w:sz w:val="22"/>
                <w:szCs w:val="22"/>
                <w:lang w:val="it-IT"/>
              </w:rPr>
            </w:pPr>
            <w:r w:rsidRPr="00C9575C">
              <w:rPr>
                <w:rFonts w:ascii="Times New Roman" w:hAnsi="Times New Roman" w:cs="Times New Roman"/>
                <w:color w:val="000000"/>
                <w:sz w:val="22"/>
                <w:szCs w:val="22"/>
                <w:lang w:val="it-IT"/>
              </w:rPr>
              <w:t>Interazione non studiata.</w:t>
            </w:r>
          </w:p>
        </w:tc>
        <w:tc>
          <w:tcPr>
            <w:tcW w:w="1457" w:type="pct"/>
            <w:vMerge/>
          </w:tcPr>
          <w:p w14:paraId="6C570C90" w14:textId="77777777" w:rsidR="00BA7D7D" w:rsidRPr="00C9575C" w:rsidRDefault="00BA7D7D" w:rsidP="00933DED">
            <w:pPr>
              <w:pStyle w:val="tabletextNS"/>
              <w:keepNext/>
              <w:rPr>
                <w:rFonts w:ascii="Times New Roman" w:hAnsi="Times New Roman" w:cs="Times New Roman"/>
                <w:b/>
                <w:sz w:val="22"/>
                <w:szCs w:val="22"/>
                <w:lang w:val="it-IT"/>
              </w:rPr>
            </w:pPr>
          </w:p>
        </w:tc>
      </w:tr>
      <w:tr w:rsidR="0020172E" w:rsidRPr="00C9575C" w14:paraId="7D760370" w14:textId="77777777" w:rsidTr="00D05FE0">
        <w:trPr>
          <w:cantSplit/>
        </w:trPr>
        <w:tc>
          <w:tcPr>
            <w:tcW w:w="1801" w:type="pct"/>
          </w:tcPr>
          <w:p w14:paraId="5D5BF20C" w14:textId="77777777" w:rsidR="0020172E" w:rsidRPr="00C9575C" w:rsidRDefault="0020172E" w:rsidP="0020172E">
            <w:pPr>
              <w:pStyle w:val="tabletextNS"/>
              <w:rPr>
                <w:rFonts w:ascii="Times New Roman" w:hAnsi="Times New Roman" w:cs="Times New Roman"/>
                <w:sz w:val="22"/>
                <w:szCs w:val="22"/>
                <w:lang w:val="it-IT"/>
              </w:rPr>
            </w:pPr>
            <w:r w:rsidRPr="00C9575C">
              <w:rPr>
                <w:rFonts w:ascii="Times New Roman" w:hAnsi="Times New Roman" w:cs="Times New Roman"/>
                <w:sz w:val="22"/>
                <w:szCs w:val="22"/>
                <w:lang w:val="it-IT"/>
              </w:rPr>
              <w:t>Sorbitolo soluzione (3,2 g, 10,2 g, 13,4 g)/ Lamivudina</w:t>
            </w:r>
          </w:p>
        </w:tc>
        <w:tc>
          <w:tcPr>
            <w:tcW w:w="1742" w:type="pct"/>
          </w:tcPr>
          <w:p w14:paraId="2B61AA80" w14:textId="77777777" w:rsidR="0020172E" w:rsidRPr="00C9575C" w:rsidRDefault="0020172E" w:rsidP="0020172E">
            <w:pPr>
              <w:spacing w:after="120"/>
              <w:rPr>
                <w:lang w:val="it-IT"/>
              </w:rPr>
            </w:pPr>
            <w:r w:rsidRPr="00C9575C">
              <w:rPr>
                <w:rStyle w:val="PageNumber"/>
                <w:lang w:val="it-IT"/>
              </w:rPr>
              <w:t>Singola dose di lamivudina 300 mg soluzione orale</w:t>
            </w:r>
          </w:p>
          <w:p w14:paraId="5CD6B8CE" w14:textId="77777777" w:rsidR="0020172E" w:rsidRPr="00C9575C" w:rsidRDefault="0020172E" w:rsidP="0020172E">
            <w:pPr>
              <w:spacing w:after="120"/>
              <w:rPr>
                <w:lang w:val="it-IT"/>
              </w:rPr>
            </w:pPr>
            <w:r w:rsidRPr="00C9575C">
              <w:rPr>
                <w:lang w:val="it-IT"/>
              </w:rPr>
              <w:t>Lamivudina:</w:t>
            </w:r>
          </w:p>
          <w:p w14:paraId="347C9B8A" w14:textId="77777777" w:rsidR="0020172E" w:rsidRPr="00C03451" w:rsidRDefault="0020172E" w:rsidP="0020172E">
            <w:pPr>
              <w:spacing w:after="120"/>
              <w:rPr>
                <w:lang w:val="it-IT"/>
              </w:rPr>
            </w:pPr>
            <w:r w:rsidRPr="00C03451">
              <w:rPr>
                <w:lang w:val="it-IT"/>
              </w:rPr>
              <w:t xml:space="preserve">AUC </w:t>
            </w:r>
            <w:r w:rsidRPr="00C03451">
              <w:rPr>
                <w:lang w:val="it-IT"/>
              </w:rPr>
              <w:sym w:font="Symbol" w:char="F0AF"/>
            </w:r>
            <w:r w:rsidRPr="00C03451">
              <w:rPr>
                <w:lang w:val="it-IT"/>
              </w:rPr>
              <w:t xml:space="preserve"> 14%; 32%; 36% </w:t>
            </w:r>
          </w:p>
          <w:p w14:paraId="2B67DBC5" w14:textId="77777777" w:rsidR="0020172E" w:rsidRPr="00C03451" w:rsidRDefault="0020172E" w:rsidP="0020172E">
            <w:pPr>
              <w:pStyle w:val="tabletextNS"/>
              <w:rPr>
                <w:rFonts w:ascii="Times New Roman" w:hAnsi="Times New Roman" w:cs="Times New Roman"/>
                <w:lang w:val="it-IT"/>
              </w:rPr>
            </w:pPr>
            <w:r w:rsidRPr="00C03451">
              <w:rPr>
                <w:rFonts w:ascii="Times New Roman" w:hAnsi="Times New Roman" w:cs="Times New Roman"/>
                <w:lang w:val="it-IT"/>
              </w:rPr>
              <w:t>C</w:t>
            </w:r>
            <w:r w:rsidRPr="00C03451">
              <w:rPr>
                <w:rFonts w:ascii="Times New Roman" w:hAnsi="Times New Roman" w:cs="Times New Roman"/>
                <w:sz w:val="22"/>
                <w:vertAlign w:val="subscript"/>
                <w:lang w:val="it-IT"/>
              </w:rPr>
              <w:t>max</w:t>
            </w:r>
            <w:r w:rsidRPr="00C03451">
              <w:rPr>
                <w:rFonts w:ascii="Times New Roman" w:hAnsi="Times New Roman" w:cs="Times New Roman"/>
                <w:sz w:val="22"/>
                <w:lang w:val="it-IT"/>
              </w:rPr>
              <w:t xml:space="preserve"> </w:t>
            </w:r>
            <w:r w:rsidRPr="00C03451">
              <w:rPr>
                <w:rFonts w:ascii="Times New Roman" w:hAnsi="Times New Roman" w:cs="Times New Roman"/>
                <w:lang w:val="it-IT"/>
              </w:rPr>
              <w:sym w:font="Symbol" w:char="F0AF"/>
            </w:r>
            <w:r w:rsidRPr="00C03451">
              <w:rPr>
                <w:rFonts w:ascii="Times New Roman" w:hAnsi="Times New Roman" w:cs="Times New Roman"/>
                <w:lang w:val="it-IT"/>
              </w:rPr>
              <w:t xml:space="preserve"> 28%; 52%, 55%.</w:t>
            </w:r>
          </w:p>
          <w:p w14:paraId="4A66D7DA" w14:textId="77777777" w:rsidR="0020172E" w:rsidRPr="00C9575C" w:rsidRDefault="0020172E" w:rsidP="0020172E">
            <w:pPr>
              <w:pStyle w:val="tabletextNS"/>
              <w:rPr>
                <w:rFonts w:ascii="Times New Roman" w:hAnsi="Times New Roman" w:cs="Times New Roman"/>
                <w:color w:val="000000"/>
                <w:sz w:val="22"/>
                <w:szCs w:val="22"/>
                <w:lang w:val="it-IT"/>
              </w:rPr>
            </w:pPr>
          </w:p>
        </w:tc>
        <w:tc>
          <w:tcPr>
            <w:tcW w:w="1457" w:type="pct"/>
          </w:tcPr>
          <w:p w14:paraId="6673A461" w14:textId="77777777" w:rsidR="0020172E" w:rsidRPr="00C9575C" w:rsidRDefault="00F736B0" w:rsidP="00D91179">
            <w:pPr>
              <w:tabs>
                <w:tab w:val="left" w:pos="567"/>
              </w:tabs>
              <w:ind w:right="28"/>
              <w:rPr>
                <w:b/>
                <w:szCs w:val="22"/>
                <w:lang w:val="it-IT"/>
              </w:rPr>
            </w:pPr>
            <w:r w:rsidRPr="00C9575C">
              <w:rPr>
                <w:rStyle w:val="PageNumber"/>
                <w:lang w:val="it-IT"/>
              </w:rPr>
              <w:t xml:space="preserve">Quando possibile, evitare la co-somministrazione cronica di Kivexa con medicinali contenenti sorbitolo o altri poli-alcoli ad azione osmotica o alcoli monosaccaridici (per esempio xilitolo, mannitolo, lactitolo, maltitolo). </w:t>
            </w:r>
            <w:r w:rsidR="00D84D90" w:rsidRPr="00C9575C">
              <w:rPr>
                <w:rStyle w:val="PageNumber"/>
                <w:lang w:val="it-IT"/>
              </w:rPr>
              <w:t xml:space="preserve">Prendere in considerazione </w:t>
            </w:r>
            <w:r w:rsidRPr="00C9575C">
              <w:rPr>
                <w:rStyle w:val="PageNumber"/>
                <w:lang w:val="it-IT"/>
              </w:rPr>
              <w:t>un monitoraggio più frequente della carica virale dell'HIV-1 qualora la co-somministrazione cronica non possa essere evitata</w:t>
            </w:r>
            <w:r w:rsidR="00D91179" w:rsidRPr="00C9575C">
              <w:rPr>
                <w:rStyle w:val="PageNumber"/>
                <w:lang w:val="it-IT"/>
              </w:rPr>
              <w:t>.</w:t>
            </w:r>
          </w:p>
        </w:tc>
      </w:tr>
    </w:tbl>
    <w:p w14:paraId="336ED69A" w14:textId="77777777" w:rsidR="00885288" w:rsidRPr="00C03451" w:rsidRDefault="00885288">
      <w:pPr>
        <w:rPr>
          <w:lang w:val="it-IT"/>
        </w:rPr>
      </w:pPr>
      <w:r w:rsidRPr="00C03451">
        <w:rPr>
          <w:lang w:val="it-IT"/>
        </w:rPr>
        <w:br w:type="page"/>
      </w:r>
    </w:p>
    <w:tbl>
      <w:tblPr>
        <w:tblpPr w:leftFromText="180" w:rightFromText="180" w:vertAnchor="text" w:horzAnchor="margin" w:tblpX="108" w:tblpY="154"/>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49"/>
        <w:gridCol w:w="2534"/>
      </w:tblGrid>
      <w:tr w:rsidR="00885288" w:rsidRPr="00C9575C" w14:paraId="735D5543" w14:textId="77777777" w:rsidTr="00D05FE0">
        <w:trPr>
          <w:cantSplit/>
        </w:trPr>
        <w:tc>
          <w:tcPr>
            <w:tcW w:w="1801" w:type="pct"/>
          </w:tcPr>
          <w:p w14:paraId="3E2B8F9D" w14:textId="77777777" w:rsidR="00885288" w:rsidRPr="00C9575C" w:rsidRDefault="00885288" w:rsidP="00885288">
            <w:pPr>
              <w:pStyle w:val="tabletextNS"/>
              <w:rPr>
                <w:rFonts w:ascii="Times New Roman" w:hAnsi="Times New Roman" w:cs="Times New Roman"/>
                <w:b/>
                <w:sz w:val="22"/>
                <w:szCs w:val="22"/>
                <w:lang w:val="it-IT"/>
              </w:rPr>
            </w:pPr>
            <w:r w:rsidRPr="00C9575C">
              <w:rPr>
                <w:rFonts w:ascii="Times New Roman" w:hAnsi="Times New Roman" w:cs="Times New Roman"/>
                <w:b/>
                <w:sz w:val="22"/>
                <w:szCs w:val="22"/>
                <w:lang w:val="it-IT"/>
              </w:rPr>
              <w:lastRenderedPageBreak/>
              <w:t xml:space="preserve">Farmaci per area terapeutica </w:t>
            </w:r>
          </w:p>
          <w:p w14:paraId="28314052" w14:textId="77777777" w:rsidR="00885288" w:rsidRPr="00C9575C" w:rsidRDefault="00885288" w:rsidP="00885288">
            <w:pPr>
              <w:pStyle w:val="tabletextNS"/>
              <w:keepNext/>
              <w:rPr>
                <w:rFonts w:ascii="Times New Roman" w:hAnsi="Times New Roman" w:cs="Times New Roman"/>
                <w:b/>
                <w:sz w:val="22"/>
                <w:szCs w:val="22"/>
                <w:lang w:val="it-IT"/>
              </w:rPr>
            </w:pPr>
          </w:p>
        </w:tc>
        <w:tc>
          <w:tcPr>
            <w:tcW w:w="1742" w:type="pct"/>
          </w:tcPr>
          <w:p w14:paraId="047D4BCE" w14:textId="77777777" w:rsidR="00885288" w:rsidRPr="00C9575C" w:rsidRDefault="00885288" w:rsidP="00885288">
            <w:pPr>
              <w:pStyle w:val="tabletextNS"/>
              <w:rPr>
                <w:rFonts w:ascii="Times New Roman" w:hAnsi="Times New Roman" w:cs="Times New Roman"/>
                <w:b/>
                <w:sz w:val="22"/>
                <w:szCs w:val="22"/>
                <w:lang w:val="it-IT"/>
              </w:rPr>
            </w:pPr>
            <w:r w:rsidRPr="00C9575C">
              <w:rPr>
                <w:rFonts w:ascii="Times New Roman" w:hAnsi="Times New Roman" w:cs="Times New Roman"/>
                <w:b/>
                <w:sz w:val="22"/>
                <w:szCs w:val="22"/>
                <w:lang w:val="it-IT"/>
              </w:rPr>
              <w:t>Interazioni</w:t>
            </w:r>
          </w:p>
          <w:p w14:paraId="55D1D249" w14:textId="77777777" w:rsidR="00885288" w:rsidRPr="00C9575C" w:rsidRDefault="00885288" w:rsidP="00885288">
            <w:pPr>
              <w:pStyle w:val="tabletextNS"/>
              <w:ind w:right="-250"/>
              <w:rPr>
                <w:rFonts w:ascii="Times New Roman" w:hAnsi="Times New Roman" w:cs="Times New Roman"/>
                <w:b/>
                <w:sz w:val="22"/>
                <w:szCs w:val="22"/>
                <w:lang w:val="it-IT"/>
              </w:rPr>
            </w:pPr>
            <w:r w:rsidRPr="00C9575C">
              <w:rPr>
                <w:rFonts w:ascii="Times New Roman" w:hAnsi="Times New Roman" w:cs="Times New Roman"/>
                <w:b/>
                <w:sz w:val="22"/>
                <w:szCs w:val="22"/>
                <w:lang w:val="it-IT"/>
              </w:rPr>
              <w:t>Cambiamenti nella media geometrica (%) (Possibile meccanismo)</w:t>
            </w:r>
          </w:p>
        </w:tc>
        <w:tc>
          <w:tcPr>
            <w:tcW w:w="1457" w:type="pct"/>
          </w:tcPr>
          <w:p w14:paraId="6D7D1A0D" w14:textId="77777777" w:rsidR="00885288" w:rsidRPr="00C9575C" w:rsidRDefault="00885288" w:rsidP="00885288">
            <w:pPr>
              <w:pStyle w:val="tabletextNS"/>
              <w:keepNext/>
              <w:rPr>
                <w:rFonts w:ascii="Times New Roman" w:hAnsi="Times New Roman" w:cs="Times New Roman"/>
                <w:b/>
                <w:sz w:val="22"/>
                <w:szCs w:val="22"/>
                <w:lang w:val="it-IT"/>
              </w:rPr>
            </w:pPr>
            <w:r w:rsidRPr="00C9575C">
              <w:rPr>
                <w:rFonts w:ascii="Times New Roman" w:hAnsi="Times New Roman" w:cs="Times New Roman"/>
                <w:b/>
                <w:sz w:val="22"/>
                <w:szCs w:val="22"/>
                <w:lang w:val="it-IT"/>
              </w:rPr>
              <w:t>Raccomandazioni relative alla co-somministrazione</w:t>
            </w:r>
          </w:p>
        </w:tc>
      </w:tr>
      <w:tr w:rsidR="00885288" w:rsidRPr="00C9575C" w14:paraId="05022E36" w14:textId="77777777" w:rsidTr="00D05FE0">
        <w:trPr>
          <w:cantSplit/>
        </w:trPr>
        <w:tc>
          <w:tcPr>
            <w:tcW w:w="1801" w:type="pct"/>
          </w:tcPr>
          <w:p w14:paraId="5E9CE4F2" w14:textId="77777777" w:rsidR="00885288" w:rsidRPr="00C9575C" w:rsidRDefault="00885288" w:rsidP="0020172E">
            <w:pPr>
              <w:pStyle w:val="tabletextNS"/>
              <w:rPr>
                <w:rFonts w:ascii="Times New Roman" w:hAnsi="Times New Roman" w:cs="Times New Roman"/>
                <w:sz w:val="22"/>
                <w:szCs w:val="22"/>
                <w:lang w:val="it-IT"/>
              </w:rPr>
            </w:pPr>
            <w:r w:rsidRPr="00C03451">
              <w:rPr>
                <w:rFonts w:ascii="Times New Roman" w:hAnsi="Times New Roman" w:cs="Times New Roman"/>
                <w:sz w:val="22"/>
                <w:szCs w:val="22"/>
                <w:lang w:val="it-IT"/>
              </w:rPr>
              <w:t>Riociguat/Abacavir</w:t>
            </w:r>
          </w:p>
        </w:tc>
        <w:tc>
          <w:tcPr>
            <w:tcW w:w="1742" w:type="pct"/>
          </w:tcPr>
          <w:p w14:paraId="440810A0" w14:textId="77777777" w:rsidR="00885288" w:rsidRPr="00C03451" w:rsidRDefault="00885288" w:rsidP="00885288">
            <w:pPr>
              <w:spacing w:after="120"/>
              <w:rPr>
                <w:rFonts w:ascii="Symbol" w:eastAsia="Symbol" w:hAnsi="Symbol" w:cs="Symbol"/>
                <w:bCs/>
                <w:iCs/>
                <w:lang w:val="it-IT"/>
              </w:rPr>
            </w:pPr>
            <w:r w:rsidRPr="00C03451">
              <w:rPr>
                <w:bCs/>
                <w:iCs/>
                <w:lang w:val="it-IT"/>
              </w:rPr>
              <w:t xml:space="preserve">Riociguat </w:t>
            </w:r>
            <w:r w:rsidRPr="00C03451">
              <w:rPr>
                <w:rFonts w:ascii="Symbol" w:eastAsia="Symbol" w:hAnsi="Symbol" w:cs="Symbol"/>
                <w:bCs/>
                <w:iCs/>
                <w:lang w:val="it-IT"/>
              </w:rPr>
              <w:t></w:t>
            </w:r>
          </w:p>
          <w:p w14:paraId="04729582" w14:textId="77777777" w:rsidR="00885288" w:rsidRPr="00C03451" w:rsidRDefault="00885288" w:rsidP="00885288">
            <w:pPr>
              <w:tabs>
                <w:tab w:val="left" w:pos="567"/>
              </w:tabs>
              <w:rPr>
                <w:iCs/>
                <w:lang w:val="it-IT"/>
              </w:rPr>
            </w:pPr>
            <w:r w:rsidRPr="00C03451">
              <w:rPr>
                <w:i/>
                <w:lang w:val="it-IT"/>
              </w:rPr>
              <w:t>In vitro</w:t>
            </w:r>
            <w:r w:rsidRPr="00C03451">
              <w:rPr>
                <w:iCs/>
                <w:lang w:val="it-IT"/>
              </w:rPr>
              <w:t xml:space="preserve">, abacavir inibisce il CYP1A1. La somministrazione concomitante di una singola dose di riociguat (0,5 mg) a pazienti con infezione da HIV che ricevono la combinazione di abacavir/dolutegravir/lamivudina (600mg/50mg/300mg una volta al giorno) ha portato ad una </w:t>
            </w:r>
          </w:p>
          <w:p w14:paraId="3ADE455D" w14:textId="77777777" w:rsidR="00885288" w:rsidRPr="00C9575C" w:rsidRDefault="00885288" w:rsidP="00885288">
            <w:pPr>
              <w:spacing w:after="120"/>
              <w:rPr>
                <w:rStyle w:val="PageNumber"/>
                <w:lang w:val="it-IT"/>
              </w:rPr>
            </w:pPr>
            <w:r w:rsidRPr="00C03451">
              <w:rPr>
                <w:iCs/>
                <w:lang w:val="it-IT"/>
              </w:rPr>
              <w:t>AUC </w:t>
            </w:r>
            <w:r w:rsidRPr="00C03451">
              <w:rPr>
                <w:iCs/>
                <w:vertAlign w:val="subscript"/>
                <w:lang w:val="it-IT"/>
              </w:rPr>
              <w:t>(0-∞)</w:t>
            </w:r>
            <w:r w:rsidRPr="00C03451">
              <w:rPr>
                <w:iCs/>
                <w:lang w:val="it-IT"/>
              </w:rPr>
              <w:t xml:space="preserve"> di riociguat approssimativamente tre volte superiore rispetto alla AUC</w:t>
            </w:r>
            <w:r w:rsidRPr="00C03451">
              <w:rPr>
                <w:iCs/>
                <w:vertAlign w:val="subscript"/>
                <w:lang w:val="it-IT"/>
              </w:rPr>
              <w:t xml:space="preserve">(0-∞) </w:t>
            </w:r>
            <w:r w:rsidRPr="00C03451">
              <w:rPr>
                <w:iCs/>
                <w:lang w:val="it-IT"/>
              </w:rPr>
              <w:t xml:space="preserve">storica di riociguat riportata nei soggetti sani. </w:t>
            </w:r>
          </w:p>
        </w:tc>
        <w:tc>
          <w:tcPr>
            <w:tcW w:w="1457" w:type="pct"/>
          </w:tcPr>
          <w:p w14:paraId="7C17CFE8" w14:textId="3B6CD619" w:rsidR="00885288" w:rsidRPr="00C03451" w:rsidRDefault="000203E6" w:rsidP="00885288">
            <w:pPr>
              <w:tabs>
                <w:tab w:val="left" w:pos="567"/>
              </w:tabs>
              <w:rPr>
                <w:iCs/>
                <w:lang w:val="it-IT"/>
              </w:rPr>
            </w:pPr>
            <w:r w:rsidRPr="00C03451">
              <w:rPr>
                <w:iCs/>
                <w:lang w:val="it-IT"/>
              </w:rPr>
              <w:t>Potrebbe essere necessario ridurre la dose di riociguat.</w:t>
            </w:r>
            <w:r w:rsidR="00060663">
              <w:rPr>
                <w:iCs/>
                <w:lang w:val="it-IT"/>
              </w:rPr>
              <w:t xml:space="preserve"> </w:t>
            </w:r>
            <w:r w:rsidR="00885288" w:rsidRPr="00C03451">
              <w:rPr>
                <w:iCs/>
                <w:lang w:val="it-IT"/>
              </w:rPr>
              <w:t>Consultare il riassunto delle caratteristiche del prodotto di riociguat per le raccomandazioni sul dosaggio</w:t>
            </w:r>
            <w:r w:rsidR="005348DC" w:rsidRPr="00C03451">
              <w:rPr>
                <w:iCs/>
                <w:lang w:val="it-IT"/>
              </w:rPr>
              <w:t>.</w:t>
            </w:r>
          </w:p>
          <w:p w14:paraId="388FF04B" w14:textId="77777777" w:rsidR="00885288" w:rsidRPr="00C9575C" w:rsidRDefault="00885288" w:rsidP="00D91179">
            <w:pPr>
              <w:tabs>
                <w:tab w:val="left" w:pos="567"/>
              </w:tabs>
              <w:ind w:right="28"/>
              <w:rPr>
                <w:rStyle w:val="PageNumber"/>
                <w:lang w:val="it-IT"/>
              </w:rPr>
            </w:pPr>
          </w:p>
        </w:tc>
      </w:tr>
    </w:tbl>
    <w:p w14:paraId="3FB3939A" w14:textId="4E0C6166" w:rsidR="00872C19" w:rsidRPr="00C9575C" w:rsidRDefault="002C6546" w:rsidP="00295C4D">
      <w:pPr>
        <w:keepNext/>
        <w:widowControl w:val="0"/>
        <w:rPr>
          <w:sz w:val="18"/>
          <w:szCs w:val="18"/>
          <w:lang w:val="it-IT"/>
        </w:rPr>
      </w:pPr>
      <w:r w:rsidRPr="00C9575C">
        <w:rPr>
          <w:sz w:val="18"/>
          <w:szCs w:val="18"/>
          <w:lang w:val="it-IT"/>
        </w:rPr>
        <w:t xml:space="preserve">Abbreviazioni: </w:t>
      </w:r>
      <w:r w:rsidRPr="00C9575C">
        <w:rPr>
          <w:sz w:val="18"/>
          <w:szCs w:val="18"/>
          <w:lang w:val="it-IT"/>
        </w:rPr>
        <w:sym w:font="Symbol" w:char="F0AD"/>
      </w:r>
      <w:r w:rsidRPr="00C9575C">
        <w:rPr>
          <w:sz w:val="18"/>
          <w:szCs w:val="18"/>
          <w:lang w:val="it-IT"/>
        </w:rPr>
        <w:t xml:space="preserve"> = aumento; </w:t>
      </w:r>
      <w:r w:rsidRPr="00C9575C">
        <w:rPr>
          <w:sz w:val="18"/>
          <w:szCs w:val="18"/>
          <w:lang w:val="it-IT"/>
        </w:rPr>
        <w:sym w:font="Symbol" w:char="F0AF"/>
      </w:r>
      <w:r w:rsidR="004755A4" w:rsidRPr="00C9575C">
        <w:rPr>
          <w:sz w:val="18"/>
          <w:szCs w:val="18"/>
          <w:lang w:val="it-IT"/>
        </w:rPr>
        <w:t xml:space="preserve"> </w:t>
      </w:r>
      <w:r w:rsidRPr="00C9575C">
        <w:rPr>
          <w:sz w:val="18"/>
          <w:szCs w:val="18"/>
          <w:lang w:val="it-IT"/>
        </w:rPr>
        <w:t>=</w:t>
      </w:r>
      <w:r w:rsidR="004755A4" w:rsidRPr="00C9575C">
        <w:rPr>
          <w:sz w:val="18"/>
          <w:szCs w:val="18"/>
          <w:lang w:val="it-IT"/>
        </w:rPr>
        <w:t xml:space="preserve"> </w:t>
      </w:r>
      <w:r w:rsidRPr="00C9575C">
        <w:rPr>
          <w:sz w:val="18"/>
          <w:szCs w:val="18"/>
          <w:lang w:val="it-IT"/>
        </w:rPr>
        <w:t xml:space="preserve">diminuzione; </w:t>
      </w:r>
      <w:r w:rsidRPr="00C9575C">
        <w:rPr>
          <w:sz w:val="18"/>
          <w:szCs w:val="18"/>
          <w:lang w:val="it-IT"/>
        </w:rPr>
        <w:sym w:font="Symbol" w:char="F0AB"/>
      </w:r>
      <w:r w:rsidR="004755A4" w:rsidRPr="00C9575C">
        <w:rPr>
          <w:sz w:val="18"/>
          <w:szCs w:val="18"/>
          <w:lang w:val="it-IT"/>
        </w:rPr>
        <w:t xml:space="preserve"> </w:t>
      </w:r>
      <w:r w:rsidRPr="00C9575C">
        <w:rPr>
          <w:sz w:val="18"/>
          <w:szCs w:val="18"/>
          <w:lang w:val="it-IT"/>
        </w:rPr>
        <w:t>= nessun cambiamento significativo; AUC</w:t>
      </w:r>
      <w:r w:rsidR="004755A4" w:rsidRPr="00C9575C">
        <w:rPr>
          <w:sz w:val="18"/>
          <w:szCs w:val="18"/>
          <w:lang w:val="it-IT"/>
        </w:rPr>
        <w:t xml:space="preserve"> </w:t>
      </w:r>
      <w:r w:rsidRPr="00C9575C">
        <w:rPr>
          <w:sz w:val="18"/>
          <w:szCs w:val="18"/>
          <w:lang w:val="it-IT"/>
        </w:rPr>
        <w:t>=</w:t>
      </w:r>
      <w:r w:rsidR="004755A4" w:rsidRPr="00C9575C">
        <w:rPr>
          <w:sz w:val="18"/>
          <w:szCs w:val="18"/>
          <w:lang w:val="it-IT"/>
        </w:rPr>
        <w:t xml:space="preserve"> </w:t>
      </w:r>
      <w:r w:rsidRPr="00C9575C">
        <w:rPr>
          <w:sz w:val="18"/>
          <w:szCs w:val="18"/>
          <w:lang w:val="it-IT"/>
        </w:rPr>
        <w:t>area sotto la curva della concentrazione in funzione del tempo; C</w:t>
      </w:r>
      <w:r w:rsidRPr="00C9575C">
        <w:rPr>
          <w:sz w:val="18"/>
          <w:szCs w:val="18"/>
          <w:vertAlign w:val="subscript"/>
          <w:lang w:val="it-IT"/>
        </w:rPr>
        <w:t>max</w:t>
      </w:r>
      <w:r w:rsidR="004755A4" w:rsidRPr="00C9575C">
        <w:rPr>
          <w:sz w:val="18"/>
          <w:szCs w:val="18"/>
          <w:vertAlign w:val="subscript"/>
          <w:lang w:val="it-IT"/>
        </w:rPr>
        <w:t xml:space="preserve"> </w:t>
      </w:r>
      <w:r w:rsidRPr="00C9575C">
        <w:rPr>
          <w:sz w:val="18"/>
          <w:szCs w:val="18"/>
          <w:lang w:val="it-IT"/>
        </w:rPr>
        <w:t>=</w:t>
      </w:r>
      <w:r w:rsidR="006E0905" w:rsidRPr="00C9575C">
        <w:rPr>
          <w:sz w:val="18"/>
          <w:szCs w:val="18"/>
          <w:lang w:val="it-IT"/>
        </w:rPr>
        <w:t xml:space="preserve"> </w:t>
      </w:r>
      <w:r w:rsidRPr="00C9575C">
        <w:rPr>
          <w:sz w:val="18"/>
          <w:szCs w:val="18"/>
          <w:lang w:val="it-IT"/>
        </w:rPr>
        <w:t>concentrazione massima osservata; CL/F</w:t>
      </w:r>
      <w:r w:rsidR="004755A4" w:rsidRPr="00C9575C">
        <w:rPr>
          <w:sz w:val="18"/>
          <w:szCs w:val="18"/>
          <w:lang w:val="it-IT"/>
        </w:rPr>
        <w:t xml:space="preserve"> </w:t>
      </w:r>
      <w:r w:rsidRPr="00C9575C">
        <w:rPr>
          <w:sz w:val="18"/>
          <w:szCs w:val="18"/>
          <w:lang w:val="it-IT"/>
        </w:rPr>
        <w:t>=</w:t>
      </w:r>
      <w:r w:rsidRPr="00C9575C">
        <w:rPr>
          <w:b/>
          <w:bCs/>
          <w:color w:val="0080C0"/>
          <w:sz w:val="18"/>
          <w:szCs w:val="18"/>
          <w:lang w:val="it-IT"/>
        </w:rPr>
        <w:t xml:space="preserve"> </w:t>
      </w:r>
      <w:r w:rsidRPr="00C9575C">
        <w:rPr>
          <w:sz w:val="18"/>
          <w:szCs w:val="18"/>
          <w:lang w:val="it-IT"/>
        </w:rPr>
        <w:t>clearance orale apparente</w:t>
      </w:r>
    </w:p>
    <w:p w14:paraId="67324772" w14:textId="77777777" w:rsidR="00D64112" w:rsidRPr="00C9575C" w:rsidRDefault="00D64112" w:rsidP="00D64112">
      <w:pPr>
        <w:rPr>
          <w:szCs w:val="22"/>
          <w:u w:val="single"/>
          <w:lang w:val="it-IT"/>
        </w:rPr>
      </w:pPr>
    </w:p>
    <w:p w14:paraId="0EEBCBB7" w14:textId="77777777" w:rsidR="00D64112" w:rsidRPr="00C9575C" w:rsidRDefault="00D64112" w:rsidP="00D64112">
      <w:pPr>
        <w:rPr>
          <w:szCs w:val="22"/>
          <w:lang w:val="it-IT"/>
        </w:rPr>
      </w:pPr>
      <w:r w:rsidRPr="00C9575C">
        <w:rPr>
          <w:szCs w:val="22"/>
          <w:u w:val="single"/>
          <w:lang w:val="it-IT"/>
        </w:rPr>
        <w:t>Popolazione pediatrica</w:t>
      </w:r>
    </w:p>
    <w:p w14:paraId="06F2E328" w14:textId="77777777" w:rsidR="00D64112" w:rsidRPr="00C9575C" w:rsidRDefault="00D64112" w:rsidP="00D64112">
      <w:pPr>
        <w:suppressAutoHyphens/>
        <w:rPr>
          <w:szCs w:val="22"/>
          <w:lang w:val="it-IT"/>
        </w:rPr>
      </w:pPr>
    </w:p>
    <w:p w14:paraId="2F01276F" w14:textId="77777777" w:rsidR="00D64112" w:rsidRPr="00C9575C" w:rsidRDefault="00D64112" w:rsidP="00D64112">
      <w:pPr>
        <w:suppressAutoHyphens/>
        <w:rPr>
          <w:szCs w:val="22"/>
          <w:lang w:val="it-IT"/>
        </w:rPr>
      </w:pPr>
      <w:r w:rsidRPr="00C9575C">
        <w:rPr>
          <w:szCs w:val="22"/>
          <w:lang w:val="it-IT"/>
        </w:rPr>
        <w:t>Sono stati effettuati studi d’interazione solo negli adulti.</w:t>
      </w:r>
    </w:p>
    <w:p w14:paraId="5A52A61D" w14:textId="77777777" w:rsidR="00D91179" w:rsidRPr="00C9575C" w:rsidRDefault="00D91179" w:rsidP="00CA3B03">
      <w:pPr>
        <w:widowControl w:val="0"/>
        <w:rPr>
          <w:szCs w:val="22"/>
          <w:lang w:val="it-IT"/>
        </w:rPr>
      </w:pPr>
    </w:p>
    <w:p w14:paraId="2FBB89BE" w14:textId="1804D1F7" w:rsidR="0084378B" w:rsidRPr="00C9575C" w:rsidRDefault="0084378B">
      <w:pPr>
        <w:widowControl w:val="0"/>
        <w:tabs>
          <w:tab w:val="left" w:pos="567"/>
        </w:tabs>
        <w:outlineLvl w:val="0"/>
        <w:rPr>
          <w:b/>
          <w:szCs w:val="22"/>
          <w:lang w:val="it-IT"/>
        </w:rPr>
      </w:pPr>
      <w:r w:rsidRPr="00C9575C">
        <w:rPr>
          <w:b/>
          <w:szCs w:val="22"/>
          <w:lang w:val="it-IT"/>
        </w:rPr>
        <w:t>4.6</w:t>
      </w:r>
      <w:r w:rsidRPr="00C9575C">
        <w:rPr>
          <w:b/>
          <w:szCs w:val="22"/>
          <w:lang w:val="it-IT"/>
        </w:rPr>
        <w:tab/>
      </w:r>
      <w:r w:rsidR="00CA3B03" w:rsidRPr="00C9575C">
        <w:rPr>
          <w:b/>
          <w:szCs w:val="22"/>
          <w:lang w:val="it-IT"/>
        </w:rPr>
        <w:t>Fertilità, g</w:t>
      </w:r>
      <w:r w:rsidRPr="00C9575C">
        <w:rPr>
          <w:b/>
          <w:szCs w:val="22"/>
          <w:lang w:val="it-IT"/>
        </w:rPr>
        <w:t>ravidanza e allattamento</w:t>
      </w:r>
      <w:r w:rsidR="0092155C">
        <w:rPr>
          <w:b/>
          <w:szCs w:val="22"/>
          <w:lang w:val="it-IT"/>
        </w:rPr>
        <w:fldChar w:fldCharType="begin"/>
      </w:r>
      <w:r w:rsidR="0092155C">
        <w:rPr>
          <w:b/>
          <w:szCs w:val="22"/>
          <w:lang w:val="it-IT"/>
        </w:rPr>
        <w:instrText xml:space="preserve"> DOCVARIABLE vault_nd_eec55092-a67a-4883-a2f0-3c5d8791f352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48A00462" w14:textId="77777777" w:rsidR="00CA3B03" w:rsidRPr="00C9575C" w:rsidRDefault="00CA3B03">
      <w:pPr>
        <w:widowControl w:val="0"/>
        <w:rPr>
          <w:szCs w:val="22"/>
          <w:lang w:val="it-IT"/>
        </w:rPr>
      </w:pPr>
    </w:p>
    <w:p w14:paraId="3DD4EC95" w14:textId="77777777" w:rsidR="0084378B" w:rsidRPr="00C9575C" w:rsidRDefault="00CA3B03">
      <w:pPr>
        <w:widowControl w:val="0"/>
        <w:rPr>
          <w:szCs w:val="22"/>
          <w:u w:val="single"/>
          <w:lang w:val="it-IT"/>
        </w:rPr>
      </w:pPr>
      <w:r w:rsidRPr="00C9575C">
        <w:rPr>
          <w:szCs w:val="22"/>
          <w:u w:val="single"/>
          <w:lang w:val="it-IT"/>
        </w:rPr>
        <w:t>Gravidanza</w:t>
      </w:r>
    </w:p>
    <w:p w14:paraId="2C84E6D3" w14:textId="77777777" w:rsidR="00AC2B1B" w:rsidRPr="00C9575C" w:rsidRDefault="00AC2B1B" w:rsidP="00CA3B03">
      <w:pPr>
        <w:widowControl w:val="0"/>
        <w:rPr>
          <w:szCs w:val="22"/>
          <w:lang w:val="it-IT"/>
        </w:rPr>
      </w:pPr>
    </w:p>
    <w:p w14:paraId="0197E634" w14:textId="77777777" w:rsidR="00A02BBD" w:rsidRPr="00C9575C" w:rsidRDefault="00CE57F0" w:rsidP="00CE57F0">
      <w:pPr>
        <w:widowControl w:val="0"/>
        <w:rPr>
          <w:szCs w:val="22"/>
          <w:lang w:val="it-IT"/>
        </w:rPr>
      </w:pPr>
      <w:r w:rsidRPr="00C9575C">
        <w:rPr>
          <w:szCs w:val="22"/>
          <w:lang w:val="it-IT"/>
        </w:rPr>
        <w:t xml:space="preserve">Come regola generale, quando si decide di usare un agente antiretrovirale per il trattamento dell’infezione da HIV nelle donne in gravidanza e di conseguenza per ridurre il rischio di trasmissione verticale dell’HIV al neonato, devono essere presi in considerazione i dati sull’impiego negli animali così come l’esperienza clinica nelle donne in gravidanza. </w:t>
      </w:r>
    </w:p>
    <w:p w14:paraId="3B66F92F" w14:textId="77777777" w:rsidR="001C66E3" w:rsidRPr="00C9575C" w:rsidRDefault="001C66E3" w:rsidP="00CE57F0">
      <w:pPr>
        <w:widowControl w:val="0"/>
        <w:rPr>
          <w:szCs w:val="22"/>
          <w:lang w:val="it-IT"/>
        </w:rPr>
      </w:pPr>
    </w:p>
    <w:p w14:paraId="787264ED" w14:textId="77777777" w:rsidR="00A02BBD" w:rsidRPr="00C9575C" w:rsidRDefault="00CC0BC2" w:rsidP="00A02BBD">
      <w:pPr>
        <w:widowControl w:val="0"/>
        <w:rPr>
          <w:szCs w:val="22"/>
          <w:lang w:val="it-IT"/>
        </w:rPr>
      </w:pPr>
      <w:r w:rsidRPr="00C9575C">
        <w:rPr>
          <w:szCs w:val="22"/>
          <w:lang w:val="it-IT"/>
        </w:rPr>
        <w:t>Gli s</w:t>
      </w:r>
      <w:r w:rsidRPr="00C9575C">
        <w:rPr>
          <w:lang w:val="it-IT"/>
        </w:rPr>
        <w:t xml:space="preserve">tudi nell’animale </w:t>
      </w:r>
      <w:r w:rsidR="00A02BBD" w:rsidRPr="00C9575C">
        <w:rPr>
          <w:lang w:val="it-IT"/>
        </w:rPr>
        <w:t xml:space="preserve">con abacavir </w:t>
      </w:r>
      <w:r w:rsidRPr="00C9575C">
        <w:rPr>
          <w:lang w:val="it-IT"/>
        </w:rPr>
        <w:t>hanno mostrato ne</w:t>
      </w:r>
      <w:r w:rsidR="003F11C1" w:rsidRPr="00C9575C">
        <w:rPr>
          <w:lang w:val="it-IT"/>
        </w:rPr>
        <w:t>i ratti, ma non nei</w:t>
      </w:r>
      <w:r w:rsidRPr="00C9575C">
        <w:rPr>
          <w:lang w:val="it-IT"/>
        </w:rPr>
        <w:t xml:space="preserve"> con</w:t>
      </w:r>
      <w:r w:rsidR="003F11C1" w:rsidRPr="00C9575C">
        <w:rPr>
          <w:lang w:val="it-IT"/>
        </w:rPr>
        <w:t>igli</w:t>
      </w:r>
      <w:r w:rsidRPr="00C9575C">
        <w:rPr>
          <w:lang w:val="it-IT"/>
        </w:rPr>
        <w:t>, tossicità per l’embrione e per il feto in sviluppo</w:t>
      </w:r>
      <w:r w:rsidR="00A02BBD" w:rsidRPr="00C9575C">
        <w:rPr>
          <w:lang w:val="it-IT"/>
        </w:rPr>
        <w:t xml:space="preserve">. </w:t>
      </w:r>
      <w:r w:rsidR="00A02BBD" w:rsidRPr="00C9575C">
        <w:rPr>
          <w:szCs w:val="22"/>
          <w:lang w:val="it-IT"/>
        </w:rPr>
        <w:t>Gli s</w:t>
      </w:r>
      <w:r w:rsidR="00A02BBD" w:rsidRPr="00C9575C">
        <w:rPr>
          <w:lang w:val="it-IT"/>
        </w:rPr>
        <w:t>tudi nell’animale con lamivudina hanno mostrato un aumento delle morti embrionali precoci nei conigli ma non nei ratti (vedere paragrafo 5.3).</w:t>
      </w:r>
      <w:r w:rsidR="006927F1" w:rsidRPr="00C9575C">
        <w:rPr>
          <w:lang w:val="it-IT"/>
        </w:rPr>
        <w:t xml:space="preserve"> </w:t>
      </w:r>
      <w:r w:rsidR="00CE57F0" w:rsidRPr="00C9575C">
        <w:rPr>
          <w:szCs w:val="22"/>
          <w:lang w:val="it-IT"/>
        </w:rPr>
        <w:t>I</w:t>
      </w:r>
      <w:r w:rsidR="00CA3B03" w:rsidRPr="00C9575C">
        <w:rPr>
          <w:szCs w:val="22"/>
          <w:lang w:val="it-IT"/>
        </w:rPr>
        <w:t xml:space="preserve"> principi attivi di Kivexa possono inibire la replicazione del DNA</w:t>
      </w:r>
      <w:r w:rsidR="00CE57F0" w:rsidRPr="00C9575C">
        <w:rPr>
          <w:szCs w:val="22"/>
          <w:lang w:val="it-IT"/>
        </w:rPr>
        <w:t xml:space="preserve"> cellulare e abacavir ha mostrato di essere cancerogeno in modelli animali (vedere paragrafo 5.3). La rilevanza clinica di queste osservazioni è sconosciuta.</w:t>
      </w:r>
      <w:r w:rsidR="00CA3B03" w:rsidRPr="00C9575C">
        <w:rPr>
          <w:szCs w:val="22"/>
          <w:lang w:val="it-IT"/>
        </w:rPr>
        <w:t xml:space="preserve"> </w:t>
      </w:r>
      <w:r w:rsidR="00A02BBD" w:rsidRPr="00C9575C">
        <w:rPr>
          <w:szCs w:val="22"/>
          <w:lang w:val="it-IT"/>
        </w:rPr>
        <w:t>Nell’uomo è stato dimostrato che si verifica il passaggio di abacavir e lamivudina attraverso la placenta.</w:t>
      </w:r>
    </w:p>
    <w:p w14:paraId="5796D022" w14:textId="77777777" w:rsidR="00FA4637" w:rsidRPr="00C9575C" w:rsidRDefault="00FA4637" w:rsidP="00A02BBD">
      <w:pPr>
        <w:widowControl w:val="0"/>
        <w:rPr>
          <w:szCs w:val="22"/>
          <w:lang w:val="it-IT"/>
        </w:rPr>
      </w:pPr>
    </w:p>
    <w:p w14:paraId="4FBB81E4" w14:textId="531B2FEE" w:rsidR="0099367F" w:rsidRPr="00C9575C" w:rsidRDefault="00CC0BC2">
      <w:pPr>
        <w:widowControl w:val="0"/>
        <w:rPr>
          <w:szCs w:val="22"/>
          <w:lang w:val="it-IT"/>
        </w:rPr>
      </w:pPr>
      <w:r w:rsidRPr="00C9575C">
        <w:rPr>
          <w:lang w:val="it-IT"/>
        </w:rPr>
        <w:t>Nelle donne in gravidanza</w:t>
      </w:r>
      <w:r w:rsidR="00D64112" w:rsidRPr="00C9575C">
        <w:rPr>
          <w:lang w:val="it-IT"/>
        </w:rPr>
        <w:t xml:space="preserve"> trattate con abacavir</w:t>
      </w:r>
      <w:r w:rsidRPr="00C9575C">
        <w:rPr>
          <w:lang w:val="it-IT"/>
        </w:rPr>
        <w:t>, più di 800</w:t>
      </w:r>
      <w:r w:rsidR="00060663">
        <w:rPr>
          <w:lang w:val="it-IT"/>
        </w:rPr>
        <w:t> </w:t>
      </w:r>
      <w:r w:rsidRPr="00C9575C">
        <w:rPr>
          <w:lang w:val="it-IT"/>
        </w:rPr>
        <w:t>esiti dopo esposizione nel primo trimestre e più di 1000</w:t>
      </w:r>
      <w:r w:rsidR="00060663">
        <w:rPr>
          <w:lang w:val="it-IT"/>
        </w:rPr>
        <w:t> </w:t>
      </w:r>
      <w:r w:rsidRPr="00C9575C">
        <w:rPr>
          <w:lang w:val="it-IT"/>
        </w:rPr>
        <w:t>esiti dopo esposizione nel secondo e terzo trimestre, non indicano alcun effetto a livello di malformazion</w:t>
      </w:r>
      <w:r w:rsidR="007E3184" w:rsidRPr="00C9575C">
        <w:rPr>
          <w:lang w:val="it-IT"/>
        </w:rPr>
        <w:t>i</w:t>
      </w:r>
      <w:r w:rsidRPr="00C9575C">
        <w:rPr>
          <w:lang w:val="it-IT"/>
        </w:rPr>
        <w:t xml:space="preserve"> e</w:t>
      </w:r>
      <w:r w:rsidR="007E3184" w:rsidRPr="00C9575C">
        <w:rPr>
          <w:lang w:val="it-IT"/>
        </w:rPr>
        <w:t xml:space="preserve"> a livello</w:t>
      </w:r>
      <w:r w:rsidRPr="00C9575C">
        <w:rPr>
          <w:lang w:val="it-IT"/>
        </w:rPr>
        <w:t xml:space="preserve"> fet</w:t>
      </w:r>
      <w:r w:rsidR="00B90200" w:rsidRPr="00C9575C">
        <w:rPr>
          <w:lang w:val="it-IT"/>
        </w:rPr>
        <w:t>ale</w:t>
      </w:r>
      <w:r w:rsidRPr="00C9575C">
        <w:rPr>
          <w:lang w:val="it-IT"/>
        </w:rPr>
        <w:t>/neonatale.</w:t>
      </w:r>
      <w:r w:rsidRPr="00C9575C">
        <w:rPr>
          <w:szCs w:val="22"/>
          <w:lang w:val="it-IT"/>
        </w:rPr>
        <w:t xml:space="preserve"> </w:t>
      </w:r>
      <w:r w:rsidR="00630C65" w:rsidRPr="00C9575C">
        <w:rPr>
          <w:lang w:val="it-IT"/>
        </w:rPr>
        <w:t>Nelle donne in gravidanza</w:t>
      </w:r>
      <w:r w:rsidR="008A3E98" w:rsidRPr="00C9575C">
        <w:rPr>
          <w:lang w:val="it-IT"/>
        </w:rPr>
        <w:t xml:space="preserve"> trattate con lamivudina</w:t>
      </w:r>
      <w:r w:rsidR="00630C65" w:rsidRPr="00C9575C">
        <w:rPr>
          <w:lang w:val="it-IT"/>
        </w:rPr>
        <w:t xml:space="preserve">, più di </w:t>
      </w:r>
      <w:r w:rsidR="008A3E98" w:rsidRPr="00C9575C">
        <w:rPr>
          <w:lang w:val="it-IT"/>
        </w:rPr>
        <w:t>1</w:t>
      </w:r>
      <w:r w:rsidR="00630C65" w:rsidRPr="00C9575C">
        <w:rPr>
          <w:lang w:val="it-IT"/>
        </w:rPr>
        <w:t>0</w:t>
      </w:r>
      <w:r w:rsidR="001C66E3" w:rsidRPr="00C9575C">
        <w:rPr>
          <w:lang w:val="it-IT"/>
        </w:rPr>
        <w:t>00 e</w:t>
      </w:r>
      <w:r w:rsidR="00630C65" w:rsidRPr="00C9575C">
        <w:rPr>
          <w:lang w:val="it-IT"/>
        </w:rPr>
        <w:t xml:space="preserve">siti dopo esposizione nel primo trimestre e più di </w:t>
      </w:r>
      <w:r w:rsidR="008A3E98" w:rsidRPr="00C9575C">
        <w:rPr>
          <w:lang w:val="it-IT"/>
        </w:rPr>
        <w:t>1</w:t>
      </w:r>
      <w:r w:rsidR="00630C65" w:rsidRPr="00C9575C">
        <w:rPr>
          <w:lang w:val="it-IT"/>
        </w:rPr>
        <w:t>000</w:t>
      </w:r>
      <w:r w:rsidR="00060663">
        <w:rPr>
          <w:lang w:val="it-IT"/>
        </w:rPr>
        <w:t> </w:t>
      </w:r>
      <w:r w:rsidR="00630C65" w:rsidRPr="00C9575C">
        <w:rPr>
          <w:lang w:val="it-IT"/>
        </w:rPr>
        <w:t>esiti dopo esposizione nel secondo e terzo trimestre, non indicano alcun ef</w:t>
      </w:r>
      <w:r w:rsidR="007E3184" w:rsidRPr="00C9575C">
        <w:rPr>
          <w:lang w:val="it-IT"/>
        </w:rPr>
        <w:t>fetto a livello di malformazioni</w:t>
      </w:r>
      <w:r w:rsidR="00630C65" w:rsidRPr="00C9575C">
        <w:rPr>
          <w:lang w:val="it-IT"/>
        </w:rPr>
        <w:t xml:space="preserve"> e </w:t>
      </w:r>
      <w:r w:rsidR="007E3184" w:rsidRPr="00C9575C">
        <w:rPr>
          <w:lang w:val="it-IT"/>
        </w:rPr>
        <w:t xml:space="preserve">a livello </w:t>
      </w:r>
      <w:r w:rsidR="00630C65" w:rsidRPr="00C9575C">
        <w:rPr>
          <w:lang w:val="it-IT"/>
        </w:rPr>
        <w:t>feto/neonatale.</w:t>
      </w:r>
      <w:r w:rsidR="00630C65" w:rsidRPr="00C9575C">
        <w:rPr>
          <w:szCs w:val="22"/>
          <w:lang w:val="it-IT"/>
        </w:rPr>
        <w:t xml:space="preserve"> </w:t>
      </w:r>
      <w:r w:rsidR="008A3E98" w:rsidRPr="00C9575C">
        <w:rPr>
          <w:szCs w:val="22"/>
          <w:lang w:val="it-IT"/>
        </w:rPr>
        <w:t>Non ci sono dati sull'uso di Kivexa in gravidanza, tuttavia i</w:t>
      </w:r>
      <w:r w:rsidR="00FA4637" w:rsidRPr="00C9575C">
        <w:rPr>
          <w:szCs w:val="22"/>
          <w:lang w:val="it-IT"/>
        </w:rPr>
        <w:t>l rischio di malformazioni è improbabile nell’uomo sulla base di questi dati.</w:t>
      </w:r>
    </w:p>
    <w:p w14:paraId="6772E3FD" w14:textId="77777777" w:rsidR="00FA7CA1" w:rsidRPr="00C9575C" w:rsidRDefault="00FA7CA1" w:rsidP="00FA7CA1">
      <w:pPr>
        <w:widowControl w:val="0"/>
        <w:rPr>
          <w:szCs w:val="22"/>
          <w:lang w:val="it-IT"/>
        </w:rPr>
      </w:pPr>
    </w:p>
    <w:p w14:paraId="3DA14AC9" w14:textId="77777777" w:rsidR="00FA7CA1" w:rsidRPr="00C9575C" w:rsidRDefault="00FA7CA1" w:rsidP="00FA7CA1">
      <w:pPr>
        <w:widowControl w:val="0"/>
        <w:rPr>
          <w:szCs w:val="22"/>
          <w:lang w:val="it-IT"/>
        </w:rPr>
      </w:pPr>
      <w:r w:rsidRPr="00C9575C">
        <w:rPr>
          <w:szCs w:val="22"/>
          <w:lang w:val="it-IT"/>
        </w:rPr>
        <w:t xml:space="preserve">Per le pazienti con infezione concomitante da epatite che vengono trattate con medicinali contenenti lamivudina come Kivexa e che successivamente </w:t>
      </w:r>
      <w:r w:rsidR="00546B85" w:rsidRPr="00C9575C">
        <w:rPr>
          <w:szCs w:val="22"/>
          <w:lang w:val="it-IT"/>
        </w:rPr>
        <w:t xml:space="preserve">iniziano una </w:t>
      </w:r>
      <w:r w:rsidRPr="00C9575C">
        <w:rPr>
          <w:szCs w:val="22"/>
          <w:lang w:val="it-IT"/>
        </w:rPr>
        <w:t xml:space="preserve">gravidanza, deve essere presa in considerazione la possibilità di una recidiva dell’epatite legata alla sospensione </w:t>
      </w:r>
      <w:r w:rsidR="00A56985" w:rsidRPr="00C9575C">
        <w:rPr>
          <w:szCs w:val="22"/>
          <w:lang w:val="it-IT"/>
        </w:rPr>
        <w:t>di</w:t>
      </w:r>
      <w:r w:rsidRPr="00C9575C">
        <w:rPr>
          <w:szCs w:val="22"/>
          <w:lang w:val="it-IT"/>
        </w:rPr>
        <w:t xml:space="preserve"> lamivudina.</w:t>
      </w:r>
    </w:p>
    <w:p w14:paraId="6FBECDBE" w14:textId="77777777" w:rsidR="00FA7CA1" w:rsidRPr="00C9575C" w:rsidRDefault="00FA7CA1" w:rsidP="00FA7CA1">
      <w:pPr>
        <w:numPr>
          <w:ilvl w:val="12"/>
          <w:numId w:val="0"/>
        </w:numPr>
        <w:tabs>
          <w:tab w:val="left" w:pos="567"/>
        </w:tabs>
        <w:rPr>
          <w:i/>
          <w:lang w:val="it-IT"/>
        </w:rPr>
      </w:pPr>
    </w:p>
    <w:p w14:paraId="7EBC7DFD" w14:textId="77777777" w:rsidR="00A40B49" w:rsidRDefault="00A40B49" w:rsidP="00FA7CA1">
      <w:pPr>
        <w:numPr>
          <w:ilvl w:val="12"/>
          <w:numId w:val="0"/>
        </w:numPr>
        <w:tabs>
          <w:tab w:val="left" w:pos="567"/>
        </w:tabs>
        <w:rPr>
          <w:i/>
          <w:lang w:val="it-IT"/>
        </w:rPr>
      </w:pPr>
    </w:p>
    <w:p w14:paraId="75DE9085" w14:textId="77777777" w:rsidR="00A40B49" w:rsidRDefault="00A40B49" w:rsidP="00FA7CA1">
      <w:pPr>
        <w:numPr>
          <w:ilvl w:val="12"/>
          <w:numId w:val="0"/>
        </w:numPr>
        <w:tabs>
          <w:tab w:val="left" w:pos="567"/>
        </w:tabs>
        <w:rPr>
          <w:i/>
          <w:lang w:val="it-IT"/>
        </w:rPr>
      </w:pPr>
    </w:p>
    <w:p w14:paraId="2E446CD2" w14:textId="203A410F" w:rsidR="008A3E98" w:rsidRPr="00C9575C" w:rsidRDefault="00FA7CA1" w:rsidP="00FA7CA1">
      <w:pPr>
        <w:numPr>
          <w:ilvl w:val="12"/>
          <w:numId w:val="0"/>
        </w:numPr>
        <w:tabs>
          <w:tab w:val="left" w:pos="567"/>
        </w:tabs>
        <w:rPr>
          <w:lang w:val="it-IT"/>
        </w:rPr>
      </w:pPr>
      <w:r w:rsidRPr="00C9575C">
        <w:rPr>
          <w:i/>
          <w:lang w:val="it-IT"/>
        </w:rPr>
        <w:lastRenderedPageBreak/>
        <w:t>Disfunzione mitocondriale</w:t>
      </w:r>
    </w:p>
    <w:p w14:paraId="120F6E49" w14:textId="77777777" w:rsidR="00FA7CA1" w:rsidRPr="00C9575C" w:rsidRDefault="008A3E98" w:rsidP="00FA7CA1">
      <w:pPr>
        <w:numPr>
          <w:ilvl w:val="12"/>
          <w:numId w:val="0"/>
        </w:numPr>
        <w:tabs>
          <w:tab w:val="left" w:pos="567"/>
        </w:tabs>
        <w:rPr>
          <w:lang w:val="it-IT"/>
        </w:rPr>
      </w:pPr>
      <w:r w:rsidRPr="00C9575C">
        <w:rPr>
          <w:lang w:val="it-IT"/>
        </w:rPr>
        <w:t>G</w:t>
      </w:r>
      <w:r w:rsidR="00FA7CA1" w:rsidRPr="00C9575C">
        <w:rPr>
          <w:lang w:val="it-IT"/>
        </w:rPr>
        <w:t xml:space="preserve">li analoghi nucleosidici e nucleotidici sia </w:t>
      </w:r>
      <w:r w:rsidR="00FA7CA1" w:rsidRPr="00C9575C">
        <w:rPr>
          <w:i/>
          <w:lang w:val="it-IT"/>
        </w:rPr>
        <w:t>in vivo</w:t>
      </w:r>
      <w:r w:rsidR="00FA7CA1" w:rsidRPr="00C9575C">
        <w:rPr>
          <w:lang w:val="it-IT"/>
        </w:rPr>
        <w:t xml:space="preserve"> che </w:t>
      </w:r>
      <w:r w:rsidR="00FA7CA1" w:rsidRPr="00C9575C">
        <w:rPr>
          <w:i/>
          <w:lang w:val="it-IT"/>
        </w:rPr>
        <w:t>in vitro</w:t>
      </w:r>
      <w:r w:rsidR="00FA7CA1" w:rsidRPr="00C9575C">
        <w:rPr>
          <w:lang w:val="it-IT"/>
        </w:rPr>
        <w:t xml:space="preserve"> hanno dimostrato di causare un grado variabile di danno mitocondriale. Sono stati riportati casi di disfunzione mitocondriale in neonati HIV-negativi esposti agli analoghi nucleosidici </w:t>
      </w:r>
      <w:r w:rsidR="00FA7CA1" w:rsidRPr="00C9575C">
        <w:rPr>
          <w:i/>
          <w:lang w:val="it-IT"/>
        </w:rPr>
        <w:t xml:space="preserve">in utero </w:t>
      </w:r>
      <w:r w:rsidR="00FA7CA1" w:rsidRPr="00C9575C">
        <w:rPr>
          <w:lang w:val="it-IT"/>
        </w:rPr>
        <w:t xml:space="preserve">e/o dopo la nascita (vedere paragrafo 4.4). </w:t>
      </w:r>
    </w:p>
    <w:p w14:paraId="7506B09F" w14:textId="77777777" w:rsidR="00FA7CA1" w:rsidRPr="00C9575C" w:rsidRDefault="00FA7CA1" w:rsidP="00FA7CA1">
      <w:pPr>
        <w:widowControl w:val="0"/>
        <w:outlineLvl w:val="0"/>
        <w:rPr>
          <w:i/>
          <w:szCs w:val="22"/>
          <w:u w:val="single"/>
          <w:lang w:val="it-IT"/>
        </w:rPr>
      </w:pPr>
    </w:p>
    <w:p w14:paraId="1CB2B641" w14:textId="5198770A" w:rsidR="00FA7CA1" w:rsidRPr="00C9575C" w:rsidRDefault="00DE25F2" w:rsidP="00FA7CA1">
      <w:pPr>
        <w:widowControl w:val="0"/>
        <w:outlineLvl w:val="0"/>
        <w:rPr>
          <w:szCs w:val="22"/>
          <w:u w:val="single"/>
          <w:lang w:val="it-IT"/>
        </w:rPr>
      </w:pPr>
      <w:r w:rsidRPr="00C9575C">
        <w:rPr>
          <w:szCs w:val="22"/>
          <w:u w:val="single"/>
          <w:lang w:val="it-IT"/>
        </w:rPr>
        <w:t>Allattamento</w:t>
      </w:r>
      <w:r w:rsidR="0092155C">
        <w:rPr>
          <w:szCs w:val="22"/>
          <w:u w:val="single"/>
          <w:lang w:val="it-IT"/>
        </w:rPr>
        <w:fldChar w:fldCharType="begin"/>
      </w:r>
      <w:r w:rsidR="0092155C">
        <w:rPr>
          <w:szCs w:val="22"/>
          <w:u w:val="single"/>
          <w:lang w:val="it-IT"/>
        </w:rPr>
        <w:instrText xml:space="preserve"> DOCVARIABLE vault_nd_a3321a9f-c36c-4d89-881c-39be17545f70 \* MERGEFORMAT </w:instrText>
      </w:r>
      <w:r w:rsidR="0092155C">
        <w:rPr>
          <w:szCs w:val="22"/>
          <w:u w:val="single"/>
          <w:lang w:val="it-IT"/>
        </w:rPr>
        <w:fldChar w:fldCharType="separate"/>
      </w:r>
      <w:r w:rsidR="0092155C">
        <w:rPr>
          <w:szCs w:val="22"/>
          <w:u w:val="single"/>
          <w:lang w:val="it-IT"/>
        </w:rPr>
        <w:t xml:space="preserve"> </w:t>
      </w:r>
      <w:r w:rsidR="0092155C">
        <w:rPr>
          <w:szCs w:val="22"/>
          <w:u w:val="single"/>
          <w:lang w:val="it-IT"/>
        </w:rPr>
        <w:fldChar w:fldCharType="end"/>
      </w:r>
    </w:p>
    <w:p w14:paraId="0F06A412" w14:textId="77777777" w:rsidR="00793874" w:rsidRPr="00C9575C" w:rsidRDefault="00793874">
      <w:pPr>
        <w:widowControl w:val="0"/>
        <w:rPr>
          <w:lang w:val="it-IT"/>
        </w:rPr>
      </w:pPr>
    </w:p>
    <w:p w14:paraId="0CD112D2" w14:textId="77777777" w:rsidR="00966495" w:rsidRPr="00C9575C" w:rsidRDefault="00DD5A6B">
      <w:pPr>
        <w:widowControl w:val="0"/>
        <w:rPr>
          <w:lang w:val="it-IT"/>
        </w:rPr>
      </w:pPr>
      <w:r w:rsidRPr="00C9575C">
        <w:rPr>
          <w:lang w:val="it-IT"/>
        </w:rPr>
        <w:t xml:space="preserve">Abacavir e i suoi metaboliti sono escreti nel latte delle femmine di ratto che allattano. Abacavir è anche escreto nel latte </w:t>
      </w:r>
      <w:r w:rsidR="009013F8" w:rsidRPr="00C9575C">
        <w:rPr>
          <w:lang w:val="it-IT"/>
        </w:rPr>
        <w:t xml:space="preserve">materno </w:t>
      </w:r>
      <w:r w:rsidRPr="00C9575C">
        <w:rPr>
          <w:lang w:val="it-IT"/>
        </w:rPr>
        <w:t xml:space="preserve">umano. </w:t>
      </w:r>
    </w:p>
    <w:p w14:paraId="4BCBB251" w14:textId="77777777" w:rsidR="00966495" w:rsidRPr="00C9575C" w:rsidRDefault="00966495">
      <w:pPr>
        <w:widowControl w:val="0"/>
        <w:rPr>
          <w:lang w:val="it-IT"/>
        </w:rPr>
      </w:pPr>
    </w:p>
    <w:p w14:paraId="6084B7D3" w14:textId="5D5E17CF" w:rsidR="00966495" w:rsidRPr="00C9575C" w:rsidRDefault="00DD5A6B">
      <w:pPr>
        <w:widowControl w:val="0"/>
        <w:rPr>
          <w:lang w:val="it-IT"/>
        </w:rPr>
      </w:pPr>
      <w:r w:rsidRPr="00C9575C">
        <w:rPr>
          <w:bCs/>
          <w:szCs w:val="22"/>
          <w:lang w:val="it-IT"/>
        </w:rPr>
        <w:t>Sulla base di più di 200</w:t>
      </w:r>
      <w:r w:rsidR="00060663">
        <w:rPr>
          <w:bCs/>
          <w:szCs w:val="22"/>
          <w:lang w:val="it-IT"/>
        </w:rPr>
        <w:t> </w:t>
      </w:r>
      <w:r w:rsidRPr="00C9575C">
        <w:rPr>
          <w:bCs/>
          <w:szCs w:val="22"/>
          <w:lang w:val="it-IT"/>
        </w:rPr>
        <w:t xml:space="preserve">coppie madre/figlio in trattamento per l'HIV, le concentrazioni sieriche di lamivudina nei </w:t>
      </w:r>
      <w:r w:rsidR="009013F8" w:rsidRPr="00C9575C">
        <w:rPr>
          <w:bCs/>
          <w:szCs w:val="22"/>
          <w:lang w:val="it-IT"/>
        </w:rPr>
        <w:t xml:space="preserve">lattanti </w:t>
      </w:r>
      <w:r w:rsidRPr="00C9575C">
        <w:rPr>
          <w:bCs/>
          <w:szCs w:val="22"/>
          <w:lang w:val="it-IT"/>
        </w:rPr>
        <w:t xml:space="preserve">allattati al seno da madri in trattamento per l'HIV sono molto basse (meno del 4% delle concentrazioni sieriche materne) e progressivamente diminuiscono a livelli non rilevabili quando i </w:t>
      </w:r>
      <w:r w:rsidR="009013F8" w:rsidRPr="00C9575C">
        <w:rPr>
          <w:bCs/>
          <w:szCs w:val="22"/>
          <w:lang w:val="it-IT"/>
        </w:rPr>
        <w:t xml:space="preserve">lattanti </w:t>
      </w:r>
      <w:r w:rsidRPr="00C9575C">
        <w:rPr>
          <w:bCs/>
          <w:szCs w:val="22"/>
          <w:lang w:val="it-IT"/>
        </w:rPr>
        <w:t>allattati al seno raggiungono le 24</w:t>
      </w:r>
      <w:r w:rsidR="00060663">
        <w:rPr>
          <w:bCs/>
          <w:szCs w:val="22"/>
          <w:lang w:val="it-IT"/>
        </w:rPr>
        <w:t> </w:t>
      </w:r>
      <w:r w:rsidRPr="00C9575C">
        <w:rPr>
          <w:bCs/>
          <w:szCs w:val="22"/>
          <w:lang w:val="it-IT"/>
        </w:rPr>
        <w:t xml:space="preserve">settimane di età. </w:t>
      </w:r>
      <w:r w:rsidR="00CC0BC2" w:rsidRPr="00C9575C">
        <w:rPr>
          <w:lang w:val="it-IT"/>
        </w:rPr>
        <w:t xml:space="preserve">Non esistono dati disponibili sulla sicurezza </w:t>
      </w:r>
      <w:r w:rsidRPr="00C9575C">
        <w:rPr>
          <w:lang w:val="it-IT"/>
        </w:rPr>
        <w:t xml:space="preserve">di </w:t>
      </w:r>
      <w:r w:rsidR="00CC0BC2" w:rsidRPr="00C9575C">
        <w:rPr>
          <w:lang w:val="it-IT"/>
        </w:rPr>
        <w:t>abacavir</w:t>
      </w:r>
      <w:r w:rsidRPr="00C9575C">
        <w:rPr>
          <w:lang w:val="it-IT"/>
        </w:rPr>
        <w:t xml:space="preserve"> e lamivudina </w:t>
      </w:r>
      <w:r w:rsidR="00CC0BC2" w:rsidRPr="00C9575C">
        <w:rPr>
          <w:lang w:val="it-IT"/>
        </w:rPr>
        <w:t>somministrat</w:t>
      </w:r>
      <w:r w:rsidR="008A3E98" w:rsidRPr="00C9575C">
        <w:rPr>
          <w:lang w:val="it-IT"/>
        </w:rPr>
        <w:t>i</w:t>
      </w:r>
      <w:r w:rsidR="00CC0BC2" w:rsidRPr="00C9575C">
        <w:rPr>
          <w:lang w:val="it-IT"/>
        </w:rPr>
        <w:t xml:space="preserve"> a bambini di età inferiore a tre mesi. </w:t>
      </w:r>
    </w:p>
    <w:p w14:paraId="5E8CF0CB" w14:textId="77777777" w:rsidR="00966495" w:rsidRPr="00C9575C" w:rsidRDefault="00966495">
      <w:pPr>
        <w:widowControl w:val="0"/>
        <w:rPr>
          <w:lang w:val="it-IT"/>
        </w:rPr>
      </w:pPr>
    </w:p>
    <w:p w14:paraId="5FFE7F19" w14:textId="10E6CACE" w:rsidR="0084378B" w:rsidRPr="00C9575C" w:rsidRDefault="00966495">
      <w:pPr>
        <w:widowControl w:val="0"/>
        <w:rPr>
          <w:szCs w:val="22"/>
          <w:lang w:val="it-IT"/>
        </w:rPr>
      </w:pPr>
      <w:r w:rsidRPr="00C9575C">
        <w:rPr>
          <w:lang w:val="it-IT"/>
        </w:rPr>
        <w:t>S</w:t>
      </w:r>
      <w:r w:rsidR="00CC0BC2" w:rsidRPr="00C9575C">
        <w:rPr>
          <w:lang w:val="it-IT"/>
        </w:rPr>
        <w:t xml:space="preserve">i raccomanda </w:t>
      </w:r>
      <w:r w:rsidR="005D3E9F">
        <w:rPr>
          <w:lang w:val="it-IT"/>
        </w:rPr>
        <w:t xml:space="preserve">alle </w:t>
      </w:r>
      <w:r w:rsidR="00CC0BC2" w:rsidRPr="00C9575C">
        <w:rPr>
          <w:lang w:val="it-IT"/>
        </w:rPr>
        <w:t xml:space="preserve">donne </w:t>
      </w:r>
      <w:r w:rsidR="005D3E9F">
        <w:rPr>
          <w:lang w:val="it-IT"/>
        </w:rPr>
        <w:t>affette</w:t>
      </w:r>
      <w:r w:rsidR="00CC0BC2" w:rsidRPr="00C9575C">
        <w:rPr>
          <w:lang w:val="it-IT"/>
        </w:rPr>
        <w:t xml:space="preserve"> da HIV </w:t>
      </w:r>
      <w:r w:rsidR="005D3E9F">
        <w:rPr>
          <w:lang w:val="it-IT"/>
        </w:rPr>
        <w:t xml:space="preserve">di </w:t>
      </w:r>
      <w:r w:rsidR="00CC0BC2" w:rsidRPr="00C9575C">
        <w:rPr>
          <w:lang w:val="it-IT"/>
        </w:rPr>
        <w:t xml:space="preserve">non </w:t>
      </w:r>
      <w:r w:rsidR="005D3E9F">
        <w:rPr>
          <w:lang w:val="it-IT"/>
        </w:rPr>
        <w:t>allattare</w:t>
      </w:r>
      <w:r w:rsidR="005D3E9F" w:rsidRPr="00C9575C">
        <w:rPr>
          <w:lang w:val="it-IT"/>
        </w:rPr>
        <w:t xml:space="preserve"> </w:t>
      </w:r>
      <w:r w:rsidR="005D3E9F">
        <w:rPr>
          <w:lang w:val="it-IT"/>
        </w:rPr>
        <w:t>al seno</w:t>
      </w:r>
      <w:r w:rsidR="00CC0BC2" w:rsidRPr="00C9575C">
        <w:rPr>
          <w:lang w:val="it-IT"/>
        </w:rPr>
        <w:t xml:space="preserve"> al fine di evitare la trasmissione dell’HIV.</w:t>
      </w:r>
      <w:r w:rsidR="00CC0BC2" w:rsidRPr="00C9575C">
        <w:rPr>
          <w:i/>
          <w:lang w:val="it-IT"/>
        </w:rPr>
        <w:t xml:space="preserve"> </w:t>
      </w:r>
    </w:p>
    <w:p w14:paraId="415EDCBD" w14:textId="77777777" w:rsidR="001C66E3" w:rsidRPr="00C9575C" w:rsidRDefault="001C66E3" w:rsidP="00FA7CA1">
      <w:pPr>
        <w:widowControl w:val="0"/>
        <w:tabs>
          <w:tab w:val="left" w:pos="567"/>
        </w:tabs>
        <w:outlineLvl w:val="0"/>
        <w:rPr>
          <w:szCs w:val="22"/>
          <w:u w:val="single"/>
          <w:lang w:val="it-IT"/>
        </w:rPr>
      </w:pPr>
    </w:p>
    <w:p w14:paraId="6F4725C2" w14:textId="4B4B3A1D" w:rsidR="00FA7CA1" w:rsidRPr="00C9575C" w:rsidRDefault="00FA7CA1" w:rsidP="00FA7CA1">
      <w:pPr>
        <w:widowControl w:val="0"/>
        <w:tabs>
          <w:tab w:val="left" w:pos="567"/>
        </w:tabs>
        <w:outlineLvl w:val="0"/>
        <w:rPr>
          <w:szCs w:val="22"/>
          <w:u w:val="single"/>
          <w:lang w:val="it-IT"/>
        </w:rPr>
      </w:pPr>
      <w:r w:rsidRPr="00C9575C">
        <w:rPr>
          <w:szCs w:val="22"/>
          <w:u w:val="single"/>
          <w:lang w:val="it-IT"/>
        </w:rPr>
        <w:t>Fertilità</w:t>
      </w:r>
      <w:r w:rsidR="0092155C">
        <w:rPr>
          <w:szCs w:val="22"/>
          <w:u w:val="single"/>
          <w:lang w:val="it-IT"/>
        </w:rPr>
        <w:fldChar w:fldCharType="begin"/>
      </w:r>
      <w:r w:rsidR="0092155C">
        <w:rPr>
          <w:szCs w:val="22"/>
          <w:u w:val="single"/>
          <w:lang w:val="it-IT"/>
        </w:rPr>
        <w:instrText xml:space="preserve"> DOCVARIABLE vault_nd_56631b8f-e727-4010-b8f2-c886868b14ba \* MERGEFORMAT </w:instrText>
      </w:r>
      <w:r w:rsidR="0092155C">
        <w:rPr>
          <w:szCs w:val="22"/>
          <w:u w:val="single"/>
          <w:lang w:val="it-IT"/>
        </w:rPr>
        <w:fldChar w:fldCharType="separate"/>
      </w:r>
      <w:r w:rsidR="0092155C">
        <w:rPr>
          <w:szCs w:val="22"/>
          <w:u w:val="single"/>
          <w:lang w:val="it-IT"/>
        </w:rPr>
        <w:t xml:space="preserve"> </w:t>
      </w:r>
      <w:r w:rsidR="0092155C">
        <w:rPr>
          <w:szCs w:val="22"/>
          <w:u w:val="single"/>
          <w:lang w:val="it-IT"/>
        </w:rPr>
        <w:fldChar w:fldCharType="end"/>
      </w:r>
    </w:p>
    <w:p w14:paraId="17808149" w14:textId="77777777" w:rsidR="00FA7CA1" w:rsidRPr="00C9575C" w:rsidRDefault="00FA7CA1" w:rsidP="00FA7CA1">
      <w:pPr>
        <w:widowControl w:val="0"/>
        <w:tabs>
          <w:tab w:val="left" w:pos="567"/>
        </w:tabs>
        <w:outlineLvl w:val="0"/>
        <w:rPr>
          <w:szCs w:val="22"/>
          <w:lang w:val="it-IT"/>
        </w:rPr>
      </w:pPr>
    </w:p>
    <w:p w14:paraId="37EC8019" w14:textId="77777777" w:rsidR="00FA7CA1" w:rsidRPr="00C9575C" w:rsidRDefault="00FA7CA1" w:rsidP="00FA7CA1">
      <w:pPr>
        <w:widowControl w:val="0"/>
        <w:rPr>
          <w:szCs w:val="22"/>
          <w:lang w:val="it-IT"/>
        </w:rPr>
      </w:pPr>
      <w:r w:rsidRPr="00C9575C">
        <w:rPr>
          <w:szCs w:val="22"/>
          <w:lang w:val="it-IT"/>
        </w:rPr>
        <w:t xml:space="preserve">Studi negli animali hanno dimostrato che né abacavir, né lamivudina avevano effetti sulla fertilità (vedere paragrafo 5.3). </w:t>
      </w:r>
    </w:p>
    <w:p w14:paraId="06FB09DD" w14:textId="77777777" w:rsidR="00FA7CA1" w:rsidRPr="00C9575C" w:rsidRDefault="00FA7CA1">
      <w:pPr>
        <w:widowControl w:val="0"/>
        <w:rPr>
          <w:szCs w:val="22"/>
          <w:lang w:val="it-IT"/>
        </w:rPr>
      </w:pPr>
    </w:p>
    <w:p w14:paraId="67B62166" w14:textId="56C274F5" w:rsidR="0084378B" w:rsidRPr="00C9575C" w:rsidRDefault="0084378B">
      <w:pPr>
        <w:widowControl w:val="0"/>
        <w:tabs>
          <w:tab w:val="left" w:pos="567"/>
        </w:tabs>
        <w:outlineLvl w:val="0"/>
        <w:rPr>
          <w:b/>
          <w:szCs w:val="22"/>
          <w:lang w:val="it-IT"/>
        </w:rPr>
      </w:pPr>
      <w:r w:rsidRPr="00C9575C">
        <w:rPr>
          <w:b/>
          <w:szCs w:val="22"/>
          <w:lang w:val="it-IT"/>
        </w:rPr>
        <w:t>4.7</w:t>
      </w:r>
      <w:r w:rsidRPr="00C9575C">
        <w:rPr>
          <w:b/>
          <w:szCs w:val="22"/>
          <w:lang w:val="it-IT"/>
        </w:rPr>
        <w:tab/>
        <w:t>Effetti sulla capacità di guidare veicoli e sull'uso di macchinari</w:t>
      </w:r>
      <w:r w:rsidR="0092155C">
        <w:rPr>
          <w:b/>
          <w:szCs w:val="22"/>
          <w:lang w:val="it-IT"/>
        </w:rPr>
        <w:fldChar w:fldCharType="begin"/>
      </w:r>
      <w:r w:rsidR="0092155C">
        <w:rPr>
          <w:b/>
          <w:szCs w:val="22"/>
          <w:lang w:val="it-IT"/>
        </w:rPr>
        <w:instrText xml:space="preserve"> DOCVARIABLE vault_nd_1f472444-89e3-4e0e-819c-ae772cb13006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512C3626" w14:textId="77777777" w:rsidR="0084378B" w:rsidRPr="00C9575C" w:rsidRDefault="0084378B">
      <w:pPr>
        <w:widowControl w:val="0"/>
        <w:tabs>
          <w:tab w:val="left" w:pos="567"/>
        </w:tabs>
        <w:rPr>
          <w:szCs w:val="22"/>
          <w:lang w:val="it-IT"/>
        </w:rPr>
      </w:pPr>
    </w:p>
    <w:p w14:paraId="28261F75" w14:textId="77777777" w:rsidR="0084378B" w:rsidRPr="00C9575C" w:rsidRDefault="0084378B">
      <w:pPr>
        <w:widowControl w:val="0"/>
        <w:tabs>
          <w:tab w:val="left" w:pos="567"/>
        </w:tabs>
        <w:rPr>
          <w:szCs w:val="22"/>
          <w:lang w:val="it-IT"/>
        </w:rPr>
      </w:pPr>
      <w:r w:rsidRPr="00C9575C">
        <w:rPr>
          <w:szCs w:val="22"/>
          <w:lang w:val="it-IT"/>
        </w:rPr>
        <w:t xml:space="preserve">Non sono stati effettuati studi sulla capacità di guidare veicoli e </w:t>
      </w:r>
      <w:r w:rsidR="009013F8" w:rsidRPr="00C9575C">
        <w:rPr>
          <w:szCs w:val="22"/>
          <w:lang w:val="it-IT"/>
        </w:rPr>
        <w:t>di usare</w:t>
      </w:r>
      <w:r w:rsidRPr="00C9575C">
        <w:rPr>
          <w:szCs w:val="22"/>
          <w:lang w:val="it-IT"/>
        </w:rPr>
        <w:t xml:space="preserve"> macchinari.</w:t>
      </w:r>
      <w:r w:rsidR="007425F1" w:rsidRPr="00C9575C">
        <w:rPr>
          <w:szCs w:val="22"/>
          <w:lang w:val="it-IT"/>
        </w:rPr>
        <w:t xml:space="preserve"> </w:t>
      </w:r>
      <w:r w:rsidRPr="00C9575C">
        <w:rPr>
          <w:szCs w:val="22"/>
          <w:lang w:val="it-IT"/>
        </w:rPr>
        <w:t xml:space="preserve">Lo stato clinico del paziente e il profilo </w:t>
      </w:r>
      <w:r w:rsidR="00CA1B46" w:rsidRPr="00C9575C">
        <w:rPr>
          <w:szCs w:val="22"/>
          <w:lang w:val="it-IT"/>
        </w:rPr>
        <w:t>delle reazioni</w:t>
      </w:r>
      <w:r w:rsidRPr="00C9575C">
        <w:rPr>
          <w:szCs w:val="22"/>
          <w:lang w:val="it-IT"/>
        </w:rPr>
        <w:t xml:space="preserve"> avvers</w:t>
      </w:r>
      <w:r w:rsidR="00CA1B46" w:rsidRPr="00C9575C">
        <w:rPr>
          <w:szCs w:val="22"/>
          <w:lang w:val="it-IT"/>
        </w:rPr>
        <w:t>e</w:t>
      </w:r>
      <w:r w:rsidRPr="00C9575C">
        <w:rPr>
          <w:szCs w:val="22"/>
          <w:lang w:val="it-IT"/>
        </w:rPr>
        <w:t xml:space="preserve"> di Kivexa devono essere tenuti in considerazione se si considera la capacità del paziente di guidare o usare macchinari.</w:t>
      </w:r>
    </w:p>
    <w:p w14:paraId="59918233" w14:textId="77777777" w:rsidR="0084378B" w:rsidRPr="00C9575C" w:rsidRDefault="0084378B">
      <w:pPr>
        <w:widowControl w:val="0"/>
        <w:tabs>
          <w:tab w:val="left" w:pos="567"/>
        </w:tabs>
        <w:rPr>
          <w:szCs w:val="22"/>
          <w:lang w:val="it-IT"/>
        </w:rPr>
      </w:pPr>
    </w:p>
    <w:p w14:paraId="3E3CCF4B" w14:textId="7387424F" w:rsidR="0084378B" w:rsidRPr="00C9575C" w:rsidRDefault="0084378B">
      <w:pPr>
        <w:widowControl w:val="0"/>
        <w:tabs>
          <w:tab w:val="left" w:pos="567"/>
        </w:tabs>
        <w:outlineLvl w:val="0"/>
        <w:rPr>
          <w:b/>
          <w:szCs w:val="22"/>
          <w:lang w:val="it-IT"/>
        </w:rPr>
      </w:pPr>
      <w:r w:rsidRPr="00C9575C">
        <w:rPr>
          <w:b/>
          <w:szCs w:val="22"/>
          <w:lang w:val="it-IT"/>
        </w:rPr>
        <w:t>4.8</w:t>
      </w:r>
      <w:r w:rsidRPr="00C9575C">
        <w:rPr>
          <w:b/>
          <w:szCs w:val="22"/>
          <w:lang w:val="it-IT"/>
        </w:rPr>
        <w:tab/>
        <w:t>Effetti indesiderati</w:t>
      </w:r>
      <w:r w:rsidR="0092155C">
        <w:rPr>
          <w:b/>
          <w:szCs w:val="22"/>
          <w:lang w:val="it-IT"/>
        </w:rPr>
        <w:fldChar w:fldCharType="begin"/>
      </w:r>
      <w:r w:rsidR="0092155C">
        <w:rPr>
          <w:b/>
          <w:szCs w:val="22"/>
          <w:lang w:val="it-IT"/>
        </w:rPr>
        <w:instrText xml:space="preserve"> DOCVARIABLE vault_nd_0ba59d38-8322-40b1-ab01-cc849c509339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3DE9583F" w14:textId="77777777" w:rsidR="008A3E98" w:rsidRPr="00C9575C" w:rsidRDefault="008A3E98" w:rsidP="008A3E98">
      <w:pPr>
        <w:suppressLineNumbers/>
        <w:autoSpaceDE w:val="0"/>
        <w:autoSpaceDN w:val="0"/>
        <w:adjustRightInd w:val="0"/>
        <w:jc w:val="both"/>
        <w:rPr>
          <w:szCs w:val="22"/>
          <w:u w:val="single"/>
          <w:lang w:val="it-IT"/>
        </w:rPr>
      </w:pPr>
    </w:p>
    <w:p w14:paraId="3BEB4739" w14:textId="77777777" w:rsidR="008A3E98" w:rsidRPr="00C9575C" w:rsidRDefault="008A3E98" w:rsidP="008A3E98">
      <w:pPr>
        <w:suppressLineNumbers/>
        <w:autoSpaceDE w:val="0"/>
        <w:autoSpaceDN w:val="0"/>
        <w:adjustRightInd w:val="0"/>
        <w:jc w:val="both"/>
        <w:rPr>
          <w:szCs w:val="22"/>
          <w:u w:val="single"/>
          <w:lang w:val="it-IT"/>
        </w:rPr>
      </w:pPr>
      <w:r w:rsidRPr="00C9575C">
        <w:rPr>
          <w:szCs w:val="22"/>
          <w:u w:val="single"/>
          <w:lang w:val="it-IT"/>
        </w:rPr>
        <w:t>Riassunto del profilo di sicurezza</w:t>
      </w:r>
    </w:p>
    <w:p w14:paraId="4C18237B" w14:textId="77777777" w:rsidR="0084378B" w:rsidRPr="00C9575C" w:rsidRDefault="0084378B">
      <w:pPr>
        <w:widowControl w:val="0"/>
        <w:rPr>
          <w:szCs w:val="22"/>
          <w:lang w:val="it-IT"/>
        </w:rPr>
      </w:pPr>
    </w:p>
    <w:p w14:paraId="5516145A" w14:textId="77777777" w:rsidR="0084378B" w:rsidRPr="00C9575C" w:rsidRDefault="0084378B">
      <w:pPr>
        <w:widowControl w:val="0"/>
        <w:rPr>
          <w:szCs w:val="22"/>
          <w:lang w:val="it-IT"/>
        </w:rPr>
      </w:pPr>
      <w:r w:rsidRPr="00C9575C">
        <w:rPr>
          <w:szCs w:val="22"/>
          <w:lang w:val="it-IT"/>
        </w:rPr>
        <w:t xml:space="preserve">Le reazioni avverse riportate con Kivexa sono state compatibili con i noti profili di tollerabilità di abacavir e lamivudina, quando somministrati come </w:t>
      </w:r>
      <w:r w:rsidR="00E80868" w:rsidRPr="00C9575C">
        <w:rPr>
          <w:szCs w:val="22"/>
          <w:lang w:val="it-IT"/>
        </w:rPr>
        <w:t>medicinali</w:t>
      </w:r>
      <w:r w:rsidRPr="00C9575C">
        <w:rPr>
          <w:szCs w:val="22"/>
          <w:lang w:val="it-IT"/>
        </w:rPr>
        <w:t xml:space="preserve"> separati. Per molte di tali reazioni avverse non è chiaro se esse siano correlate al principio attivo, all'ampia gamma di medicinali usati per il trattamento dell’infezione da HIV, oppure se siano dovuti al decorso della malattia di base.</w:t>
      </w:r>
    </w:p>
    <w:p w14:paraId="4B17A566" w14:textId="77777777" w:rsidR="00BF3681" w:rsidRPr="00C9575C" w:rsidRDefault="00BF3681" w:rsidP="00B90200">
      <w:pPr>
        <w:widowControl w:val="0"/>
        <w:rPr>
          <w:szCs w:val="22"/>
          <w:lang w:val="it-IT"/>
        </w:rPr>
      </w:pPr>
    </w:p>
    <w:p w14:paraId="653118B0" w14:textId="77777777" w:rsidR="00B90200" w:rsidRPr="00C9575C" w:rsidRDefault="00B90200" w:rsidP="00B90200">
      <w:pPr>
        <w:widowControl w:val="0"/>
        <w:rPr>
          <w:szCs w:val="22"/>
          <w:lang w:val="it-IT"/>
        </w:rPr>
      </w:pPr>
      <w:r w:rsidRPr="00C9575C">
        <w:rPr>
          <w:szCs w:val="22"/>
          <w:lang w:val="it-IT"/>
        </w:rPr>
        <w:t>Molte delle reazioni avverse riportate nella tabella di seguito si verificano comunemente (nausea, vomito, diarrea, febbre, stato di torpore, rash) nei pazienti con ipersensibilità ad abacavir. Pertanto, i pazienti con uno qualsiasi di questi sintomi devono essere attentamente controllati per la presenza di tale ipersensibilità (vedere paragrafo 4.4). Molto raramente sono stati riportati casi di eritema multiforme, sindrome di Stevens - Johnson o necrolisi epidermica tossica senza poter escludere un’ipersensibilità ad abacavir. In tali casi i medicinali contenenti abacavir devono essere definitivamente sospesi.</w:t>
      </w:r>
    </w:p>
    <w:p w14:paraId="278D0197" w14:textId="77777777" w:rsidR="008A3E98" w:rsidRPr="00C9575C" w:rsidRDefault="008A3E98" w:rsidP="008A3E98">
      <w:pPr>
        <w:suppressLineNumbers/>
        <w:autoSpaceDE w:val="0"/>
        <w:autoSpaceDN w:val="0"/>
        <w:adjustRightInd w:val="0"/>
        <w:jc w:val="both"/>
        <w:rPr>
          <w:szCs w:val="22"/>
          <w:u w:val="single"/>
          <w:lang w:val="it-IT"/>
        </w:rPr>
      </w:pPr>
    </w:p>
    <w:p w14:paraId="6782B5AD" w14:textId="77777777" w:rsidR="008A3E98" w:rsidRPr="00C9575C" w:rsidRDefault="008A3E98" w:rsidP="008A3E98">
      <w:pPr>
        <w:suppressLineNumbers/>
        <w:autoSpaceDE w:val="0"/>
        <w:autoSpaceDN w:val="0"/>
        <w:adjustRightInd w:val="0"/>
        <w:jc w:val="both"/>
        <w:rPr>
          <w:szCs w:val="22"/>
          <w:u w:val="single"/>
          <w:lang w:val="it-IT"/>
        </w:rPr>
      </w:pPr>
      <w:r w:rsidRPr="00C9575C">
        <w:rPr>
          <w:szCs w:val="22"/>
          <w:u w:val="single"/>
          <w:lang w:val="it-IT"/>
        </w:rPr>
        <w:t>Tabella delle reazioni avverse</w:t>
      </w:r>
    </w:p>
    <w:p w14:paraId="1C80940D" w14:textId="77777777" w:rsidR="0084378B" w:rsidRPr="00C9575C" w:rsidRDefault="0084378B">
      <w:pPr>
        <w:widowControl w:val="0"/>
        <w:tabs>
          <w:tab w:val="left" w:pos="567"/>
        </w:tabs>
        <w:rPr>
          <w:szCs w:val="22"/>
          <w:lang w:val="it-IT"/>
        </w:rPr>
      </w:pPr>
    </w:p>
    <w:p w14:paraId="0BBC8746" w14:textId="77777777" w:rsidR="0084378B" w:rsidRPr="00C9575C" w:rsidRDefault="0084378B" w:rsidP="00376939">
      <w:pPr>
        <w:widowControl w:val="0"/>
        <w:tabs>
          <w:tab w:val="left" w:pos="567"/>
        </w:tabs>
        <w:rPr>
          <w:szCs w:val="22"/>
          <w:lang w:val="it-IT"/>
        </w:rPr>
      </w:pPr>
      <w:r w:rsidRPr="00C9575C">
        <w:rPr>
          <w:rStyle w:val="PageNumber"/>
          <w:szCs w:val="22"/>
          <w:lang w:val="it-IT"/>
        </w:rPr>
        <w:t xml:space="preserve">Le reazioni avverse considerate almeno possibilmente correlate </w:t>
      </w:r>
      <w:r w:rsidR="007425F1" w:rsidRPr="00C9575C">
        <w:rPr>
          <w:rStyle w:val="PageNumber"/>
          <w:szCs w:val="22"/>
          <w:lang w:val="it-IT"/>
        </w:rPr>
        <w:t xml:space="preserve">ad </w:t>
      </w:r>
      <w:r w:rsidRPr="00C9575C">
        <w:rPr>
          <w:rStyle w:val="PageNumber"/>
          <w:szCs w:val="22"/>
          <w:lang w:val="it-IT"/>
        </w:rPr>
        <w:t>abacavir o lamivudina sono elencate per organo, apparato/sistema e frequenza assoluta. Le frequenze sono definite come molto comune (&gt;1/10), comune (&gt;1/100</w:t>
      </w:r>
      <w:r w:rsidR="00CA1B46" w:rsidRPr="00C9575C">
        <w:rPr>
          <w:rStyle w:val="PageNumber"/>
          <w:szCs w:val="22"/>
          <w:lang w:val="it-IT"/>
        </w:rPr>
        <w:t xml:space="preserve"> a</w:t>
      </w:r>
      <w:r w:rsidRPr="00C9575C">
        <w:rPr>
          <w:rStyle w:val="PageNumber"/>
          <w:szCs w:val="22"/>
          <w:lang w:val="it-IT"/>
        </w:rPr>
        <w:t xml:space="preserve"> &lt;1/10), non comune (&gt;1/1000 </w:t>
      </w:r>
      <w:r w:rsidR="00F54586" w:rsidRPr="00C9575C">
        <w:rPr>
          <w:rStyle w:val="PageNumber"/>
          <w:szCs w:val="22"/>
          <w:lang w:val="it-IT"/>
        </w:rPr>
        <w:t xml:space="preserve">a </w:t>
      </w:r>
      <w:r w:rsidRPr="00C9575C">
        <w:rPr>
          <w:rStyle w:val="PageNumber"/>
          <w:szCs w:val="22"/>
          <w:lang w:val="it-IT"/>
        </w:rPr>
        <w:t xml:space="preserve">&lt;1/100), raro (&gt;1/10.000 </w:t>
      </w:r>
      <w:r w:rsidR="00C5404F" w:rsidRPr="00C9575C">
        <w:rPr>
          <w:rStyle w:val="PageNumber"/>
          <w:szCs w:val="22"/>
          <w:lang w:val="it-IT"/>
        </w:rPr>
        <w:t xml:space="preserve">a </w:t>
      </w:r>
      <w:r w:rsidRPr="00C9575C">
        <w:rPr>
          <w:rStyle w:val="PageNumber"/>
          <w:szCs w:val="22"/>
          <w:lang w:val="it-IT"/>
        </w:rPr>
        <w:t xml:space="preserve">&lt;1/1000), molto raro (&lt;1/10.000). </w:t>
      </w:r>
    </w:p>
    <w:p w14:paraId="5A9E4605" w14:textId="77777777" w:rsidR="0084378B" w:rsidRPr="00C9575C" w:rsidRDefault="00376939" w:rsidP="00376939">
      <w:pPr>
        <w:widowControl w:val="0"/>
        <w:rPr>
          <w:szCs w:val="22"/>
          <w:lang w:val="it-IT"/>
        </w:rPr>
      </w:pPr>
      <w:r w:rsidRPr="00C9575C">
        <w:rPr>
          <w:szCs w:val="22"/>
          <w:lang w:val="it-IT"/>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63"/>
        <w:gridCol w:w="3095"/>
      </w:tblGrid>
      <w:tr w:rsidR="0084378B" w:rsidRPr="00C9575C" w14:paraId="43751328" w14:textId="77777777" w:rsidTr="000C3485">
        <w:tc>
          <w:tcPr>
            <w:tcW w:w="2977" w:type="dxa"/>
          </w:tcPr>
          <w:p w14:paraId="04F1137F" w14:textId="77777777" w:rsidR="0084378B" w:rsidRPr="00C9575C" w:rsidRDefault="0084378B" w:rsidP="00376939">
            <w:pPr>
              <w:widowControl w:val="0"/>
              <w:jc w:val="center"/>
              <w:rPr>
                <w:b/>
                <w:color w:val="000000"/>
                <w:szCs w:val="22"/>
                <w:lang w:val="it-IT"/>
              </w:rPr>
            </w:pPr>
            <w:r w:rsidRPr="00C9575C">
              <w:rPr>
                <w:b/>
                <w:color w:val="000000"/>
                <w:szCs w:val="22"/>
                <w:lang w:val="it-IT"/>
              </w:rPr>
              <w:lastRenderedPageBreak/>
              <w:t>Apparato/sistema</w:t>
            </w:r>
          </w:p>
        </w:tc>
        <w:tc>
          <w:tcPr>
            <w:tcW w:w="2963" w:type="dxa"/>
          </w:tcPr>
          <w:p w14:paraId="2F85B545" w14:textId="77777777" w:rsidR="0084378B" w:rsidRPr="00C9575C" w:rsidRDefault="0084378B" w:rsidP="00376939">
            <w:pPr>
              <w:widowControl w:val="0"/>
              <w:jc w:val="center"/>
              <w:rPr>
                <w:b/>
                <w:color w:val="000000"/>
                <w:szCs w:val="22"/>
                <w:lang w:val="it-IT"/>
              </w:rPr>
            </w:pPr>
            <w:r w:rsidRPr="00C9575C">
              <w:rPr>
                <w:b/>
                <w:color w:val="000000"/>
                <w:szCs w:val="22"/>
                <w:lang w:val="it-IT"/>
              </w:rPr>
              <w:t>Abacavir</w:t>
            </w:r>
          </w:p>
        </w:tc>
        <w:tc>
          <w:tcPr>
            <w:tcW w:w="3095" w:type="dxa"/>
          </w:tcPr>
          <w:p w14:paraId="3787F281" w14:textId="77777777" w:rsidR="0084378B" w:rsidRPr="00C9575C" w:rsidRDefault="0084378B" w:rsidP="00376939">
            <w:pPr>
              <w:widowControl w:val="0"/>
              <w:jc w:val="center"/>
              <w:rPr>
                <w:b/>
                <w:color w:val="000000"/>
                <w:szCs w:val="22"/>
                <w:lang w:val="it-IT"/>
              </w:rPr>
            </w:pPr>
            <w:r w:rsidRPr="00C9575C">
              <w:rPr>
                <w:b/>
                <w:color w:val="000000"/>
                <w:szCs w:val="22"/>
                <w:lang w:val="it-IT"/>
              </w:rPr>
              <w:t>Lamivudina</w:t>
            </w:r>
          </w:p>
          <w:p w14:paraId="756F21EA" w14:textId="77777777" w:rsidR="0084378B" w:rsidRPr="00C9575C" w:rsidRDefault="0084378B" w:rsidP="00376939">
            <w:pPr>
              <w:widowControl w:val="0"/>
              <w:jc w:val="center"/>
              <w:rPr>
                <w:b/>
                <w:color w:val="000000"/>
                <w:szCs w:val="22"/>
                <w:lang w:val="it-IT"/>
              </w:rPr>
            </w:pPr>
          </w:p>
        </w:tc>
      </w:tr>
      <w:tr w:rsidR="0084378B" w:rsidRPr="00C9575C" w14:paraId="4B9B18B2" w14:textId="77777777" w:rsidTr="000C3485">
        <w:tc>
          <w:tcPr>
            <w:tcW w:w="2977" w:type="dxa"/>
          </w:tcPr>
          <w:p w14:paraId="7D6CB6D3" w14:textId="594FE169" w:rsidR="0084378B" w:rsidRPr="00C9575C" w:rsidRDefault="0084378B" w:rsidP="0037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right="-153"/>
              <w:outlineLvl w:val="0"/>
              <w:rPr>
                <w:szCs w:val="22"/>
                <w:lang w:val="it-IT"/>
              </w:rPr>
            </w:pPr>
            <w:r w:rsidRPr="00C9575C">
              <w:rPr>
                <w:szCs w:val="22"/>
                <w:lang w:val="it-IT"/>
              </w:rPr>
              <w:t>Patologie del sistema emolinfopoietico</w:t>
            </w:r>
            <w:r w:rsidR="0092155C">
              <w:rPr>
                <w:szCs w:val="22"/>
                <w:lang w:val="it-IT"/>
              </w:rPr>
              <w:fldChar w:fldCharType="begin"/>
            </w:r>
            <w:r w:rsidR="0092155C">
              <w:rPr>
                <w:szCs w:val="22"/>
                <w:lang w:val="it-IT"/>
              </w:rPr>
              <w:instrText xml:space="preserve"> DOCVARIABLE vault_nd_343f2579-08fd-4b20-b957-f1677f3d788c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4EAEBFED" w14:textId="77777777" w:rsidR="0084378B" w:rsidRPr="00C9575C" w:rsidRDefault="0084378B" w:rsidP="00376939">
            <w:pPr>
              <w:widowControl w:val="0"/>
              <w:rPr>
                <w:color w:val="000000"/>
                <w:szCs w:val="22"/>
                <w:lang w:val="it-IT"/>
              </w:rPr>
            </w:pPr>
          </w:p>
        </w:tc>
        <w:tc>
          <w:tcPr>
            <w:tcW w:w="2963" w:type="dxa"/>
          </w:tcPr>
          <w:p w14:paraId="2105C9EE" w14:textId="77777777" w:rsidR="0084378B" w:rsidRPr="00C9575C" w:rsidRDefault="0084378B" w:rsidP="00376939">
            <w:pPr>
              <w:widowControl w:val="0"/>
              <w:rPr>
                <w:color w:val="000000"/>
                <w:szCs w:val="22"/>
                <w:lang w:val="it-IT"/>
              </w:rPr>
            </w:pPr>
          </w:p>
        </w:tc>
        <w:tc>
          <w:tcPr>
            <w:tcW w:w="3095" w:type="dxa"/>
          </w:tcPr>
          <w:p w14:paraId="76207956" w14:textId="77777777" w:rsidR="0084378B" w:rsidRPr="00C9575C" w:rsidRDefault="0084378B" w:rsidP="00376939">
            <w:pPr>
              <w:widowControl w:val="0"/>
              <w:rPr>
                <w:i/>
                <w:szCs w:val="22"/>
                <w:lang w:val="it-IT"/>
              </w:rPr>
            </w:pPr>
            <w:r w:rsidRPr="00C9575C">
              <w:rPr>
                <w:i/>
                <w:szCs w:val="22"/>
                <w:lang w:val="it-IT"/>
              </w:rPr>
              <w:t>Non comune:</w:t>
            </w:r>
            <w:r w:rsidRPr="00C9575C">
              <w:rPr>
                <w:szCs w:val="22"/>
                <w:lang w:val="it-IT"/>
              </w:rPr>
              <w:t xml:space="preserve"> neutropenia e</w:t>
            </w:r>
            <w:r w:rsidR="007425F1" w:rsidRPr="00C9575C">
              <w:rPr>
                <w:szCs w:val="22"/>
                <w:lang w:val="it-IT"/>
              </w:rPr>
              <w:t xml:space="preserve"> </w:t>
            </w:r>
            <w:r w:rsidRPr="00C9575C">
              <w:rPr>
                <w:szCs w:val="22"/>
                <w:lang w:val="it-IT"/>
              </w:rPr>
              <w:t>anemia (entrambe talvolta gravi), trombocitopenia</w:t>
            </w:r>
            <w:r w:rsidRPr="00C9575C">
              <w:rPr>
                <w:i/>
                <w:szCs w:val="22"/>
                <w:lang w:val="it-IT"/>
              </w:rPr>
              <w:t xml:space="preserve"> </w:t>
            </w:r>
          </w:p>
          <w:p w14:paraId="56DBDC31" w14:textId="77777777" w:rsidR="0084378B" w:rsidRPr="00C9575C" w:rsidRDefault="0084378B" w:rsidP="00376939">
            <w:pPr>
              <w:widowControl w:val="0"/>
              <w:rPr>
                <w:szCs w:val="22"/>
                <w:lang w:val="it-IT"/>
              </w:rPr>
            </w:pPr>
            <w:r w:rsidRPr="00C9575C">
              <w:rPr>
                <w:i/>
                <w:szCs w:val="22"/>
                <w:lang w:val="it-IT"/>
              </w:rPr>
              <w:t>Molto raro:</w:t>
            </w:r>
            <w:r w:rsidRPr="00C9575C">
              <w:rPr>
                <w:szCs w:val="22"/>
                <w:lang w:val="it-IT"/>
              </w:rPr>
              <w:t xml:space="preserve"> aplasia eritrocitaria pura</w:t>
            </w:r>
          </w:p>
        </w:tc>
      </w:tr>
      <w:tr w:rsidR="0084378B" w:rsidRPr="00C9575C" w14:paraId="64D59601" w14:textId="77777777" w:rsidTr="000C3485">
        <w:tc>
          <w:tcPr>
            <w:tcW w:w="2977" w:type="dxa"/>
          </w:tcPr>
          <w:p w14:paraId="180F36CA" w14:textId="77777777" w:rsidR="0084378B" w:rsidRPr="00C9575C" w:rsidRDefault="0084378B" w:rsidP="00376939">
            <w:pPr>
              <w:widowControl w:val="0"/>
              <w:rPr>
                <w:szCs w:val="22"/>
                <w:lang w:val="it-IT"/>
              </w:rPr>
            </w:pPr>
            <w:r w:rsidRPr="00C9575C">
              <w:rPr>
                <w:szCs w:val="22"/>
                <w:lang w:val="it-IT"/>
              </w:rPr>
              <w:t xml:space="preserve">Disturbi del sistema immunitario </w:t>
            </w:r>
          </w:p>
        </w:tc>
        <w:tc>
          <w:tcPr>
            <w:tcW w:w="2963" w:type="dxa"/>
          </w:tcPr>
          <w:p w14:paraId="1AB599DC" w14:textId="77777777" w:rsidR="0084378B" w:rsidRPr="00C9575C" w:rsidRDefault="0084378B" w:rsidP="00376939">
            <w:pPr>
              <w:widowControl w:val="0"/>
              <w:rPr>
                <w:snapToGrid w:val="0"/>
                <w:szCs w:val="22"/>
                <w:lang w:val="it-IT"/>
              </w:rPr>
            </w:pPr>
            <w:r w:rsidRPr="00C9575C">
              <w:rPr>
                <w:i/>
                <w:snapToGrid w:val="0"/>
                <w:szCs w:val="22"/>
                <w:lang w:val="it-IT"/>
              </w:rPr>
              <w:t>Comune</w:t>
            </w:r>
            <w:r w:rsidRPr="00C9575C">
              <w:rPr>
                <w:snapToGrid w:val="0"/>
                <w:szCs w:val="22"/>
                <w:lang w:val="it-IT"/>
              </w:rPr>
              <w:t>: ipersensibilità</w:t>
            </w:r>
          </w:p>
          <w:p w14:paraId="43DC426C" w14:textId="77777777" w:rsidR="0084378B" w:rsidRPr="00C9575C" w:rsidRDefault="0084378B" w:rsidP="00376939">
            <w:pPr>
              <w:widowControl w:val="0"/>
              <w:rPr>
                <w:i/>
                <w:snapToGrid w:val="0"/>
                <w:szCs w:val="22"/>
                <w:lang w:val="it-IT"/>
              </w:rPr>
            </w:pPr>
          </w:p>
        </w:tc>
        <w:tc>
          <w:tcPr>
            <w:tcW w:w="3095" w:type="dxa"/>
          </w:tcPr>
          <w:p w14:paraId="73ECF73B" w14:textId="77777777" w:rsidR="0084378B" w:rsidRPr="00C9575C" w:rsidRDefault="0084378B" w:rsidP="00376939">
            <w:pPr>
              <w:widowControl w:val="0"/>
              <w:tabs>
                <w:tab w:val="left" w:pos="7020"/>
              </w:tabs>
              <w:ind w:left="142" w:hanging="142"/>
              <w:rPr>
                <w:i/>
                <w:szCs w:val="22"/>
                <w:lang w:val="it-IT"/>
              </w:rPr>
            </w:pPr>
          </w:p>
        </w:tc>
      </w:tr>
      <w:tr w:rsidR="0084378B" w:rsidRPr="00C9575C" w14:paraId="47C03198" w14:textId="77777777" w:rsidTr="000C3485">
        <w:tc>
          <w:tcPr>
            <w:tcW w:w="2977" w:type="dxa"/>
          </w:tcPr>
          <w:p w14:paraId="70E8A310" w14:textId="77777777" w:rsidR="0084378B" w:rsidRPr="00C9575C" w:rsidRDefault="0084378B" w:rsidP="00376939">
            <w:pPr>
              <w:widowControl w:val="0"/>
              <w:tabs>
                <w:tab w:val="left" w:pos="567"/>
              </w:tabs>
              <w:rPr>
                <w:szCs w:val="22"/>
                <w:lang w:val="it-IT"/>
              </w:rPr>
            </w:pPr>
            <w:r w:rsidRPr="00C9575C">
              <w:rPr>
                <w:szCs w:val="22"/>
                <w:lang w:val="it-IT"/>
              </w:rPr>
              <w:t>Disturbi del metabolismo e della nutrizione</w:t>
            </w:r>
          </w:p>
        </w:tc>
        <w:tc>
          <w:tcPr>
            <w:tcW w:w="2963" w:type="dxa"/>
          </w:tcPr>
          <w:p w14:paraId="27C4A2F0" w14:textId="77777777" w:rsidR="0084378B" w:rsidRPr="00C9575C" w:rsidRDefault="0084378B" w:rsidP="00376939">
            <w:pPr>
              <w:widowControl w:val="0"/>
              <w:rPr>
                <w:snapToGrid w:val="0"/>
                <w:szCs w:val="22"/>
                <w:lang w:val="it-IT"/>
              </w:rPr>
            </w:pPr>
            <w:r w:rsidRPr="00C9575C">
              <w:rPr>
                <w:i/>
                <w:snapToGrid w:val="0"/>
                <w:szCs w:val="22"/>
                <w:lang w:val="it-IT"/>
              </w:rPr>
              <w:t xml:space="preserve">Comune: </w:t>
            </w:r>
            <w:r w:rsidRPr="00C9575C">
              <w:rPr>
                <w:snapToGrid w:val="0"/>
                <w:szCs w:val="22"/>
                <w:lang w:val="it-IT"/>
              </w:rPr>
              <w:t>anoressia</w:t>
            </w:r>
          </w:p>
          <w:p w14:paraId="3DAB8A0F" w14:textId="77777777" w:rsidR="00905DF1" w:rsidRPr="00C9575C" w:rsidRDefault="00905DF1" w:rsidP="00376939">
            <w:pPr>
              <w:widowControl w:val="0"/>
              <w:rPr>
                <w:snapToGrid w:val="0"/>
                <w:szCs w:val="22"/>
                <w:lang w:val="it-IT"/>
              </w:rPr>
            </w:pPr>
            <w:r w:rsidRPr="00C9575C">
              <w:rPr>
                <w:i/>
                <w:snapToGrid w:val="0"/>
                <w:szCs w:val="22"/>
                <w:lang w:val="it-IT"/>
              </w:rPr>
              <w:t>Molto raro</w:t>
            </w:r>
            <w:r w:rsidRPr="00C9575C">
              <w:rPr>
                <w:snapToGrid w:val="0"/>
                <w:szCs w:val="22"/>
                <w:lang w:val="it-IT"/>
              </w:rPr>
              <w:t>: acidosi lattica</w:t>
            </w:r>
          </w:p>
          <w:p w14:paraId="78DC361D" w14:textId="77777777" w:rsidR="0084378B" w:rsidRPr="00C9575C" w:rsidRDefault="0084378B" w:rsidP="00376939">
            <w:pPr>
              <w:widowControl w:val="0"/>
              <w:rPr>
                <w:color w:val="000000"/>
                <w:szCs w:val="22"/>
                <w:lang w:val="it-IT"/>
              </w:rPr>
            </w:pPr>
          </w:p>
        </w:tc>
        <w:tc>
          <w:tcPr>
            <w:tcW w:w="3095" w:type="dxa"/>
          </w:tcPr>
          <w:p w14:paraId="3315007B" w14:textId="77777777" w:rsidR="0084378B" w:rsidRPr="00C9575C" w:rsidRDefault="00905DF1" w:rsidP="00376939">
            <w:pPr>
              <w:widowControl w:val="0"/>
              <w:tabs>
                <w:tab w:val="left" w:pos="7020"/>
              </w:tabs>
              <w:ind w:left="142" w:hanging="142"/>
              <w:rPr>
                <w:szCs w:val="22"/>
                <w:lang w:val="it-IT"/>
              </w:rPr>
            </w:pPr>
            <w:r w:rsidRPr="00C9575C">
              <w:rPr>
                <w:i/>
                <w:szCs w:val="22"/>
                <w:lang w:val="it-IT"/>
              </w:rPr>
              <w:t>Molto raro:</w:t>
            </w:r>
            <w:r w:rsidRPr="00C9575C">
              <w:rPr>
                <w:szCs w:val="22"/>
                <w:lang w:val="it-IT"/>
              </w:rPr>
              <w:t xml:space="preserve"> acidosi lattica</w:t>
            </w:r>
          </w:p>
        </w:tc>
      </w:tr>
      <w:tr w:rsidR="0084378B" w:rsidRPr="00C9575C" w14:paraId="135AC7EE" w14:textId="77777777" w:rsidTr="000C3485">
        <w:tc>
          <w:tcPr>
            <w:tcW w:w="2977" w:type="dxa"/>
          </w:tcPr>
          <w:p w14:paraId="333B75ED" w14:textId="141C57FC" w:rsidR="0084378B" w:rsidRPr="00C9575C" w:rsidRDefault="0084378B" w:rsidP="0037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right="-153"/>
              <w:outlineLvl w:val="0"/>
              <w:rPr>
                <w:szCs w:val="22"/>
                <w:lang w:val="it-IT"/>
              </w:rPr>
            </w:pPr>
            <w:r w:rsidRPr="00C9575C">
              <w:rPr>
                <w:szCs w:val="22"/>
                <w:lang w:val="it-IT"/>
              </w:rPr>
              <w:t>Patologie del sistema nervoso</w:t>
            </w:r>
            <w:r w:rsidR="0092155C">
              <w:rPr>
                <w:szCs w:val="22"/>
                <w:lang w:val="it-IT"/>
              </w:rPr>
              <w:fldChar w:fldCharType="begin"/>
            </w:r>
            <w:r w:rsidR="0092155C">
              <w:rPr>
                <w:szCs w:val="22"/>
                <w:lang w:val="it-IT"/>
              </w:rPr>
              <w:instrText xml:space="preserve"> DOCVARIABLE vault_nd_c87c7045-eae5-4bb3-8ef2-aef9d3f4b66a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0B27D98C" w14:textId="77777777" w:rsidR="0084378B" w:rsidRPr="00C9575C" w:rsidRDefault="0084378B" w:rsidP="00376939">
            <w:pPr>
              <w:widowControl w:val="0"/>
              <w:rPr>
                <w:color w:val="000000"/>
                <w:szCs w:val="22"/>
                <w:lang w:val="it-IT"/>
              </w:rPr>
            </w:pPr>
          </w:p>
        </w:tc>
        <w:tc>
          <w:tcPr>
            <w:tcW w:w="2963" w:type="dxa"/>
          </w:tcPr>
          <w:p w14:paraId="12D1782D" w14:textId="0159CF5D" w:rsidR="0084378B" w:rsidRPr="00C9575C" w:rsidRDefault="0084378B" w:rsidP="00376939">
            <w:pPr>
              <w:widowControl w:val="0"/>
              <w:tabs>
                <w:tab w:val="left" w:pos="567"/>
              </w:tabs>
              <w:outlineLvl w:val="0"/>
              <w:rPr>
                <w:rStyle w:val="PageNumber"/>
                <w:szCs w:val="22"/>
                <w:lang w:val="it-IT"/>
              </w:rPr>
            </w:pPr>
            <w:r w:rsidRPr="00C9575C">
              <w:rPr>
                <w:rStyle w:val="PageNumber"/>
                <w:i/>
                <w:szCs w:val="22"/>
                <w:lang w:val="it-IT"/>
              </w:rPr>
              <w:t>Comune:</w:t>
            </w:r>
            <w:r w:rsidRPr="00C9575C">
              <w:rPr>
                <w:rStyle w:val="PageNumber"/>
                <w:szCs w:val="22"/>
                <w:lang w:val="it-IT"/>
              </w:rPr>
              <w:t xml:space="preserve"> cefalea</w:t>
            </w:r>
            <w:r w:rsidR="0092155C">
              <w:rPr>
                <w:rStyle w:val="PageNumber"/>
                <w:szCs w:val="22"/>
                <w:lang w:val="it-IT"/>
              </w:rPr>
              <w:fldChar w:fldCharType="begin"/>
            </w:r>
            <w:r w:rsidR="0092155C">
              <w:rPr>
                <w:rStyle w:val="PageNumber"/>
                <w:szCs w:val="22"/>
                <w:lang w:val="it-IT"/>
              </w:rPr>
              <w:instrText xml:space="preserve"> DOCVARIABLE vault_nd_9f76122a-19f1-48df-bb9e-b2664171e2b3 \* MERGEFORMAT </w:instrText>
            </w:r>
            <w:r w:rsidR="0092155C">
              <w:rPr>
                <w:rStyle w:val="PageNumber"/>
                <w:szCs w:val="22"/>
                <w:lang w:val="it-IT"/>
              </w:rPr>
              <w:fldChar w:fldCharType="separate"/>
            </w:r>
            <w:r w:rsidR="0092155C">
              <w:rPr>
                <w:rStyle w:val="PageNumber"/>
                <w:szCs w:val="22"/>
                <w:lang w:val="it-IT"/>
              </w:rPr>
              <w:t xml:space="preserve"> </w:t>
            </w:r>
            <w:r w:rsidR="0092155C">
              <w:rPr>
                <w:rStyle w:val="PageNumber"/>
                <w:szCs w:val="22"/>
                <w:lang w:val="it-IT"/>
              </w:rPr>
              <w:fldChar w:fldCharType="end"/>
            </w:r>
          </w:p>
          <w:p w14:paraId="08FBFF30" w14:textId="77777777" w:rsidR="0084378B" w:rsidRPr="00C9575C" w:rsidRDefault="0084378B" w:rsidP="00376939">
            <w:pPr>
              <w:widowControl w:val="0"/>
              <w:rPr>
                <w:color w:val="000000"/>
                <w:szCs w:val="22"/>
                <w:lang w:val="it-IT"/>
              </w:rPr>
            </w:pPr>
          </w:p>
        </w:tc>
        <w:tc>
          <w:tcPr>
            <w:tcW w:w="3095" w:type="dxa"/>
          </w:tcPr>
          <w:p w14:paraId="467987B0" w14:textId="77777777" w:rsidR="0084378B" w:rsidRPr="00C9575C" w:rsidRDefault="0084378B" w:rsidP="00376939">
            <w:pPr>
              <w:widowControl w:val="0"/>
              <w:tabs>
                <w:tab w:val="left" w:pos="7020"/>
              </w:tabs>
              <w:ind w:left="142" w:hanging="142"/>
              <w:rPr>
                <w:szCs w:val="22"/>
                <w:lang w:val="it-IT"/>
              </w:rPr>
            </w:pPr>
            <w:r w:rsidRPr="00C9575C">
              <w:rPr>
                <w:i/>
                <w:szCs w:val="22"/>
                <w:lang w:val="it-IT"/>
              </w:rPr>
              <w:t xml:space="preserve">Comune: </w:t>
            </w:r>
            <w:r w:rsidRPr="00C9575C">
              <w:rPr>
                <w:szCs w:val="22"/>
                <w:lang w:val="it-IT"/>
              </w:rPr>
              <w:t>cefalea, insonnia.</w:t>
            </w:r>
          </w:p>
          <w:p w14:paraId="3F574E11" w14:textId="77777777" w:rsidR="0084378B" w:rsidRPr="00C9575C" w:rsidRDefault="0084378B" w:rsidP="00376939">
            <w:pPr>
              <w:widowControl w:val="0"/>
              <w:rPr>
                <w:color w:val="000000"/>
                <w:szCs w:val="22"/>
                <w:lang w:val="it-IT"/>
              </w:rPr>
            </w:pPr>
            <w:r w:rsidRPr="00C9575C">
              <w:rPr>
                <w:i/>
                <w:szCs w:val="22"/>
                <w:lang w:val="it-IT"/>
              </w:rPr>
              <w:t>Molto raro:</w:t>
            </w:r>
            <w:r w:rsidRPr="00C9575C">
              <w:rPr>
                <w:szCs w:val="22"/>
                <w:lang w:val="it-IT"/>
              </w:rPr>
              <w:t xml:space="preserve"> sono stati riportati casi di neuropatia periferica (o parestesie)</w:t>
            </w:r>
          </w:p>
        </w:tc>
      </w:tr>
      <w:tr w:rsidR="0084378B" w:rsidRPr="00C9575C" w14:paraId="6F732DA2" w14:textId="77777777" w:rsidTr="000C3485">
        <w:tc>
          <w:tcPr>
            <w:tcW w:w="2977" w:type="dxa"/>
          </w:tcPr>
          <w:p w14:paraId="1CB4C291" w14:textId="627173E9" w:rsidR="0084378B" w:rsidRPr="00C9575C" w:rsidRDefault="001B5A94" w:rsidP="0037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right="-153"/>
              <w:outlineLvl w:val="0"/>
              <w:rPr>
                <w:szCs w:val="22"/>
                <w:lang w:val="it-IT"/>
              </w:rPr>
            </w:pPr>
            <w:r w:rsidRPr="00C9575C">
              <w:rPr>
                <w:szCs w:val="22"/>
                <w:lang w:val="it-IT"/>
              </w:rPr>
              <w:t xml:space="preserve">Patologie respiratorie, </w:t>
            </w:r>
            <w:r w:rsidR="000C3485" w:rsidRPr="00C9575C">
              <w:rPr>
                <w:szCs w:val="22"/>
                <w:lang w:val="it-IT"/>
              </w:rPr>
              <w:t xml:space="preserve">toraciche e </w:t>
            </w:r>
            <w:r w:rsidR="0084378B" w:rsidRPr="00C9575C">
              <w:rPr>
                <w:szCs w:val="22"/>
                <w:lang w:val="it-IT"/>
              </w:rPr>
              <w:t>mediastiniche</w:t>
            </w:r>
            <w:r w:rsidR="0092155C">
              <w:rPr>
                <w:szCs w:val="22"/>
                <w:lang w:val="it-IT"/>
              </w:rPr>
              <w:fldChar w:fldCharType="begin"/>
            </w:r>
            <w:r w:rsidR="0092155C">
              <w:rPr>
                <w:szCs w:val="22"/>
                <w:lang w:val="it-IT"/>
              </w:rPr>
              <w:instrText xml:space="preserve"> DOCVARIABLE vault_nd_70fef432-b3a4-4389-a3d5-f412b46bb144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tc>
        <w:tc>
          <w:tcPr>
            <w:tcW w:w="2963" w:type="dxa"/>
          </w:tcPr>
          <w:p w14:paraId="5D98E4A1" w14:textId="77777777" w:rsidR="0084378B" w:rsidRPr="00C9575C" w:rsidRDefault="0084378B" w:rsidP="00376939">
            <w:pPr>
              <w:widowControl w:val="0"/>
              <w:rPr>
                <w:color w:val="000000"/>
                <w:szCs w:val="22"/>
                <w:lang w:val="it-IT"/>
              </w:rPr>
            </w:pPr>
          </w:p>
        </w:tc>
        <w:tc>
          <w:tcPr>
            <w:tcW w:w="3095" w:type="dxa"/>
          </w:tcPr>
          <w:p w14:paraId="4D87D7EB" w14:textId="77777777" w:rsidR="0084378B" w:rsidRPr="00C9575C" w:rsidRDefault="0084378B" w:rsidP="00376939">
            <w:pPr>
              <w:widowControl w:val="0"/>
              <w:rPr>
                <w:szCs w:val="22"/>
                <w:lang w:val="it-IT"/>
              </w:rPr>
            </w:pPr>
            <w:r w:rsidRPr="00C9575C">
              <w:rPr>
                <w:i/>
                <w:szCs w:val="22"/>
                <w:lang w:val="it-IT"/>
              </w:rPr>
              <w:t>Comune:</w:t>
            </w:r>
            <w:r w:rsidRPr="00C9575C">
              <w:rPr>
                <w:szCs w:val="22"/>
                <w:lang w:val="it-IT"/>
              </w:rPr>
              <w:t xml:space="preserve"> tosse, sintomatologia nasale</w:t>
            </w:r>
          </w:p>
        </w:tc>
      </w:tr>
      <w:tr w:rsidR="0084378B" w:rsidRPr="00C9575C" w14:paraId="24979048" w14:textId="77777777" w:rsidTr="000C3485">
        <w:tc>
          <w:tcPr>
            <w:tcW w:w="2977" w:type="dxa"/>
          </w:tcPr>
          <w:p w14:paraId="30AA82D5" w14:textId="7EBCAE13" w:rsidR="0084378B" w:rsidRPr="00C9575C" w:rsidRDefault="0084378B" w:rsidP="0037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right="-153"/>
              <w:outlineLvl w:val="0"/>
              <w:rPr>
                <w:szCs w:val="22"/>
                <w:lang w:val="it-IT"/>
              </w:rPr>
            </w:pPr>
            <w:r w:rsidRPr="00C9575C">
              <w:rPr>
                <w:szCs w:val="22"/>
                <w:lang w:val="it-IT"/>
              </w:rPr>
              <w:t>Patologie gastrointestinali</w:t>
            </w:r>
            <w:r w:rsidR="0092155C">
              <w:rPr>
                <w:szCs w:val="22"/>
                <w:lang w:val="it-IT"/>
              </w:rPr>
              <w:fldChar w:fldCharType="begin"/>
            </w:r>
            <w:r w:rsidR="0092155C">
              <w:rPr>
                <w:szCs w:val="22"/>
                <w:lang w:val="it-IT"/>
              </w:rPr>
              <w:instrText xml:space="preserve"> DOCVARIABLE vault_nd_568a4f26-8882-4163-bbd7-481d9db0143d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1869FD46" w14:textId="77777777" w:rsidR="0084378B" w:rsidRPr="00C9575C" w:rsidRDefault="0084378B" w:rsidP="00376939">
            <w:pPr>
              <w:widowControl w:val="0"/>
              <w:rPr>
                <w:color w:val="000000"/>
                <w:szCs w:val="22"/>
                <w:lang w:val="it-IT"/>
              </w:rPr>
            </w:pPr>
          </w:p>
        </w:tc>
        <w:tc>
          <w:tcPr>
            <w:tcW w:w="2963" w:type="dxa"/>
          </w:tcPr>
          <w:p w14:paraId="35261C61" w14:textId="77777777" w:rsidR="0084378B" w:rsidRPr="00C9575C" w:rsidRDefault="0084378B" w:rsidP="00376939">
            <w:pPr>
              <w:widowControl w:val="0"/>
              <w:tabs>
                <w:tab w:val="left" w:pos="567"/>
              </w:tabs>
              <w:ind w:right="-122"/>
              <w:rPr>
                <w:b/>
                <w:szCs w:val="22"/>
                <w:lang w:val="it-IT"/>
              </w:rPr>
            </w:pPr>
            <w:r w:rsidRPr="00C9575C">
              <w:rPr>
                <w:i/>
                <w:szCs w:val="22"/>
                <w:lang w:val="it-IT"/>
              </w:rPr>
              <w:t>Comune:</w:t>
            </w:r>
            <w:r w:rsidRPr="00C9575C">
              <w:rPr>
                <w:szCs w:val="22"/>
                <w:lang w:val="it-IT"/>
              </w:rPr>
              <w:t xml:space="preserve"> nausea, vomito, diarrea</w:t>
            </w:r>
          </w:p>
          <w:p w14:paraId="121B86B0" w14:textId="77777777" w:rsidR="0084378B" w:rsidRPr="00C9575C" w:rsidRDefault="0084378B" w:rsidP="00376939">
            <w:pPr>
              <w:widowControl w:val="0"/>
              <w:tabs>
                <w:tab w:val="left" w:pos="567"/>
              </w:tabs>
              <w:rPr>
                <w:szCs w:val="22"/>
                <w:lang w:val="it-IT"/>
              </w:rPr>
            </w:pPr>
            <w:r w:rsidRPr="00C9575C">
              <w:rPr>
                <w:i/>
                <w:szCs w:val="22"/>
                <w:lang w:val="it-IT"/>
              </w:rPr>
              <w:t xml:space="preserve">Raro: </w:t>
            </w:r>
            <w:r w:rsidRPr="00C9575C">
              <w:rPr>
                <w:szCs w:val="22"/>
                <w:lang w:val="it-IT"/>
              </w:rPr>
              <w:t>è stata riportata pancreatite, ma una relazione causale con il trattamento con abacavir non è certa.</w:t>
            </w:r>
          </w:p>
        </w:tc>
        <w:tc>
          <w:tcPr>
            <w:tcW w:w="3095" w:type="dxa"/>
          </w:tcPr>
          <w:p w14:paraId="450AD26C" w14:textId="77777777" w:rsidR="0084378B" w:rsidRPr="00C9575C" w:rsidRDefault="0084378B" w:rsidP="00376939">
            <w:pPr>
              <w:widowControl w:val="0"/>
              <w:rPr>
                <w:i/>
                <w:szCs w:val="22"/>
                <w:lang w:val="it-IT"/>
              </w:rPr>
            </w:pPr>
            <w:r w:rsidRPr="00C9575C">
              <w:rPr>
                <w:i/>
                <w:szCs w:val="22"/>
                <w:lang w:val="it-IT"/>
              </w:rPr>
              <w:t xml:space="preserve">Comune: </w:t>
            </w:r>
            <w:r w:rsidRPr="00C9575C">
              <w:rPr>
                <w:szCs w:val="22"/>
                <w:lang w:val="it-IT"/>
              </w:rPr>
              <w:t>nausea, vomito, dolori o crampi addominali, diarrea</w:t>
            </w:r>
            <w:r w:rsidRPr="00C9575C">
              <w:rPr>
                <w:i/>
                <w:szCs w:val="22"/>
                <w:lang w:val="it-IT"/>
              </w:rPr>
              <w:t xml:space="preserve"> </w:t>
            </w:r>
          </w:p>
          <w:p w14:paraId="4B3753D3" w14:textId="77777777" w:rsidR="0084378B" w:rsidRPr="00C9575C" w:rsidRDefault="0084378B" w:rsidP="00376939">
            <w:pPr>
              <w:widowControl w:val="0"/>
              <w:rPr>
                <w:color w:val="000000"/>
                <w:szCs w:val="22"/>
                <w:lang w:val="it-IT"/>
              </w:rPr>
            </w:pPr>
            <w:r w:rsidRPr="00C9575C">
              <w:rPr>
                <w:i/>
                <w:szCs w:val="22"/>
                <w:lang w:val="it-IT"/>
              </w:rPr>
              <w:t>Raro:</w:t>
            </w:r>
            <w:r w:rsidRPr="00C9575C">
              <w:rPr>
                <w:szCs w:val="22"/>
                <w:lang w:val="it-IT"/>
              </w:rPr>
              <w:t xml:space="preserve"> aumenti dell'amilasi sierica. Sono stati riportati casi di pancreatite</w:t>
            </w:r>
          </w:p>
        </w:tc>
      </w:tr>
      <w:tr w:rsidR="0084378B" w:rsidRPr="00C9575C" w14:paraId="1B399C33" w14:textId="77777777" w:rsidTr="000C3485">
        <w:tc>
          <w:tcPr>
            <w:tcW w:w="2977" w:type="dxa"/>
          </w:tcPr>
          <w:p w14:paraId="6586F0B2" w14:textId="0213A39C" w:rsidR="0084378B" w:rsidRPr="00C9575C" w:rsidRDefault="0084378B" w:rsidP="00376939">
            <w:pPr>
              <w:widowControl w:val="0"/>
              <w:tabs>
                <w:tab w:val="left" w:pos="0"/>
              </w:tabs>
              <w:outlineLvl w:val="0"/>
              <w:rPr>
                <w:rStyle w:val="PageNumber"/>
                <w:szCs w:val="22"/>
                <w:lang w:val="it-IT"/>
              </w:rPr>
            </w:pPr>
            <w:r w:rsidRPr="00C9575C">
              <w:rPr>
                <w:szCs w:val="22"/>
                <w:lang w:val="it-IT"/>
              </w:rPr>
              <w:t>Patologie epatobiliari</w:t>
            </w:r>
            <w:r w:rsidR="0092155C">
              <w:rPr>
                <w:szCs w:val="22"/>
                <w:lang w:val="it-IT"/>
              </w:rPr>
              <w:fldChar w:fldCharType="begin"/>
            </w:r>
            <w:r w:rsidR="0092155C">
              <w:rPr>
                <w:szCs w:val="22"/>
                <w:lang w:val="it-IT"/>
              </w:rPr>
              <w:instrText xml:space="preserve"> DOCVARIABLE vault_nd_6833ffdd-08b7-47e1-9a97-11a0a3b23b5e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04CCD501" w14:textId="77777777" w:rsidR="0084378B" w:rsidRPr="00C9575C" w:rsidRDefault="0084378B" w:rsidP="00376939">
            <w:pPr>
              <w:widowControl w:val="0"/>
              <w:rPr>
                <w:color w:val="000000"/>
                <w:szCs w:val="22"/>
                <w:lang w:val="it-IT"/>
              </w:rPr>
            </w:pPr>
          </w:p>
        </w:tc>
        <w:tc>
          <w:tcPr>
            <w:tcW w:w="2963" w:type="dxa"/>
          </w:tcPr>
          <w:p w14:paraId="41142FE6" w14:textId="77777777" w:rsidR="0084378B" w:rsidRPr="00C9575C" w:rsidRDefault="0084378B" w:rsidP="00376939">
            <w:pPr>
              <w:widowControl w:val="0"/>
              <w:rPr>
                <w:color w:val="000000"/>
                <w:szCs w:val="22"/>
                <w:lang w:val="it-IT"/>
              </w:rPr>
            </w:pPr>
          </w:p>
        </w:tc>
        <w:tc>
          <w:tcPr>
            <w:tcW w:w="3095" w:type="dxa"/>
          </w:tcPr>
          <w:p w14:paraId="3E7E6EA9" w14:textId="77777777" w:rsidR="0084378B" w:rsidRPr="00C9575C" w:rsidRDefault="0084378B" w:rsidP="00376939">
            <w:pPr>
              <w:widowControl w:val="0"/>
              <w:ind w:right="-145"/>
              <w:rPr>
                <w:szCs w:val="22"/>
                <w:lang w:val="it-IT"/>
              </w:rPr>
            </w:pPr>
            <w:r w:rsidRPr="00C9575C">
              <w:rPr>
                <w:i/>
                <w:szCs w:val="22"/>
                <w:lang w:val="it-IT"/>
              </w:rPr>
              <w:t>Non comune</w:t>
            </w:r>
            <w:r w:rsidRPr="00C9575C">
              <w:rPr>
                <w:szCs w:val="22"/>
                <w:lang w:val="it-IT"/>
              </w:rPr>
              <w:t xml:space="preserve">: transitori aumenti degli enzimi epatici (AST, </w:t>
            </w:r>
            <w:r w:rsidR="003B3DDC" w:rsidRPr="00C9575C">
              <w:rPr>
                <w:szCs w:val="22"/>
                <w:lang w:val="it-IT"/>
              </w:rPr>
              <w:t>A</w:t>
            </w:r>
            <w:r w:rsidRPr="00C9575C">
              <w:rPr>
                <w:szCs w:val="22"/>
                <w:lang w:val="it-IT"/>
              </w:rPr>
              <w:t>LT)</w:t>
            </w:r>
          </w:p>
          <w:p w14:paraId="136816A6" w14:textId="77777777" w:rsidR="0084378B" w:rsidRPr="00C9575C" w:rsidRDefault="0084378B" w:rsidP="00376939">
            <w:pPr>
              <w:widowControl w:val="0"/>
              <w:rPr>
                <w:color w:val="000000"/>
                <w:szCs w:val="22"/>
                <w:lang w:val="it-IT"/>
              </w:rPr>
            </w:pPr>
            <w:r w:rsidRPr="00C9575C">
              <w:rPr>
                <w:i/>
                <w:szCs w:val="22"/>
                <w:lang w:val="it-IT"/>
              </w:rPr>
              <w:t>Raro</w:t>
            </w:r>
            <w:r w:rsidRPr="00C9575C">
              <w:rPr>
                <w:szCs w:val="22"/>
                <w:lang w:val="it-IT"/>
              </w:rPr>
              <w:t xml:space="preserve">: epatite </w:t>
            </w:r>
          </w:p>
        </w:tc>
      </w:tr>
      <w:tr w:rsidR="0084378B" w:rsidRPr="00C9575C" w14:paraId="072B9EFF" w14:textId="77777777" w:rsidTr="000C3485">
        <w:tc>
          <w:tcPr>
            <w:tcW w:w="2977" w:type="dxa"/>
          </w:tcPr>
          <w:p w14:paraId="0C2A055B" w14:textId="77777777" w:rsidR="0084378B" w:rsidRPr="00C9575C" w:rsidRDefault="0084378B" w:rsidP="00376939">
            <w:pPr>
              <w:widowControl w:val="0"/>
              <w:tabs>
                <w:tab w:val="left" w:pos="567"/>
              </w:tabs>
              <w:rPr>
                <w:szCs w:val="22"/>
                <w:lang w:val="it-IT"/>
              </w:rPr>
            </w:pPr>
            <w:r w:rsidRPr="00C9575C">
              <w:rPr>
                <w:szCs w:val="22"/>
                <w:lang w:val="it-IT"/>
              </w:rPr>
              <w:t>Patologie della cute e del tessuto sottocutaneo</w:t>
            </w:r>
          </w:p>
          <w:p w14:paraId="431C29B5" w14:textId="77777777" w:rsidR="0084378B" w:rsidRPr="00C9575C" w:rsidRDefault="0084378B" w:rsidP="00376939">
            <w:pPr>
              <w:widowControl w:val="0"/>
              <w:rPr>
                <w:color w:val="000000"/>
                <w:szCs w:val="22"/>
                <w:lang w:val="it-IT"/>
              </w:rPr>
            </w:pPr>
          </w:p>
        </w:tc>
        <w:tc>
          <w:tcPr>
            <w:tcW w:w="2963" w:type="dxa"/>
          </w:tcPr>
          <w:p w14:paraId="2A78E0B1" w14:textId="77777777" w:rsidR="0084378B" w:rsidRPr="00C9575C" w:rsidRDefault="0084378B" w:rsidP="00376939">
            <w:pPr>
              <w:widowControl w:val="0"/>
              <w:rPr>
                <w:szCs w:val="22"/>
                <w:lang w:val="it-IT"/>
              </w:rPr>
            </w:pPr>
            <w:r w:rsidRPr="00C9575C">
              <w:rPr>
                <w:i/>
                <w:szCs w:val="22"/>
                <w:lang w:val="it-IT"/>
              </w:rPr>
              <w:t>Comune:</w:t>
            </w:r>
            <w:r w:rsidRPr="00C9575C">
              <w:rPr>
                <w:szCs w:val="22"/>
                <w:lang w:val="it-IT"/>
              </w:rPr>
              <w:t xml:space="preserve"> rash (senza sintomi sistemici)</w:t>
            </w:r>
          </w:p>
          <w:p w14:paraId="7A50BB44" w14:textId="77777777" w:rsidR="0084378B" w:rsidRPr="00C9575C" w:rsidRDefault="0084378B" w:rsidP="00376939">
            <w:pPr>
              <w:widowControl w:val="0"/>
              <w:rPr>
                <w:szCs w:val="22"/>
                <w:lang w:val="it-IT"/>
              </w:rPr>
            </w:pPr>
            <w:r w:rsidRPr="00C9575C">
              <w:rPr>
                <w:i/>
                <w:szCs w:val="22"/>
                <w:lang w:val="it-IT"/>
              </w:rPr>
              <w:t>Molto raro:</w:t>
            </w:r>
            <w:r w:rsidRPr="00C9575C">
              <w:rPr>
                <w:b/>
                <w:szCs w:val="22"/>
                <w:lang w:val="it-IT"/>
              </w:rPr>
              <w:t xml:space="preserve"> </w:t>
            </w:r>
            <w:r w:rsidRPr="00C9575C">
              <w:rPr>
                <w:szCs w:val="22"/>
                <w:lang w:val="it-IT"/>
              </w:rPr>
              <w:t>eritema multiforme, sindrome di Stevens-Johnson e necrolisi epidermica tossica</w:t>
            </w:r>
          </w:p>
        </w:tc>
        <w:tc>
          <w:tcPr>
            <w:tcW w:w="3095" w:type="dxa"/>
          </w:tcPr>
          <w:p w14:paraId="062D1F29" w14:textId="77777777" w:rsidR="0084378B" w:rsidRPr="00C9575C" w:rsidRDefault="0084378B" w:rsidP="00376939">
            <w:pPr>
              <w:widowControl w:val="0"/>
              <w:rPr>
                <w:szCs w:val="22"/>
                <w:lang w:val="it-IT"/>
              </w:rPr>
            </w:pPr>
            <w:r w:rsidRPr="00C9575C">
              <w:rPr>
                <w:i/>
                <w:szCs w:val="22"/>
                <w:lang w:val="it-IT"/>
              </w:rPr>
              <w:t>Comune:</w:t>
            </w:r>
            <w:r w:rsidRPr="00C9575C">
              <w:rPr>
                <w:szCs w:val="22"/>
                <w:lang w:val="it-IT"/>
              </w:rPr>
              <w:t xml:space="preserve"> rash, alopecia</w:t>
            </w:r>
          </w:p>
          <w:p w14:paraId="0C111A53" w14:textId="77777777" w:rsidR="008A3E98" w:rsidRPr="00C9575C" w:rsidRDefault="00CC0BC2" w:rsidP="00376939">
            <w:pPr>
              <w:widowControl w:val="0"/>
              <w:rPr>
                <w:color w:val="000000"/>
                <w:szCs w:val="22"/>
                <w:lang w:val="it-IT"/>
              </w:rPr>
            </w:pPr>
            <w:r w:rsidRPr="00C9575C">
              <w:rPr>
                <w:i/>
                <w:szCs w:val="22"/>
                <w:lang w:val="it-IT"/>
              </w:rPr>
              <w:t>Raro</w:t>
            </w:r>
            <w:r w:rsidR="008A3E98" w:rsidRPr="00C9575C">
              <w:rPr>
                <w:szCs w:val="22"/>
                <w:lang w:val="it-IT"/>
              </w:rPr>
              <w:t>: angioedema</w:t>
            </w:r>
          </w:p>
        </w:tc>
      </w:tr>
      <w:tr w:rsidR="0084378B" w:rsidRPr="00C9575C" w14:paraId="70F4625C" w14:textId="77777777" w:rsidTr="000C3485">
        <w:trPr>
          <w:trHeight w:val="766"/>
        </w:trPr>
        <w:tc>
          <w:tcPr>
            <w:tcW w:w="2977" w:type="dxa"/>
          </w:tcPr>
          <w:p w14:paraId="2F7F62FF" w14:textId="3B34EE84" w:rsidR="0084378B" w:rsidRPr="00C9575C" w:rsidRDefault="0084378B" w:rsidP="00376939">
            <w:pPr>
              <w:widowControl w:val="0"/>
              <w:outlineLvl w:val="0"/>
              <w:rPr>
                <w:color w:val="000000"/>
                <w:szCs w:val="22"/>
                <w:lang w:val="it-IT"/>
              </w:rPr>
            </w:pPr>
            <w:r w:rsidRPr="00C9575C">
              <w:rPr>
                <w:szCs w:val="22"/>
                <w:lang w:val="it-IT"/>
              </w:rPr>
              <w:t>Patologie del sistema muscoloscheletrico e del tessuto connettivo</w:t>
            </w:r>
            <w:r w:rsidR="0092155C">
              <w:rPr>
                <w:szCs w:val="22"/>
                <w:lang w:val="it-IT"/>
              </w:rPr>
              <w:fldChar w:fldCharType="begin"/>
            </w:r>
            <w:r w:rsidR="0092155C">
              <w:rPr>
                <w:szCs w:val="22"/>
                <w:lang w:val="it-IT"/>
              </w:rPr>
              <w:instrText xml:space="preserve"> DOCVARIABLE vault_nd_82528adb-cd8a-4105-a9db-d13966231469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tc>
        <w:tc>
          <w:tcPr>
            <w:tcW w:w="2963" w:type="dxa"/>
          </w:tcPr>
          <w:p w14:paraId="4505999E" w14:textId="77777777" w:rsidR="0084378B" w:rsidRPr="00C9575C" w:rsidRDefault="0084378B" w:rsidP="00376939">
            <w:pPr>
              <w:widowControl w:val="0"/>
              <w:rPr>
                <w:color w:val="000000"/>
                <w:szCs w:val="22"/>
                <w:lang w:val="it-IT"/>
              </w:rPr>
            </w:pPr>
          </w:p>
        </w:tc>
        <w:tc>
          <w:tcPr>
            <w:tcW w:w="3095" w:type="dxa"/>
          </w:tcPr>
          <w:p w14:paraId="02E31918" w14:textId="27B17540" w:rsidR="0084378B" w:rsidRPr="00C9575C" w:rsidRDefault="0084378B" w:rsidP="00376939">
            <w:pPr>
              <w:widowControl w:val="0"/>
              <w:outlineLvl w:val="0"/>
              <w:rPr>
                <w:rStyle w:val="PageNumber"/>
                <w:szCs w:val="22"/>
                <w:lang w:val="it-IT"/>
              </w:rPr>
            </w:pPr>
            <w:r w:rsidRPr="00C9575C">
              <w:rPr>
                <w:i/>
                <w:szCs w:val="22"/>
                <w:lang w:val="it-IT"/>
              </w:rPr>
              <w:t xml:space="preserve">Comune: </w:t>
            </w:r>
            <w:r w:rsidRPr="00C9575C">
              <w:rPr>
                <w:szCs w:val="22"/>
                <w:lang w:val="it-IT"/>
              </w:rPr>
              <w:t>artralgia, disturbi muscolari</w:t>
            </w:r>
            <w:r w:rsidR="0092155C">
              <w:rPr>
                <w:szCs w:val="22"/>
                <w:lang w:val="it-IT"/>
              </w:rPr>
              <w:fldChar w:fldCharType="begin"/>
            </w:r>
            <w:r w:rsidR="0092155C">
              <w:rPr>
                <w:szCs w:val="22"/>
                <w:lang w:val="it-IT"/>
              </w:rPr>
              <w:instrText xml:space="preserve"> DOCVARIABLE vault_nd_512b35c9-ceee-408a-9fd6-09ae3fe20aa2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5D466743" w14:textId="77777777" w:rsidR="0084378B" w:rsidRPr="00C9575C" w:rsidRDefault="0084378B" w:rsidP="00376939">
            <w:pPr>
              <w:widowControl w:val="0"/>
              <w:rPr>
                <w:color w:val="000000"/>
                <w:szCs w:val="22"/>
                <w:lang w:val="it-IT"/>
              </w:rPr>
            </w:pPr>
            <w:r w:rsidRPr="00C9575C">
              <w:rPr>
                <w:i/>
                <w:szCs w:val="22"/>
                <w:lang w:val="it-IT"/>
              </w:rPr>
              <w:t>Raro:</w:t>
            </w:r>
            <w:r w:rsidRPr="00C9575C">
              <w:rPr>
                <w:szCs w:val="22"/>
                <w:lang w:val="it-IT"/>
              </w:rPr>
              <w:t xml:space="preserve"> rabdomiolisi</w:t>
            </w:r>
          </w:p>
        </w:tc>
      </w:tr>
      <w:tr w:rsidR="0084378B" w:rsidRPr="00C9575C" w14:paraId="6CED5F13" w14:textId="77777777" w:rsidTr="000C3485">
        <w:tc>
          <w:tcPr>
            <w:tcW w:w="2977" w:type="dxa"/>
          </w:tcPr>
          <w:p w14:paraId="6A6E5F47" w14:textId="77777777" w:rsidR="0084378B" w:rsidRPr="00C9575C" w:rsidRDefault="0084378B" w:rsidP="00376939">
            <w:pPr>
              <w:widowControl w:val="0"/>
              <w:tabs>
                <w:tab w:val="left" w:pos="567"/>
              </w:tabs>
              <w:rPr>
                <w:szCs w:val="22"/>
                <w:lang w:val="it-IT"/>
              </w:rPr>
            </w:pPr>
            <w:r w:rsidRPr="00C9575C">
              <w:rPr>
                <w:szCs w:val="22"/>
                <w:lang w:val="it-IT"/>
              </w:rPr>
              <w:t>Patologie sistemiche e condizioni relative alla sede di somministrazione</w:t>
            </w:r>
          </w:p>
        </w:tc>
        <w:tc>
          <w:tcPr>
            <w:tcW w:w="2963" w:type="dxa"/>
          </w:tcPr>
          <w:p w14:paraId="274A0A60" w14:textId="77777777" w:rsidR="0084378B" w:rsidRPr="00C9575C" w:rsidRDefault="0084378B" w:rsidP="00376939">
            <w:pPr>
              <w:widowControl w:val="0"/>
              <w:tabs>
                <w:tab w:val="left" w:pos="567"/>
              </w:tabs>
              <w:rPr>
                <w:szCs w:val="22"/>
                <w:lang w:val="it-IT"/>
              </w:rPr>
            </w:pPr>
            <w:r w:rsidRPr="00C9575C">
              <w:rPr>
                <w:i/>
                <w:szCs w:val="22"/>
                <w:lang w:val="it-IT"/>
              </w:rPr>
              <w:t>Comune:</w:t>
            </w:r>
            <w:r w:rsidRPr="00C9575C">
              <w:rPr>
                <w:szCs w:val="22"/>
                <w:lang w:val="it-IT"/>
              </w:rPr>
              <w:t xml:space="preserve"> febbre, stato di torpore, affaticamento</w:t>
            </w:r>
          </w:p>
          <w:p w14:paraId="5E7CC7B6" w14:textId="77777777" w:rsidR="0084378B" w:rsidRPr="00C9575C" w:rsidRDefault="0084378B" w:rsidP="00376939">
            <w:pPr>
              <w:widowControl w:val="0"/>
              <w:rPr>
                <w:color w:val="000000"/>
                <w:szCs w:val="22"/>
                <w:lang w:val="it-IT"/>
              </w:rPr>
            </w:pPr>
          </w:p>
        </w:tc>
        <w:tc>
          <w:tcPr>
            <w:tcW w:w="3095" w:type="dxa"/>
          </w:tcPr>
          <w:p w14:paraId="74066BDA" w14:textId="77777777" w:rsidR="0084378B" w:rsidRPr="00C9575C" w:rsidRDefault="0084378B" w:rsidP="00376939">
            <w:pPr>
              <w:widowControl w:val="0"/>
              <w:rPr>
                <w:rStyle w:val="PageNumber"/>
                <w:szCs w:val="22"/>
                <w:lang w:val="it-IT"/>
              </w:rPr>
            </w:pPr>
            <w:r w:rsidRPr="00C9575C">
              <w:rPr>
                <w:i/>
                <w:szCs w:val="22"/>
                <w:lang w:val="it-IT"/>
              </w:rPr>
              <w:t>Comune:</w:t>
            </w:r>
            <w:r w:rsidRPr="00C9575C">
              <w:rPr>
                <w:rStyle w:val="PageNumber"/>
                <w:szCs w:val="22"/>
                <w:lang w:val="it-IT"/>
              </w:rPr>
              <w:t xml:space="preserve"> affaticamento, malessere, febbre</w:t>
            </w:r>
          </w:p>
          <w:p w14:paraId="35648920" w14:textId="77777777" w:rsidR="0084378B" w:rsidRPr="00C9575C" w:rsidRDefault="0084378B" w:rsidP="00376939">
            <w:pPr>
              <w:widowControl w:val="0"/>
              <w:rPr>
                <w:color w:val="000000"/>
                <w:szCs w:val="22"/>
                <w:lang w:val="it-IT"/>
              </w:rPr>
            </w:pPr>
          </w:p>
        </w:tc>
      </w:tr>
    </w:tbl>
    <w:p w14:paraId="69653C8F" w14:textId="77777777" w:rsidR="0084378B" w:rsidRPr="00C9575C" w:rsidRDefault="0084378B" w:rsidP="003B3DDC">
      <w:pPr>
        <w:widowControl w:val="0"/>
        <w:tabs>
          <w:tab w:val="left" w:pos="567"/>
        </w:tabs>
        <w:rPr>
          <w:szCs w:val="22"/>
          <w:lang w:val="it-IT"/>
        </w:rPr>
      </w:pPr>
    </w:p>
    <w:p w14:paraId="6BD12013" w14:textId="77777777" w:rsidR="003054D5" w:rsidRPr="003E33FD" w:rsidRDefault="00BF44C0" w:rsidP="003B3DDC">
      <w:pPr>
        <w:suppressLineNumbers/>
        <w:autoSpaceDE w:val="0"/>
        <w:autoSpaceDN w:val="0"/>
        <w:adjustRightInd w:val="0"/>
        <w:jc w:val="both"/>
        <w:rPr>
          <w:szCs w:val="22"/>
          <w:u w:val="single"/>
          <w:lang w:val="it-IT"/>
        </w:rPr>
      </w:pPr>
      <w:r w:rsidRPr="003E33FD">
        <w:rPr>
          <w:szCs w:val="22"/>
          <w:u w:val="single"/>
          <w:lang w:val="it-IT"/>
        </w:rPr>
        <w:t>Descrizione delle reazioni avverse selezionate</w:t>
      </w:r>
    </w:p>
    <w:p w14:paraId="50C868D8" w14:textId="77777777" w:rsidR="003054D5" w:rsidRPr="00C9575C" w:rsidRDefault="003054D5" w:rsidP="003B3DDC">
      <w:pPr>
        <w:widowControl w:val="0"/>
        <w:tabs>
          <w:tab w:val="left" w:pos="567"/>
        </w:tabs>
        <w:rPr>
          <w:szCs w:val="22"/>
          <w:lang w:val="it-IT"/>
        </w:rPr>
      </w:pPr>
    </w:p>
    <w:p w14:paraId="336B0EB2" w14:textId="77777777" w:rsidR="00B90200" w:rsidRPr="003E33FD" w:rsidRDefault="00F75FE8" w:rsidP="003B3DDC">
      <w:pPr>
        <w:rPr>
          <w:i/>
          <w:snapToGrid w:val="0"/>
          <w:szCs w:val="22"/>
          <w:lang w:val="it-IT"/>
        </w:rPr>
      </w:pPr>
      <w:r w:rsidRPr="003E33FD">
        <w:rPr>
          <w:i/>
          <w:snapToGrid w:val="0"/>
          <w:szCs w:val="22"/>
          <w:lang w:val="it-IT"/>
        </w:rPr>
        <w:t>I</w:t>
      </w:r>
      <w:r w:rsidR="00B90200" w:rsidRPr="003E33FD">
        <w:rPr>
          <w:i/>
          <w:snapToGrid w:val="0"/>
          <w:szCs w:val="22"/>
          <w:lang w:val="it-IT"/>
        </w:rPr>
        <w:t>persensibilità ad abacavir</w:t>
      </w:r>
    </w:p>
    <w:p w14:paraId="2D1F8F8B" w14:textId="77777777" w:rsidR="00B90200" w:rsidRPr="00C9575C" w:rsidRDefault="00B90200" w:rsidP="003B3DDC">
      <w:pPr>
        <w:rPr>
          <w:snapToGrid w:val="0"/>
          <w:szCs w:val="22"/>
          <w:lang w:val="it-IT"/>
        </w:rPr>
      </w:pPr>
      <w:r w:rsidRPr="00C9575C">
        <w:rPr>
          <w:snapToGrid w:val="0"/>
          <w:szCs w:val="22"/>
          <w:lang w:val="it-IT"/>
        </w:rPr>
        <w:t xml:space="preserve">I segni e i sintomi di questa HSR sono elencati di seguito. Questi sono stati identificati sia dagli studi clinici sia dalla farmacovigilanza post-marketing. Quelli riportati </w:t>
      </w:r>
      <w:r w:rsidRPr="00C9575C">
        <w:rPr>
          <w:b/>
          <w:snapToGrid w:val="0"/>
          <w:szCs w:val="22"/>
          <w:lang w:val="it-IT"/>
        </w:rPr>
        <w:t>in almeno il 10%</w:t>
      </w:r>
      <w:r w:rsidRPr="00C9575C">
        <w:rPr>
          <w:snapToGrid w:val="0"/>
          <w:szCs w:val="22"/>
          <w:lang w:val="it-IT"/>
        </w:rPr>
        <w:t xml:space="preserve"> dei pazienti con una reazione di ipersensibilità sono evidenziati in grassetto.</w:t>
      </w:r>
    </w:p>
    <w:p w14:paraId="2ED288E9" w14:textId="77777777" w:rsidR="00B90200" w:rsidRPr="00C9575C" w:rsidRDefault="00B90200" w:rsidP="00B90200">
      <w:pPr>
        <w:rPr>
          <w:snapToGrid w:val="0"/>
          <w:szCs w:val="22"/>
          <w:lang w:val="it-IT"/>
        </w:rPr>
      </w:pPr>
    </w:p>
    <w:p w14:paraId="5DDB1C13" w14:textId="77777777" w:rsidR="00B90200" w:rsidRPr="00C9575C" w:rsidRDefault="00B90200" w:rsidP="00B90200">
      <w:pPr>
        <w:rPr>
          <w:snapToGrid w:val="0"/>
          <w:szCs w:val="22"/>
          <w:lang w:val="it-IT"/>
        </w:rPr>
      </w:pPr>
      <w:r w:rsidRPr="00C9575C">
        <w:rPr>
          <w:snapToGrid w:val="0"/>
          <w:szCs w:val="22"/>
          <w:lang w:val="it-IT"/>
        </w:rPr>
        <w:t xml:space="preserve">Quasi tutti i pazienti che sviluppano reazioni di ipersensibilità avranno febbre e/o rash </w:t>
      </w:r>
      <w:r w:rsidR="003111C6" w:rsidRPr="00C9575C">
        <w:rPr>
          <w:snapToGrid w:val="0"/>
          <w:szCs w:val="22"/>
          <w:lang w:val="it-IT"/>
        </w:rPr>
        <w:t>(generalmente maculopapulare o o</w:t>
      </w:r>
      <w:r w:rsidRPr="00C9575C">
        <w:rPr>
          <w:snapToGrid w:val="0"/>
          <w:szCs w:val="22"/>
          <w:lang w:val="it-IT"/>
        </w:rPr>
        <w:t>rticarioide) come parte della sindrome, tuttavia reazioni si sono manifestate senza rash o febbre. Altri sintomi principali includono sintomi gastrointestinali, respiratori o sistemici come stato di torpore e malessere.</w:t>
      </w:r>
    </w:p>
    <w:p w14:paraId="39D0DF0B" w14:textId="77777777" w:rsidR="00B90200" w:rsidRPr="00C9575C" w:rsidRDefault="00262865" w:rsidP="00262865">
      <w:pPr>
        <w:widowControl w:val="0"/>
        <w:tabs>
          <w:tab w:val="left" w:pos="567"/>
        </w:tabs>
        <w:rPr>
          <w:szCs w:val="22"/>
          <w:lang w:val="it-IT"/>
        </w:rPr>
      </w:pPr>
      <w:r w:rsidRPr="00C9575C">
        <w:rPr>
          <w:szCs w:val="22"/>
          <w:lang w:val="it-IT"/>
        </w:rPr>
        <w:br w:type="page"/>
      </w:r>
      <w:r w:rsidR="00B90200" w:rsidRPr="00C9575C">
        <w:rPr>
          <w:i/>
          <w:szCs w:val="22"/>
          <w:lang w:val="it-IT"/>
        </w:rPr>
        <w:lastRenderedPageBreak/>
        <w:t>Cute</w:t>
      </w:r>
      <w:r w:rsidR="00B90200" w:rsidRPr="00C9575C">
        <w:rPr>
          <w:szCs w:val="22"/>
          <w:lang w:val="it-IT"/>
        </w:rPr>
        <w:tab/>
      </w:r>
      <w:r w:rsidR="00B90200" w:rsidRPr="00C9575C">
        <w:rPr>
          <w:szCs w:val="22"/>
          <w:lang w:val="it-IT"/>
        </w:rPr>
        <w:tab/>
      </w:r>
      <w:r w:rsidR="00B90200" w:rsidRPr="00C9575C">
        <w:rPr>
          <w:szCs w:val="22"/>
          <w:lang w:val="it-IT"/>
        </w:rPr>
        <w:tab/>
      </w:r>
      <w:r w:rsidR="00B90200" w:rsidRPr="00C9575C">
        <w:rPr>
          <w:szCs w:val="22"/>
          <w:lang w:val="it-IT"/>
        </w:rPr>
        <w:tab/>
      </w:r>
      <w:r w:rsidR="00B90200" w:rsidRPr="00C9575C">
        <w:rPr>
          <w:szCs w:val="22"/>
          <w:lang w:val="it-IT"/>
        </w:rPr>
        <w:tab/>
      </w:r>
      <w:r w:rsidR="00B90200" w:rsidRPr="00C9575C">
        <w:rPr>
          <w:b/>
          <w:szCs w:val="22"/>
          <w:lang w:val="it-IT"/>
        </w:rPr>
        <w:t xml:space="preserve">Rash </w:t>
      </w:r>
      <w:r w:rsidR="00B90200" w:rsidRPr="00C9575C">
        <w:rPr>
          <w:szCs w:val="22"/>
          <w:lang w:val="it-IT"/>
        </w:rPr>
        <w:t xml:space="preserve">(generalmente maculopapulare o </w:t>
      </w:r>
      <w:r w:rsidR="003111C6" w:rsidRPr="00C9575C">
        <w:rPr>
          <w:szCs w:val="22"/>
          <w:lang w:val="it-IT"/>
        </w:rPr>
        <w:t>o</w:t>
      </w:r>
      <w:r w:rsidR="00B90200" w:rsidRPr="00C9575C">
        <w:rPr>
          <w:szCs w:val="22"/>
          <w:lang w:val="it-IT"/>
        </w:rPr>
        <w:t>rticarioide)</w:t>
      </w:r>
    </w:p>
    <w:p w14:paraId="1D09702E" w14:textId="77777777" w:rsidR="00B90200" w:rsidRPr="00C9575C" w:rsidRDefault="00B90200" w:rsidP="00B90200">
      <w:pPr>
        <w:rPr>
          <w:i/>
          <w:szCs w:val="22"/>
          <w:lang w:val="it-IT"/>
        </w:rPr>
      </w:pPr>
    </w:p>
    <w:p w14:paraId="0E215D9F" w14:textId="77777777" w:rsidR="00B90200" w:rsidRPr="00C9575C" w:rsidRDefault="00B90200" w:rsidP="00B90200">
      <w:pPr>
        <w:tabs>
          <w:tab w:val="left" w:pos="2835"/>
        </w:tabs>
        <w:ind w:left="2835" w:hanging="2835"/>
        <w:rPr>
          <w:szCs w:val="22"/>
          <w:lang w:val="it-IT"/>
        </w:rPr>
      </w:pPr>
      <w:r w:rsidRPr="00C9575C">
        <w:rPr>
          <w:i/>
          <w:szCs w:val="22"/>
          <w:lang w:val="it-IT"/>
        </w:rPr>
        <w:t>Tratto gastrointestinale</w:t>
      </w:r>
      <w:r w:rsidRPr="00C9575C">
        <w:rPr>
          <w:szCs w:val="22"/>
          <w:lang w:val="it-IT"/>
        </w:rPr>
        <w:tab/>
      </w:r>
      <w:r w:rsidRPr="00C9575C">
        <w:rPr>
          <w:szCs w:val="22"/>
          <w:lang w:val="it-IT"/>
        </w:rPr>
        <w:tab/>
      </w:r>
      <w:r w:rsidRPr="00C9575C">
        <w:rPr>
          <w:b/>
          <w:szCs w:val="22"/>
          <w:lang w:val="it-IT"/>
        </w:rPr>
        <w:t>Nausea, vomito, diarrea, dolore addominale,</w:t>
      </w:r>
      <w:r w:rsidRPr="00C9575C">
        <w:rPr>
          <w:szCs w:val="22"/>
          <w:lang w:val="it-IT"/>
        </w:rPr>
        <w:t xml:space="preserve"> ulcerazioni della bocca</w:t>
      </w:r>
    </w:p>
    <w:p w14:paraId="31114620" w14:textId="77777777" w:rsidR="00B90200" w:rsidRPr="00C9575C" w:rsidRDefault="00B90200" w:rsidP="00B90200">
      <w:pPr>
        <w:rPr>
          <w:szCs w:val="22"/>
          <w:lang w:val="it-IT"/>
        </w:rPr>
      </w:pPr>
    </w:p>
    <w:p w14:paraId="7EBBF74A" w14:textId="77777777" w:rsidR="00B90200" w:rsidRPr="00C9575C" w:rsidRDefault="00B90200" w:rsidP="00B90200">
      <w:pPr>
        <w:ind w:left="2835" w:hanging="2835"/>
        <w:rPr>
          <w:szCs w:val="22"/>
          <w:lang w:val="it-IT"/>
        </w:rPr>
      </w:pPr>
      <w:r w:rsidRPr="00C9575C">
        <w:rPr>
          <w:i/>
          <w:szCs w:val="22"/>
          <w:lang w:val="it-IT"/>
        </w:rPr>
        <w:t>Tratto respiratorio</w:t>
      </w:r>
      <w:r w:rsidRPr="00C9575C">
        <w:rPr>
          <w:szCs w:val="22"/>
          <w:lang w:val="it-IT"/>
        </w:rPr>
        <w:tab/>
      </w:r>
      <w:r w:rsidRPr="00C9575C">
        <w:rPr>
          <w:b/>
          <w:szCs w:val="22"/>
          <w:lang w:val="it-IT"/>
        </w:rPr>
        <w:t>Dispnea</w:t>
      </w:r>
      <w:r w:rsidRPr="00C9575C">
        <w:rPr>
          <w:szCs w:val="22"/>
          <w:lang w:val="it-IT"/>
        </w:rPr>
        <w:t xml:space="preserve">, </w:t>
      </w:r>
      <w:r w:rsidRPr="00C9575C">
        <w:rPr>
          <w:b/>
          <w:szCs w:val="22"/>
          <w:lang w:val="it-IT"/>
        </w:rPr>
        <w:t>tosse</w:t>
      </w:r>
      <w:r w:rsidRPr="00C9575C">
        <w:rPr>
          <w:szCs w:val="22"/>
          <w:lang w:val="it-IT"/>
        </w:rPr>
        <w:t>, mal di gola, sindrome da distress respiratorio nell’adulto, insufficienza respiratoria</w:t>
      </w:r>
    </w:p>
    <w:p w14:paraId="0C0ABE88" w14:textId="77777777" w:rsidR="00B90200" w:rsidRPr="00C9575C" w:rsidRDefault="00B90200" w:rsidP="00B90200">
      <w:pPr>
        <w:rPr>
          <w:szCs w:val="22"/>
          <w:lang w:val="it-IT"/>
        </w:rPr>
      </w:pPr>
    </w:p>
    <w:p w14:paraId="133C2992" w14:textId="77777777" w:rsidR="00B90200" w:rsidRPr="00C9575C" w:rsidRDefault="00B90200" w:rsidP="00B90200">
      <w:pPr>
        <w:ind w:left="2835" w:hanging="2835"/>
        <w:rPr>
          <w:szCs w:val="22"/>
          <w:lang w:val="it-IT"/>
        </w:rPr>
      </w:pPr>
      <w:r w:rsidRPr="00C9575C">
        <w:rPr>
          <w:i/>
          <w:szCs w:val="22"/>
          <w:lang w:val="it-IT"/>
        </w:rPr>
        <w:t>Varie</w:t>
      </w:r>
      <w:r w:rsidRPr="00C9575C">
        <w:rPr>
          <w:szCs w:val="22"/>
          <w:lang w:val="it-IT"/>
        </w:rPr>
        <w:tab/>
      </w:r>
      <w:r w:rsidRPr="00C9575C">
        <w:rPr>
          <w:szCs w:val="22"/>
          <w:lang w:val="it-IT"/>
        </w:rPr>
        <w:tab/>
      </w:r>
      <w:r w:rsidRPr="00C9575C">
        <w:rPr>
          <w:b/>
          <w:szCs w:val="22"/>
          <w:lang w:val="it-IT"/>
        </w:rPr>
        <w:t>Febbre, stato di torpore, malessere</w:t>
      </w:r>
      <w:r w:rsidRPr="00C9575C">
        <w:rPr>
          <w:szCs w:val="22"/>
          <w:lang w:val="it-IT"/>
        </w:rPr>
        <w:t>, edema, linfoadenopatia, ipotensione, congiuntivite, anafilassi</w:t>
      </w:r>
    </w:p>
    <w:p w14:paraId="0613886E" w14:textId="77777777" w:rsidR="00B90200" w:rsidRPr="00C9575C" w:rsidRDefault="00B90200" w:rsidP="00B90200">
      <w:pPr>
        <w:rPr>
          <w:i/>
          <w:szCs w:val="22"/>
          <w:lang w:val="it-IT"/>
        </w:rPr>
      </w:pPr>
    </w:p>
    <w:p w14:paraId="366594E4" w14:textId="77777777" w:rsidR="00B90200" w:rsidRPr="00C9575C" w:rsidRDefault="00B90200" w:rsidP="00B90200">
      <w:pPr>
        <w:rPr>
          <w:szCs w:val="22"/>
          <w:lang w:val="it-IT"/>
        </w:rPr>
      </w:pPr>
      <w:r w:rsidRPr="00C9575C">
        <w:rPr>
          <w:i/>
          <w:szCs w:val="22"/>
          <w:lang w:val="it-IT"/>
        </w:rPr>
        <w:t xml:space="preserve">Neurologia/psichiatria </w:t>
      </w:r>
      <w:r w:rsidRPr="00C9575C">
        <w:rPr>
          <w:i/>
          <w:szCs w:val="22"/>
          <w:lang w:val="it-IT"/>
        </w:rPr>
        <w:tab/>
      </w:r>
      <w:r w:rsidRPr="00C9575C">
        <w:rPr>
          <w:i/>
          <w:szCs w:val="22"/>
          <w:lang w:val="it-IT"/>
        </w:rPr>
        <w:tab/>
      </w:r>
      <w:r w:rsidRPr="00C9575C">
        <w:rPr>
          <w:b/>
          <w:szCs w:val="22"/>
          <w:lang w:val="it-IT"/>
        </w:rPr>
        <w:t xml:space="preserve">Cefalea, </w:t>
      </w:r>
      <w:r w:rsidRPr="00C9575C">
        <w:rPr>
          <w:szCs w:val="22"/>
          <w:lang w:val="it-IT"/>
        </w:rPr>
        <w:t>parestesia</w:t>
      </w:r>
    </w:p>
    <w:p w14:paraId="720DB9C1" w14:textId="77777777" w:rsidR="00B90200" w:rsidRPr="00C9575C" w:rsidRDefault="00B90200" w:rsidP="00B90200">
      <w:pPr>
        <w:rPr>
          <w:i/>
          <w:szCs w:val="22"/>
          <w:lang w:val="it-IT"/>
        </w:rPr>
      </w:pPr>
    </w:p>
    <w:p w14:paraId="139C1388" w14:textId="77777777" w:rsidR="00B90200" w:rsidRPr="00C9575C" w:rsidRDefault="00B90200" w:rsidP="00B90200">
      <w:pPr>
        <w:rPr>
          <w:snapToGrid w:val="0"/>
          <w:szCs w:val="22"/>
          <w:lang w:val="it-IT"/>
        </w:rPr>
      </w:pPr>
      <w:r w:rsidRPr="00C9575C">
        <w:rPr>
          <w:i/>
          <w:szCs w:val="22"/>
          <w:lang w:val="it-IT"/>
        </w:rPr>
        <w:t>Ematologia</w:t>
      </w:r>
      <w:r w:rsidRPr="00C9575C">
        <w:rPr>
          <w:szCs w:val="22"/>
          <w:lang w:val="it-IT"/>
        </w:rPr>
        <w:tab/>
      </w:r>
      <w:r w:rsidRPr="00C9575C">
        <w:rPr>
          <w:szCs w:val="22"/>
          <w:lang w:val="it-IT"/>
        </w:rPr>
        <w:tab/>
      </w:r>
      <w:r w:rsidRPr="00C9575C">
        <w:rPr>
          <w:szCs w:val="22"/>
          <w:lang w:val="it-IT"/>
        </w:rPr>
        <w:tab/>
      </w:r>
      <w:r w:rsidRPr="00C9575C">
        <w:rPr>
          <w:szCs w:val="22"/>
          <w:lang w:val="it-IT"/>
        </w:rPr>
        <w:tab/>
        <w:t>Linfopeni</w:t>
      </w:r>
      <w:r w:rsidRPr="00C9575C">
        <w:rPr>
          <w:snapToGrid w:val="0"/>
          <w:szCs w:val="22"/>
          <w:lang w:val="it-IT"/>
        </w:rPr>
        <w:t>a</w:t>
      </w:r>
    </w:p>
    <w:p w14:paraId="65A609F7" w14:textId="77777777" w:rsidR="00B90200" w:rsidRPr="00C9575C" w:rsidRDefault="00B90200" w:rsidP="00B90200">
      <w:pPr>
        <w:rPr>
          <w:snapToGrid w:val="0"/>
          <w:szCs w:val="22"/>
          <w:lang w:val="it-IT"/>
        </w:rPr>
      </w:pPr>
    </w:p>
    <w:p w14:paraId="2DD94676" w14:textId="77777777" w:rsidR="00B90200" w:rsidRPr="00C9575C" w:rsidRDefault="00B90200" w:rsidP="00B90200">
      <w:pPr>
        <w:ind w:left="2835" w:hanging="2835"/>
        <w:rPr>
          <w:szCs w:val="22"/>
          <w:lang w:val="it-IT"/>
        </w:rPr>
      </w:pPr>
      <w:r w:rsidRPr="00C9575C">
        <w:rPr>
          <w:i/>
          <w:szCs w:val="22"/>
          <w:lang w:val="it-IT"/>
        </w:rPr>
        <w:t>Fegato/pancreas</w:t>
      </w:r>
      <w:r w:rsidRPr="00C9575C">
        <w:rPr>
          <w:szCs w:val="22"/>
          <w:lang w:val="it-IT"/>
        </w:rPr>
        <w:tab/>
      </w:r>
      <w:r w:rsidRPr="00C9575C">
        <w:rPr>
          <w:szCs w:val="22"/>
          <w:lang w:val="it-IT"/>
        </w:rPr>
        <w:tab/>
      </w:r>
      <w:r w:rsidRPr="00C9575C">
        <w:rPr>
          <w:b/>
          <w:szCs w:val="22"/>
          <w:lang w:val="it-IT"/>
        </w:rPr>
        <w:t>Alterazione dei test di funzionalità epatica</w:t>
      </w:r>
      <w:r w:rsidRPr="00C9575C">
        <w:rPr>
          <w:szCs w:val="22"/>
          <w:lang w:val="it-IT"/>
        </w:rPr>
        <w:t>,</w:t>
      </w:r>
      <w:r w:rsidRPr="00C9575C">
        <w:rPr>
          <w:b/>
          <w:szCs w:val="22"/>
          <w:lang w:val="it-IT"/>
        </w:rPr>
        <w:t xml:space="preserve"> </w:t>
      </w:r>
      <w:r w:rsidRPr="00C9575C">
        <w:rPr>
          <w:szCs w:val="22"/>
          <w:lang w:val="it-IT"/>
        </w:rPr>
        <w:t>epatite,</w:t>
      </w:r>
      <w:r w:rsidRPr="00C9575C">
        <w:rPr>
          <w:b/>
          <w:szCs w:val="22"/>
          <w:lang w:val="it-IT"/>
        </w:rPr>
        <w:t xml:space="preserve"> </w:t>
      </w:r>
      <w:r w:rsidRPr="00C9575C">
        <w:rPr>
          <w:szCs w:val="22"/>
          <w:lang w:val="it-IT"/>
        </w:rPr>
        <w:t>insufficienza epatica</w:t>
      </w:r>
    </w:p>
    <w:p w14:paraId="0370EEC5" w14:textId="77777777" w:rsidR="00B90200" w:rsidRPr="00C9575C" w:rsidRDefault="00B90200" w:rsidP="00B90200">
      <w:pPr>
        <w:rPr>
          <w:szCs w:val="22"/>
          <w:lang w:val="it-IT"/>
        </w:rPr>
      </w:pPr>
    </w:p>
    <w:p w14:paraId="1E849D23" w14:textId="77777777" w:rsidR="00B90200" w:rsidRPr="00C9575C" w:rsidRDefault="00B90200" w:rsidP="00B90200">
      <w:pPr>
        <w:rPr>
          <w:szCs w:val="22"/>
          <w:lang w:val="it-IT"/>
        </w:rPr>
      </w:pPr>
      <w:r w:rsidRPr="00C9575C">
        <w:rPr>
          <w:i/>
          <w:szCs w:val="22"/>
          <w:lang w:val="it-IT"/>
        </w:rPr>
        <w:t>Apparato muscoloscheletrico</w:t>
      </w:r>
      <w:r w:rsidRPr="00C9575C">
        <w:rPr>
          <w:szCs w:val="22"/>
          <w:lang w:val="it-IT"/>
        </w:rPr>
        <w:t xml:space="preserve"> </w:t>
      </w:r>
      <w:r w:rsidRPr="00C9575C">
        <w:rPr>
          <w:szCs w:val="22"/>
          <w:lang w:val="it-IT"/>
        </w:rPr>
        <w:tab/>
      </w:r>
      <w:r w:rsidRPr="00C9575C">
        <w:rPr>
          <w:b/>
          <w:szCs w:val="22"/>
          <w:lang w:val="it-IT"/>
        </w:rPr>
        <w:t>Mialgia,</w:t>
      </w:r>
      <w:r w:rsidRPr="00C9575C">
        <w:rPr>
          <w:szCs w:val="22"/>
          <w:lang w:val="it-IT"/>
        </w:rPr>
        <w:t xml:space="preserve"> raramente miolisi, artralgia, creatina fosfochinasi elevata</w:t>
      </w:r>
    </w:p>
    <w:p w14:paraId="608D0993" w14:textId="77777777" w:rsidR="00B90200" w:rsidRPr="00C9575C" w:rsidRDefault="00B90200" w:rsidP="00B90200">
      <w:pPr>
        <w:rPr>
          <w:szCs w:val="22"/>
          <w:lang w:val="it-IT"/>
        </w:rPr>
      </w:pPr>
    </w:p>
    <w:p w14:paraId="1DB53FA5" w14:textId="77777777" w:rsidR="00B90200" w:rsidRPr="00C9575C" w:rsidRDefault="00B90200" w:rsidP="00B90200">
      <w:pPr>
        <w:rPr>
          <w:snapToGrid w:val="0"/>
          <w:szCs w:val="22"/>
          <w:lang w:val="it-IT"/>
        </w:rPr>
      </w:pPr>
      <w:r w:rsidRPr="00C9575C">
        <w:rPr>
          <w:i/>
          <w:szCs w:val="22"/>
          <w:lang w:val="it-IT"/>
        </w:rPr>
        <w:t xml:space="preserve">Urologia </w:t>
      </w:r>
      <w:r w:rsidRPr="00C9575C">
        <w:rPr>
          <w:i/>
          <w:szCs w:val="22"/>
          <w:lang w:val="it-IT"/>
        </w:rPr>
        <w:tab/>
      </w:r>
      <w:r w:rsidRPr="00C9575C">
        <w:rPr>
          <w:i/>
          <w:szCs w:val="22"/>
          <w:lang w:val="it-IT"/>
        </w:rPr>
        <w:tab/>
      </w:r>
      <w:r w:rsidRPr="00C9575C">
        <w:rPr>
          <w:i/>
          <w:szCs w:val="22"/>
          <w:lang w:val="it-IT"/>
        </w:rPr>
        <w:tab/>
      </w:r>
      <w:r w:rsidRPr="00C9575C">
        <w:rPr>
          <w:i/>
          <w:szCs w:val="22"/>
          <w:lang w:val="it-IT"/>
        </w:rPr>
        <w:tab/>
      </w:r>
      <w:r w:rsidRPr="00C9575C">
        <w:rPr>
          <w:szCs w:val="22"/>
          <w:lang w:val="it-IT"/>
        </w:rPr>
        <w:t>Creatinina elevata, insufficienza renale</w:t>
      </w:r>
    </w:p>
    <w:p w14:paraId="4D575E5A" w14:textId="77777777" w:rsidR="00B90200" w:rsidRPr="00C9575C" w:rsidRDefault="00B90200" w:rsidP="00B90200">
      <w:pPr>
        <w:rPr>
          <w:snapToGrid w:val="0"/>
          <w:szCs w:val="22"/>
          <w:lang w:val="it-IT"/>
        </w:rPr>
      </w:pPr>
    </w:p>
    <w:p w14:paraId="2BCB927D" w14:textId="77777777" w:rsidR="00B90200" w:rsidRPr="00C9575C" w:rsidRDefault="00B90200" w:rsidP="00B90200">
      <w:pPr>
        <w:rPr>
          <w:snapToGrid w:val="0"/>
          <w:szCs w:val="22"/>
          <w:lang w:val="it-IT"/>
        </w:rPr>
      </w:pPr>
      <w:r w:rsidRPr="00C9575C">
        <w:rPr>
          <w:snapToGrid w:val="0"/>
          <w:szCs w:val="22"/>
          <w:lang w:val="it-IT"/>
        </w:rPr>
        <w:t xml:space="preserve">I sintomi correlati a questa HSR peggiorano con il </w:t>
      </w:r>
      <w:r w:rsidR="006927F1" w:rsidRPr="00C9575C">
        <w:rPr>
          <w:snapToGrid w:val="0"/>
          <w:szCs w:val="22"/>
          <w:lang w:val="it-IT"/>
        </w:rPr>
        <w:t>proseguimento</w:t>
      </w:r>
      <w:r w:rsidRPr="00C9575C">
        <w:rPr>
          <w:snapToGrid w:val="0"/>
          <w:szCs w:val="22"/>
          <w:lang w:val="it-IT"/>
        </w:rPr>
        <w:t xml:space="preserve"> della terapia e possono essere pericolosi per la vita e in rari casi sono stati ad esito fatale. </w:t>
      </w:r>
    </w:p>
    <w:p w14:paraId="3BBF9F8D" w14:textId="77777777" w:rsidR="00B90200" w:rsidRPr="00C9575C" w:rsidRDefault="00B90200" w:rsidP="00B90200">
      <w:pPr>
        <w:rPr>
          <w:snapToGrid w:val="0"/>
          <w:szCs w:val="22"/>
          <w:lang w:val="it-IT"/>
        </w:rPr>
      </w:pPr>
    </w:p>
    <w:p w14:paraId="4158AB68" w14:textId="77777777" w:rsidR="00B90200" w:rsidRPr="00C9575C" w:rsidRDefault="00B90200" w:rsidP="00B90200">
      <w:pPr>
        <w:rPr>
          <w:snapToGrid w:val="0"/>
          <w:szCs w:val="22"/>
          <w:lang w:val="it-IT"/>
        </w:rPr>
      </w:pPr>
      <w:r w:rsidRPr="00C9575C">
        <w:rPr>
          <w:snapToGrid w:val="0"/>
          <w:szCs w:val="22"/>
          <w:lang w:val="it-IT"/>
        </w:rPr>
        <w:t>La riassunzione di abacavir dopo una HSR ad abacavir provoca un’immediata ricomparsa dei sintomi entro poche ore. Tale ripresentazione dell’HSR è generalmente più grave della forma verificatasi all’inizio e può comprendere sia ipotensione pericolosa per la vita e morte. Reazioni simili si sono verificate raramente dopo la riassunzione di abacavir nei pazienti che avevano manifestato solo uno dei sintomi principali dell'ipersensibilità (vedere sopra) prima di interrompere abacavir; in rarissimi casi, sono state anche riferite reazioni di ipersensibilità in pazienti che avevano ripreso la terapia e che non avevano manifestato in precedenza sintomi di HSR (ossia, pazienti precedentemente considerati essere tolleranti ad abacavir).</w:t>
      </w:r>
    </w:p>
    <w:p w14:paraId="01B47DB1" w14:textId="77777777" w:rsidR="00B90200" w:rsidRPr="00C9575C" w:rsidRDefault="00B90200" w:rsidP="00B90200">
      <w:pPr>
        <w:tabs>
          <w:tab w:val="left" w:pos="567"/>
        </w:tabs>
        <w:rPr>
          <w:i/>
          <w:lang w:val="it-IT"/>
        </w:rPr>
      </w:pPr>
    </w:p>
    <w:p w14:paraId="044698AA" w14:textId="77777777" w:rsidR="00793BBF" w:rsidRPr="00C9575C" w:rsidRDefault="005F78A7">
      <w:pPr>
        <w:widowControl w:val="0"/>
        <w:rPr>
          <w:i/>
          <w:szCs w:val="22"/>
          <w:lang w:val="it-IT"/>
        </w:rPr>
      </w:pPr>
      <w:r w:rsidRPr="00C9575C">
        <w:rPr>
          <w:i/>
          <w:szCs w:val="22"/>
          <w:lang w:val="it-IT"/>
        </w:rPr>
        <w:t>Parametri metabolici</w:t>
      </w:r>
    </w:p>
    <w:p w14:paraId="235B6F6E" w14:textId="77777777" w:rsidR="00793BBF" w:rsidRPr="00C9575C" w:rsidRDefault="00793BBF" w:rsidP="00793BBF">
      <w:pPr>
        <w:rPr>
          <w:lang w:val="it-IT"/>
        </w:rPr>
      </w:pPr>
      <w:r w:rsidRPr="00C9575C">
        <w:rPr>
          <w:lang w:val="it-IT"/>
        </w:rPr>
        <w:t xml:space="preserve">Durante la terapia antiretrovirale il peso e i livelli ematici dei lipidi e del glucosio possono aumentare (vedere paragrafo 4.4). </w:t>
      </w:r>
    </w:p>
    <w:p w14:paraId="05CE85E1" w14:textId="77777777" w:rsidR="00793BBF" w:rsidRPr="00C9575C" w:rsidRDefault="00793BBF">
      <w:pPr>
        <w:widowControl w:val="0"/>
        <w:rPr>
          <w:szCs w:val="22"/>
          <w:lang w:val="it-IT"/>
        </w:rPr>
      </w:pPr>
    </w:p>
    <w:p w14:paraId="5EF2B26F" w14:textId="77777777" w:rsidR="00B90200" w:rsidRPr="00C9575C" w:rsidRDefault="00B90200" w:rsidP="00B90200">
      <w:pPr>
        <w:tabs>
          <w:tab w:val="left" w:pos="567"/>
        </w:tabs>
        <w:rPr>
          <w:i/>
          <w:color w:val="000000"/>
          <w:lang w:val="it-IT"/>
        </w:rPr>
      </w:pPr>
      <w:r w:rsidRPr="00C9575C">
        <w:rPr>
          <w:i/>
          <w:color w:val="000000"/>
          <w:lang w:val="it-IT"/>
        </w:rPr>
        <w:t>Sindrome da riattivazione immunitaria</w:t>
      </w:r>
    </w:p>
    <w:p w14:paraId="1FB43C88" w14:textId="5A69FA2E" w:rsidR="00560B23" w:rsidRPr="00C9575C" w:rsidRDefault="0084378B" w:rsidP="00462A49">
      <w:pPr>
        <w:widowControl w:val="0"/>
        <w:ind w:right="-142"/>
        <w:rPr>
          <w:color w:val="000000"/>
          <w:szCs w:val="22"/>
          <w:lang w:val="it-IT"/>
        </w:rPr>
      </w:pPr>
      <w:r w:rsidRPr="00C9575C">
        <w:rPr>
          <w:szCs w:val="22"/>
          <w:lang w:val="it-IT"/>
        </w:rPr>
        <w:t xml:space="preserve">In pazienti affetti da HIV con deficienza immunitaria </w:t>
      </w:r>
      <w:r w:rsidR="004F4C0A" w:rsidRPr="00C9575C">
        <w:rPr>
          <w:szCs w:val="22"/>
          <w:lang w:val="it-IT"/>
        </w:rPr>
        <w:t xml:space="preserve">severa </w:t>
      </w:r>
      <w:r w:rsidR="00533BB7" w:rsidRPr="00C9575C">
        <w:rPr>
          <w:szCs w:val="22"/>
          <w:lang w:val="it-IT"/>
        </w:rPr>
        <w:t>al</w:t>
      </w:r>
      <w:r w:rsidRPr="00C9575C">
        <w:rPr>
          <w:szCs w:val="22"/>
          <w:lang w:val="it-IT"/>
        </w:rPr>
        <w:t xml:space="preserve">l’inizio della terapia antiretrovirale di combinazione, può insorgere una reazione infiammatoria a infezioni opportunistiche asintomatiche o </w:t>
      </w:r>
      <w:r w:rsidR="00225D05" w:rsidRPr="00C9575C">
        <w:rPr>
          <w:szCs w:val="22"/>
          <w:lang w:val="it-IT"/>
        </w:rPr>
        <w:t>residuali</w:t>
      </w:r>
      <w:r w:rsidRPr="00C9575C">
        <w:rPr>
          <w:szCs w:val="22"/>
          <w:lang w:val="it-IT"/>
        </w:rPr>
        <w:t>.</w:t>
      </w:r>
      <w:r w:rsidR="00C47102" w:rsidRPr="00C9575C">
        <w:rPr>
          <w:szCs w:val="22"/>
          <w:lang w:val="it-IT"/>
        </w:rPr>
        <w:t xml:space="preserve"> Sono stati </w:t>
      </w:r>
      <w:r w:rsidR="00C75207" w:rsidRPr="00C9575C">
        <w:rPr>
          <w:szCs w:val="22"/>
          <w:lang w:val="it-IT"/>
        </w:rPr>
        <w:t>anche segnalati</w:t>
      </w:r>
      <w:r w:rsidR="00C47102" w:rsidRPr="00C9575C">
        <w:rPr>
          <w:szCs w:val="22"/>
          <w:lang w:val="it-IT"/>
        </w:rPr>
        <w:t xml:space="preserve"> disturbi autoimmuni (come il morbo di Graves</w:t>
      </w:r>
      <w:r w:rsidR="00D91179" w:rsidRPr="00C9575C">
        <w:rPr>
          <w:szCs w:val="22"/>
          <w:lang w:val="it-IT"/>
        </w:rPr>
        <w:t xml:space="preserve"> e l’epatite autoimmune</w:t>
      </w:r>
      <w:r w:rsidR="00C47102" w:rsidRPr="00C9575C">
        <w:rPr>
          <w:szCs w:val="22"/>
          <w:lang w:val="it-IT"/>
        </w:rPr>
        <w:t>)</w:t>
      </w:r>
      <w:r w:rsidR="00C75207" w:rsidRPr="00C9575C">
        <w:rPr>
          <w:szCs w:val="22"/>
          <w:lang w:val="it-IT"/>
        </w:rPr>
        <w:t xml:space="preserve"> in un contesto di riattivazione immunitaria</w:t>
      </w:r>
      <w:r w:rsidR="00C47102" w:rsidRPr="00C9575C">
        <w:rPr>
          <w:szCs w:val="22"/>
          <w:lang w:val="it-IT"/>
        </w:rPr>
        <w:t>; tuttavia</w:t>
      </w:r>
      <w:r w:rsidR="00DA2719">
        <w:rPr>
          <w:szCs w:val="22"/>
          <w:lang w:val="it-IT"/>
        </w:rPr>
        <w:t>,</w:t>
      </w:r>
      <w:r w:rsidR="00C47102" w:rsidRPr="00C9575C">
        <w:rPr>
          <w:szCs w:val="22"/>
          <w:lang w:val="it-IT"/>
        </w:rPr>
        <w:t xml:space="preserve"> il tempo di insorgenza segnalato è più variabile e questi eventi possono verificarsi molti mesi dopo l’inizio del trattamento</w:t>
      </w:r>
      <w:r w:rsidR="00560B23" w:rsidRPr="00C9575C">
        <w:rPr>
          <w:szCs w:val="22"/>
          <w:lang w:val="it-IT"/>
        </w:rPr>
        <w:t xml:space="preserve"> (vedere paragrafo</w:t>
      </w:r>
      <w:r w:rsidR="003E33FD">
        <w:rPr>
          <w:szCs w:val="22"/>
          <w:lang w:val="it-IT"/>
        </w:rPr>
        <w:t> </w:t>
      </w:r>
      <w:r w:rsidR="00560B23" w:rsidRPr="00C9575C">
        <w:rPr>
          <w:szCs w:val="22"/>
          <w:lang w:val="it-IT"/>
        </w:rPr>
        <w:t>4.4).</w:t>
      </w:r>
    </w:p>
    <w:p w14:paraId="6082F449" w14:textId="77777777" w:rsidR="00B90200" w:rsidRPr="00C9575C" w:rsidRDefault="00B90200">
      <w:pPr>
        <w:widowControl w:val="0"/>
        <w:rPr>
          <w:i/>
          <w:color w:val="000000"/>
          <w:lang w:val="it-IT"/>
        </w:rPr>
      </w:pPr>
    </w:p>
    <w:p w14:paraId="1AE28E48" w14:textId="77777777" w:rsidR="00966495" w:rsidRPr="00C9575C" w:rsidRDefault="00B90200">
      <w:pPr>
        <w:widowControl w:val="0"/>
        <w:rPr>
          <w:szCs w:val="22"/>
          <w:lang w:val="it-IT"/>
        </w:rPr>
      </w:pPr>
      <w:r w:rsidRPr="00C9575C">
        <w:rPr>
          <w:i/>
          <w:color w:val="000000"/>
          <w:lang w:val="it-IT"/>
        </w:rPr>
        <w:t>Osteonecrosi</w:t>
      </w:r>
    </w:p>
    <w:p w14:paraId="00791A01" w14:textId="77777777" w:rsidR="0084378B" w:rsidRPr="00C9575C" w:rsidRDefault="0084378B">
      <w:pPr>
        <w:widowControl w:val="0"/>
        <w:rPr>
          <w:szCs w:val="22"/>
          <w:lang w:val="it-IT"/>
        </w:rPr>
      </w:pPr>
      <w:r w:rsidRPr="00C9575C">
        <w:rPr>
          <w:szCs w:val="22"/>
          <w:lang w:val="it-IT"/>
        </w:rPr>
        <w:t>Casi di osteonecrosi sono stati riportati soprattutto in pazienti con fattori di rischio generalmente noti, con malattia da HIV in stadio avanzato e/o esposti per lungo tempo alla CART. La frequenza di tali casi è sconosciuta (vedere paragrafo 4.4).</w:t>
      </w:r>
    </w:p>
    <w:p w14:paraId="40E75488" w14:textId="77777777" w:rsidR="009E7D99" w:rsidRPr="00C03451" w:rsidRDefault="009E7D99" w:rsidP="00262865">
      <w:pPr>
        <w:rPr>
          <w:szCs w:val="22"/>
          <w:lang w:val="it-IT"/>
        </w:rPr>
      </w:pPr>
    </w:p>
    <w:p w14:paraId="05A2B9C8" w14:textId="77777777" w:rsidR="00167071" w:rsidRPr="00C03451" w:rsidRDefault="006074EC" w:rsidP="00262865">
      <w:pPr>
        <w:rPr>
          <w:i/>
          <w:szCs w:val="22"/>
          <w:lang w:val="it-IT"/>
        </w:rPr>
      </w:pPr>
      <w:r w:rsidRPr="00C03451">
        <w:rPr>
          <w:i/>
          <w:szCs w:val="22"/>
          <w:lang w:val="it-IT"/>
        </w:rPr>
        <w:t>Popolazione pediatrica</w:t>
      </w:r>
    </w:p>
    <w:p w14:paraId="4EBDDA76" w14:textId="3280FE67" w:rsidR="0067380E" w:rsidRPr="00C9575C" w:rsidRDefault="002A33E1" w:rsidP="00262865">
      <w:pPr>
        <w:pStyle w:val="NoNumHead3"/>
        <w:keepNext w:val="0"/>
      </w:pPr>
      <w:r w:rsidRPr="00C9575C">
        <w:t xml:space="preserve">Il </w:t>
      </w:r>
      <w:r w:rsidR="006074EC" w:rsidRPr="00C9575C">
        <w:t>database</w:t>
      </w:r>
      <w:r w:rsidR="0067380E" w:rsidRPr="00C9575C">
        <w:t xml:space="preserve"> di sicurezza per supportare il dosaggio una volta al giorno nei pazienti pediatrici deriva dallo studio clinic</w:t>
      </w:r>
      <w:r w:rsidR="008E3EF2" w:rsidRPr="00C9575C">
        <w:t>o</w:t>
      </w:r>
      <w:r w:rsidR="0067380E" w:rsidRPr="00C9575C">
        <w:t xml:space="preserve"> </w:t>
      </w:r>
      <w:r w:rsidR="006074EC" w:rsidRPr="00C9575C">
        <w:t xml:space="preserve">ARROW (COL105677) </w:t>
      </w:r>
      <w:r w:rsidR="0067380E" w:rsidRPr="00C9575C">
        <w:t xml:space="preserve">nel quale </w:t>
      </w:r>
      <w:r w:rsidR="006074EC" w:rsidRPr="00C9575C">
        <w:t>669</w:t>
      </w:r>
      <w:r w:rsidR="00462A49">
        <w:t> </w:t>
      </w:r>
      <w:r w:rsidR="0067380E" w:rsidRPr="00C9575C">
        <w:t xml:space="preserve">soggetti pediatrici con infezione da </w:t>
      </w:r>
      <w:r w:rsidR="006074EC" w:rsidRPr="00C9575C">
        <w:t xml:space="preserve">HIV-1 </w:t>
      </w:r>
      <w:r w:rsidR="0067380E" w:rsidRPr="00C9575C">
        <w:t>(</w:t>
      </w:r>
      <w:r w:rsidR="00287D21" w:rsidRPr="00C9575C">
        <w:t>da</w:t>
      </w:r>
      <w:r w:rsidR="0067380E" w:rsidRPr="00C9575C">
        <w:t xml:space="preserve"> </w:t>
      </w:r>
      <w:r w:rsidR="006074EC" w:rsidRPr="00C9575C">
        <w:t>12</w:t>
      </w:r>
      <w:r w:rsidR="00012CF5" w:rsidRPr="00C9575C">
        <w:t> </w:t>
      </w:r>
      <w:r w:rsidR="0067380E" w:rsidRPr="00C9575C">
        <w:t xml:space="preserve">mesi a </w:t>
      </w:r>
      <w:r w:rsidR="006074EC" w:rsidRPr="00C9575C">
        <w:t>≤</w:t>
      </w:r>
      <w:r w:rsidR="00462A49">
        <w:t> </w:t>
      </w:r>
      <w:r w:rsidR="006074EC" w:rsidRPr="00C9575C">
        <w:t>17</w:t>
      </w:r>
      <w:r w:rsidR="00462A49">
        <w:t> </w:t>
      </w:r>
      <w:r w:rsidR="0067380E" w:rsidRPr="00C9575C">
        <w:t>anni</w:t>
      </w:r>
      <w:r w:rsidR="00287D21" w:rsidRPr="00C9575C">
        <w:t xml:space="preserve"> di età</w:t>
      </w:r>
      <w:r w:rsidR="0067380E" w:rsidRPr="00C9575C">
        <w:t>) sono stati trattati con abacavir e lamivudina una o due volte al giorno (vedere paragrafo 5.1).</w:t>
      </w:r>
      <w:r w:rsidR="006074EC" w:rsidRPr="00C9575C">
        <w:t xml:space="preserve"> </w:t>
      </w:r>
      <w:r w:rsidR="0067380E" w:rsidRPr="00C9575C">
        <w:t>All’interno di questa popolazione</w:t>
      </w:r>
      <w:r w:rsidR="006074EC" w:rsidRPr="00C9575C">
        <w:t>, 104</w:t>
      </w:r>
      <w:r w:rsidR="00462A49">
        <w:t> </w:t>
      </w:r>
      <w:r w:rsidR="0067380E" w:rsidRPr="00C9575C">
        <w:t>soggetti pediatrici con infezione da HIV-1</w:t>
      </w:r>
      <w:r w:rsidR="008E3EF2" w:rsidRPr="00C9575C">
        <w:t>,</w:t>
      </w:r>
      <w:r w:rsidR="006074EC" w:rsidRPr="00C9575C">
        <w:t xml:space="preserve"> </w:t>
      </w:r>
      <w:r w:rsidR="0067380E" w:rsidRPr="00C9575C">
        <w:t>di peso corporeo di almeno 25 kg</w:t>
      </w:r>
      <w:r w:rsidR="008E3EF2" w:rsidRPr="00C9575C">
        <w:t xml:space="preserve">, </w:t>
      </w:r>
      <w:r w:rsidR="0067380E" w:rsidRPr="00C9575C">
        <w:t xml:space="preserve">sono stati trattati con </w:t>
      </w:r>
      <w:r w:rsidR="006074EC" w:rsidRPr="00C9575C">
        <w:t xml:space="preserve">abacavir </w:t>
      </w:r>
      <w:r w:rsidR="0067380E" w:rsidRPr="00C9575C">
        <w:t>e</w:t>
      </w:r>
      <w:r w:rsidR="006074EC" w:rsidRPr="00C9575C">
        <w:t xml:space="preserve"> lamivudin</w:t>
      </w:r>
      <w:r w:rsidR="008E3EF2" w:rsidRPr="00C9575C">
        <w:t>a c</w:t>
      </w:r>
      <w:r w:rsidR="0067380E" w:rsidRPr="00C9575C">
        <w:t>ome</w:t>
      </w:r>
      <w:r w:rsidR="006074EC" w:rsidRPr="00C9575C">
        <w:t xml:space="preserve"> Kivexa </w:t>
      </w:r>
      <w:r w:rsidR="0067380E" w:rsidRPr="00C9575C">
        <w:t>una volta al giorno</w:t>
      </w:r>
      <w:r w:rsidR="006074EC" w:rsidRPr="00C9575C">
        <w:t xml:space="preserve">. </w:t>
      </w:r>
      <w:r w:rsidR="0067380E" w:rsidRPr="00C9575C">
        <w:t xml:space="preserve">Rispetto agli adulti, nei soggetti pediatrici, sia che ricevessero il dosaggio di una volta al giorno </w:t>
      </w:r>
      <w:r w:rsidRPr="00C9575C">
        <w:t xml:space="preserve">sia </w:t>
      </w:r>
      <w:r w:rsidR="0067380E" w:rsidRPr="00C9575C">
        <w:t xml:space="preserve">di due volte al giorno, non è stato identificato </w:t>
      </w:r>
      <w:r w:rsidR="008E3EF2" w:rsidRPr="00C9575C">
        <w:t xml:space="preserve">alcun </w:t>
      </w:r>
      <w:r w:rsidR="0067380E" w:rsidRPr="00C9575C">
        <w:t>problema di sicurezza aggiuntivo.</w:t>
      </w:r>
      <w:fldSimple w:instr=" DOCVARIABLE vault_nd_82a7f73e-ee91-4efa-80e2-447f4e45a0cf \* MERGEFORMAT ">
        <w:r w:rsidR="0092155C">
          <w:t xml:space="preserve"> </w:t>
        </w:r>
      </w:fldSimple>
    </w:p>
    <w:p w14:paraId="6472D288" w14:textId="77777777" w:rsidR="00167071" w:rsidRPr="00C9575C" w:rsidRDefault="00167071" w:rsidP="00167071">
      <w:pPr>
        <w:rPr>
          <w:szCs w:val="22"/>
          <w:u w:val="single"/>
          <w:lang w:val="it-IT"/>
        </w:rPr>
      </w:pPr>
      <w:r w:rsidRPr="00C03451">
        <w:rPr>
          <w:szCs w:val="22"/>
          <w:u w:val="single"/>
          <w:lang w:val="it-IT"/>
        </w:rPr>
        <w:lastRenderedPageBreak/>
        <w:t>Segnalazione delle reazioni avverse sospette</w:t>
      </w:r>
    </w:p>
    <w:p w14:paraId="24039A4D" w14:textId="5406629A" w:rsidR="00167071" w:rsidRPr="00C03451" w:rsidRDefault="00167071" w:rsidP="00167071">
      <w:pPr>
        <w:rPr>
          <w:szCs w:val="22"/>
          <w:shd w:val="pct15" w:color="auto" w:fill="FFFFFF"/>
          <w:lang w:val="it-IT"/>
        </w:rPr>
      </w:pPr>
      <w:r w:rsidRPr="00C03451">
        <w:rPr>
          <w:szCs w:val="22"/>
          <w:lang w:val="it-IT"/>
        </w:rPr>
        <w:t>La segnalazione delle reazioni avverse sospette che si verificano dopo l’autorizzazione del medicinale è importante, in quanto permette un monitoraggio continuo del rapporto beneficio/rischio del medicinale.</w:t>
      </w:r>
      <w:r w:rsidRPr="00C9575C">
        <w:rPr>
          <w:szCs w:val="22"/>
          <w:lang w:val="it-IT"/>
        </w:rPr>
        <w:t xml:space="preserve"> </w:t>
      </w:r>
      <w:r w:rsidRPr="00C03451">
        <w:rPr>
          <w:szCs w:val="22"/>
          <w:lang w:val="it-IT"/>
        </w:rPr>
        <w:t xml:space="preserve">Agli operatori sanitari è richiesto di segnalare qualsiasi reazione avversa sospetta tramite </w:t>
      </w:r>
      <w:r w:rsidRPr="00C03451">
        <w:rPr>
          <w:szCs w:val="22"/>
          <w:shd w:val="pct15" w:color="auto" w:fill="FFFFFF"/>
          <w:lang w:val="it-IT"/>
        </w:rPr>
        <w:t>il sistema nazionale di segnalazione riportato nell’</w:t>
      </w:r>
      <w:ins w:id="3" w:author="Author" w:date="2025-10-16T22:53:00Z" w16du:dateUtc="2025-10-16T20:53:00Z">
        <w:r w:rsidR="00A829DC">
          <w:fldChar w:fldCharType="begin"/>
        </w:r>
        <w:r w:rsidR="00A829DC" w:rsidRPr="00A829DC">
          <w:rPr>
            <w:lang w:val="it-IT"/>
            <w:rPrChange w:id="4" w:author="Author" w:date="2025-10-16T22:53:00Z" w16du:dateUtc="2025-10-16T20:53:00Z">
              <w:rPr/>
            </w:rPrChange>
          </w:rPr>
          <w:instrText>HYPERLINK "http://www.ema.europa.eu/docs/en_GB/document_library/Template_or_form/2013/03/WC500139752.doc"</w:instrText>
        </w:r>
        <w:r w:rsidR="00A829DC">
          <w:fldChar w:fldCharType="separate"/>
        </w:r>
        <w:r w:rsidR="00A829DC" w:rsidRPr="00C9575C">
          <w:rPr>
            <w:color w:val="0000FF"/>
            <w:u w:val="single"/>
            <w:shd w:val="pct15" w:color="auto" w:fill="FFFFFF"/>
            <w:lang w:val="it-IT"/>
          </w:rPr>
          <w:t>Allegato V</w:t>
        </w:r>
        <w:r w:rsidR="00A829DC">
          <w:fldChar w:fldCharType="end"/>
        </w:r>
      </w:ins>
      <w:del w:id="5" w:author="Author" w:date="2025-10-16T22:53:00Z" w16du:dateUtc="2025-10-16T20:53:00Z">
        <w:r w:rsidRPr="00B20349" w:rsidDel="00A829DC">
          <w:rPr>
            <w:szCs w:val="22"/>
            <w:shd w:val="pct15" w:color="auto" w:fill="FFFFFF"/>
            <w:lang w:val="it-IT"/>
          </w:rPr>
          <w:delText>Allegato V</w:delText>
        </w:r>
      </w:del>
      <w:r w:rsidRPr="00C03451">
        <w:rPr>
          <w:bCs/>
          <w:color w:val="008000"/>
          <w:szCs w:val="22"/>
          <w:shd w:val="pct15" w:color="auto" w:fill="FFFFFF"/>
          <w:lang w:val="it-IT"/>
        </w:rPr>
        <w:t>.</w:t>
      </w:r>
      <w:ins w:id="6" w:author="Author" w:date="2025-10-16T22:50:00Z" w16du:dateUtc="2025-10-16T20:50:00Z">
        <w:r w:rsidR="0057512C">
          <w:rPr>
            <w:bCs/>
            <w:color w:val="008000"/>
            <w:szCs w:val="22"/>
            <w:shd w:val="pct15" w:color="auto" w:fill="FFFFFF"/>
            <w:lang w:val="it-IT"/>
          </w:rPr>
          <w:t xml:space="preserve"> </w:t>
        </w:r>
      </w:ins>
    </w:p>
    <w:p w14:paraId="39434F38" w14:textId="77777777" w:rsidR="0084378B" w:rsidRPr="00C9575C" w:rsidRDefault="0084378B">
      <w:pPr>
        <w:widowControl w:val="0"/>
        <w:rPr>
          <w:szCs w:val="22"/>
          <w:lang w:val="it-IT"/>
        </w:rPr>
      </w:pPr>
    </w:p>
    <w:p w14:paraId="6642E99D" w14:textId="74BFA646" w:rsidR="0084378B" w:rsidRPr="00C9575C" w:rsidRDefault="0084378B">
      <w:pPr>
        <w:widowControl w:val="0"/>
        <w:tabs>
          <w:tab w:val="left" w:pos="567"/>
        </w:tabs>
        <w:outlineLvl w:val="0"/>
        <w:rPr>
          <w:b/>
          <w:szCs w:val="22"/>
          <w:lang w:val="it-IT"/>
        </w:rPr>
      </w:pPr>
      <w:r w:rsidRPr="00C9575C">
        <w:rPr>
          <w:b/>
          <w:szCs w:val="22"/>
          <w:lang w:val="it-IT"/>
        </w:rPr>
        <w:t>4.9</w:t>
      </w:r>
      <w:r w:rsidRPr="00C9575C">
        <w:rPr>
          <w:b/>
          <w:szCs w:val="22"/>
          <w:lang w:val="it-IT"/>
        </w:rPr>
        <w:tab/>
        <w:t>Sovradosaggio</w:t>
      </w:r>
      <w:r w:rsidR="0092155C">
        <w:rPr>
          <w:b/>
          <w:szCs w:val="22"/>
          <w:lang w:val="it-IT"/>
        </w:rPr>
        <w:fldChar w:fldCharType="begin"/>
      </w:r>
      <w:r w:rsidR="0092155C">
        <w:rPr>
          <w:b/>
          <w:szCs w:val="22"/>
          <w:lang w:val="it-IT"/>
        </w:rPr>
        <w:instrText xml:space="preserve"> DOCVARIABLE vault_nd_e794fa3d-d56d-477e-b2f9-beeccc337281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300916CF" w14:textId="77777777" w:rsidR="0084378B" w:rsidRPr="00C9575C" w:rsidRDefault="0084378B">
      <w:pPr>
        <w:widowControl w:val="0"/>
        <w:rPr>
          <w:szCs w:val="22"/>
          <w:lang w:val="it-IT"/>
        </w:rPr>
      </w:pPr>
    </w:p>
    <w:p w14:paraId="67BCD6D1" w14:textId="77777777" w:rsidR="0084378B" w:rsidRPr="00C9575C" w:rsidRDefault="0084378B">
      <w:pPr>
        <w:widowControl w:val="0"/>
        <w:rPr>
          <w:szCs w:val="22"/>
          <w:lang w:val="it-IT"/>
        </w:rPr>
      </w:pPr>
      <w:r w:rsidRPr="00C9575C">
        <w:rPr>
          <w:szCs w:val="22"/>
          <w:lang w:val="it-IT"/>
        </w:rPr>
        <w:t>Non sono stati identificati sintomi e segni specifici in seguito a sovradosaggio acuto con abacavir o lamivudina, se si escludono quelli indicati come effetti indesiderati.</w:t>
      </w:r>
    </w:p>
    <w:p w14:paraId="528A050A" w14:textId="77777777" w:rsidR="0084378B" w:rsidRPr="00C9575C" w:rsidRDefault="0084378B">
      <w:pPr>
        <w:widowControl w:val="0"/>
        <w:rPr>
          <w:szCs w:val="22"/>
          <w:lang w:val="it-IT"/>
        </w:rPr>
      </w:pPr>
    </w:p>
    <w:p w14:paraId="13F026CE" w14:textId="77777777" w:rsidR="0084378B" w:rsidRPr="00C9575C" w:rsidRDefault="0084378B">
      <w:pPr>
        <w:widowControl w:val="0"/>
        <w:rPr>
          <w:szCs w:val="22"/>
          <w:lang w:val="it-IT"/>
        </w:rPr>
      </w:pPr>
      <w:r w:rsidRPr="00C9575C">
        <w:rPr>
          <w:szCs w:val="22"/>
          <w:lang w:val="it-IT"/>
        </w:rPr>
        <w:t>Se si verifica sovradosaggio, il paziente deve essere controllato per la comparsa di segni di tossicità (vedere paragrafo 4.8) e deve esser sottoposto a trattamento standard di sostegno, come necessario.</w:t>
      </w:r>
    </w:p>
    <w:p w14:paraId="7F0D5BF6" w14:textId="77777777" w:rsidR="0084378B" w:rsidRPr="00C9575C" w:rsidRDefault="0084378B">
      <w:pPr>
        <w:widowControl w:val="0"/>
        <w:tabs>
          <w:tab w:val="left" w:pos="567"/>
        </w:tabs>
        <w:rPr>
          <w:szCs w:val="22"/>
          <w:lang w:val="it-IT"/>
        </w:rPr>
      </w:pPr>
      <w:r w:rsidRPr="00C9575C">
        <w:rPr>
          <w:rStyle w:val="PageNumber"/>
          <w:szCs w:val="22"/>
          <w:lang w:val="it-IT"/>
        </w:rPr>
        <w:t xml:space="preserve">Poichè lamivudina è dializzabile, nel trattamento del sovradosaggio potrebbe essere usata l'emodialisi continua, sebbene tale pratica non sia stata studiata. </w:t>
      </w:r>
      <w:r w:rsidRPr="00C9575C">
        <w:rPr>
          <w:szCs w:val="22"/>
          <w:lang w:val="it-IT"/>
        </w:rPr>
        <w:t>Non è noto se abacavir possa essere eliminato dalla dialisi peritoneale o dalla emodialisi.</w:t>
      </w:r>
    </w:p>
    <w:p w14:paraId="3E8DF63C" w14:textId="77777777" w:rsidR="0084378B" w:rsidRPr="00C9575C" w:rsidRDefault="0084378B">
      <w:pPr>
        <w:widowControl w:val="0"/>
        <w:tabs>
          <w:tab w:val="left" w:pos="567"/>
        </w:tabs>
        <w:ind w:right="28"/>
        <w:rPr>
          <w:rStyle w:val="PageNumber"/>
          <w:szCs w:val="22"/>
          <w:lang w:val="it-IT"/>
        </w:rPr>
      </w:pPr>
    </w:p>
    <w:p w14:paraId="672C3E07" w14:textId="77777777" w:rsidR="0084378B" w:rsidRPr="00C9575C" w:rsidRDefault="0084378B">
      <w:pPr>
        <w:widowControl w:val="0"/>
        <w:tabs>
          <w:tab w:val="left" w:pos="567"/>
        </w:tabs>
        <w:ind w:right="28"/>
        <w:rPr>
          <w:rStyle w:val="PageNumber"/>
          <w:szCs w:val="22"/>
          <w:lang w:val="it-IT"/>
        </w:rPr>
      </w:pPr>
    </w:p>
    <w:p w14:paraId="27547167" w14:textId="03D28424" w:rsidR="0084378B" w:rsidRPr="00C9575C" w:rsidRDefault="0084378B">
      <w:pPr>
        <w:widowControl w:val="0"/>
        <w:tabs>
          <w:tab w:val="left" w:pos="567"/>
        </w:tabs>
        <w:outlineLvl w:val="0"/>
        <w:rPr>
          <w:b/>
          <w:szCs w:val="22"/>
          <w:lang w:val="it-IT"/>
        </w:rPr>
      </w:pPr>
      <w:r w:rsidRPr="00C9575C">
        <w:rPr>
          <w:b/>
          <w:szCs w:val="22"/>
          <w:lang w:val="it-IT"/>
        </w:rPr>
        <w:t>5.</w:t>
      </w:r>
      <w:r w:rsidRPr="00C9575C">
        <w:rPr>
          <w:b/>
          <w:szCs w:val="22"/>
          <w:lang w:val="it-IT"/>
        </w:rPr>
        <w:tab/>
        <w:t>PROPRIETÀ FARMACOLOGICHE</w:t>
      </w:r>
      <w:r w:rsidR="0092155C">
        <w:rPr>
          <w:b/>
          <w:szCs w:val="22"/>
          <w:lang w:val="it-IT"/>
        </w:rPr>
        <w:fldChar w:fldCharType="begin"/>
      </w:r>
      <w:r w:rsidR="0092155C">
        <w:rPr>
          <w:b/>
          <w:szCs w:val="22"/>
          <w:lang w:val="it-IT"/>
        </w:rPr>
        <w:instrText xml:space="preserve"> DOCVARIABLE VAULT_ND_f1981341-1ef6-4442-b794-be69639ba62f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6D8F549B" w14:textId="77777777" w:rsidR="0084378B" w:rsidRPr="00C9575C" w:rsidRDefault="0084378B">
      <w:pPr>
        <w:widowControl w:val="0"/>
        <w:tabs>
          <w:tab w:val="left" w:pos="567"/>
        </w:tabs>
        <w:rPr>
          <w:szCs w:val="22"/>
          <w:lang w:val="it-IT"/>
        </w:rPr>
      </w:pPr>
    </w:p>
    <w:p w14:paraId="2EADB67F" w14:textId="24749F1B" w:rsidR="0084378B" w:rsidRPr="00C9575C" w:rsidRDefault="0084378B">
      <w:pPr>
        <w:widowControl w:val="0"/>
        <w:tabs>
          <w:tab w:val="left" w:pos="567"/>
        </w:tabs>
        <w:outlineLvl w:val="0"/>
        <w:rPr>
          <w:b/>
          <w:szCs w:val="22"/>
          <w:lang w:val="it-IT"/>
        </w:rPr>
      </w:pPr>
      <w:r w:rsidRPr="00C9575C">
        <w:rPr>
          <w:b/>
          <w:szCs w:val="22"/>
          <w:lang w:val="it-IT"/>
        </w:rPr>
        <w:t xml:space="preserve">5.1 </w:t>
      </w:r>
      <w:r w:rsidRPr="00C9575C">
        <w:rPr>
          <w:b/>
          <w:szCs w:val="22"/>
          <w:lang w:val="it-IT"/>
        </w:rPr>
        <w:tab/>
        <w:t>Proprietà farmacodinamiche</w:t>
      </w:r>
      <w:r w:rsidR="0092155C">
        <w:rPr>
          <w:b/>
          <w:szCs w:val="22"/>
          <w:lang w:val="it-IT"/>
        </w:rPr>
        <w:fldChar w:fldCharType="begin"/>
      </w:r>
      <w:r w:rsidR="0092155C">
        <w:rPr>
          <w:b/>
          <w:szCs w:val="22"/>
          <w:lang w:val="it-IT"/>
        </w:rPr>
        <w:instrText xml:space="preserve"> DOCVARIABLE vault_nd_f8a02c62-7a67-4114-baac-909653859226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593EE719" w14:textId="77777777" w:rsidR="0084378B" w:rsidRPr="00C9575C" w:rsidRDefault="0084378B">
      <w:pPr>
        <w:widowControl w:val="0"/>
        <w:tabs>
          <w:tab w:val="left" w:pos="567"/>
        </w:tabs>
        <w:rPr>
          <w:b/>
          <w:szCs w:val="22"/>
          <w:lang w:val="it-IT"/>
        </w:rPr>
      </w:pPr>
    </w:p>
    <w:p w14:paraId="6CE1C3B3" w14:textId="4DFD568A" w:rsidR="003E33FD" w:rsidRDefault="0084378B">
      <w:pPr>
        <w:widowControl w:val="0"/>
        <w:tabs>
          <w:tab w:val="left" w:pos="567"/>
        </w:tabs>
        <w:outlineLvl w:val="0"/>
        <w:rPr>
          <w:szCs w:val="22"/>
          <w:u w:val="single"/>
          <w:lang w:val="it-IT"/>
        </w:rPr>
      </w:pPr>
      <w:r w:rsidRPr="003E33FD">
        <w:rPr>
          <w:szCs w:val="22"/>
          <w:u w:val="single"/>
          <w:lang w:val="it-IT"/>
        </w:rPr>
        <w:t>Gruppo farmacoterapeutico</w:t>
      </w:r>
      <w:r w:rsidR="00F06DC0">
        <w:rPr>
          <w:szCs w:val="22"/>
          <w:u w:val="single"/>
          <w:lang w:val="it-IT"/>
        </w:rPr>
        <w:fldChar w:fldCharType="begin"/>
      </w:r>
      <w:r w:rsidR="00F06DC0">
        <w:rPr>
          <w:szCs w:val="22"/>
          <w:u w:val="single"/>
          <w:lang w:val="it-IT"/>
        </w:rPr>
        <w:instrText xml:space="preserve"> DOCVARIABLE vault_nd_30216a5e-35a1-4726-9ed3-051bd7e1682a \* MERGEFORMAT </w:instrText>
      </w:r>
      <w:r w:rsidR="00F06DC0">
        <w:rPr>
          <w:szCs w:val="22"/>
          <w:u w:val="single"/>
          <w:lang w:val="it-IT"/>
        </w:rPr>
        <w:fldChar w:fldCharType="separate"/>
      </w:r>
      <w:r w:rsidR="00F06DC0">
        <w:rPr>
          <w:szCs w:val="22"/>
          <w:u w:val="single"/>
          <w:lang w:val="it-IT"/>
        </w:rPr>
        <w:t xml:space="preserve"> </w:t>
      </w:r>
      <w:r w:rsidR="00F06DC0">
        <w:rPr>
          <w:szCs w:val="22"/>
          <w:u w:val="single"/>
          <w:lang w:val="it-IT"/>
        </w:rPr>
        <w:fldChar w:fldCharType="end"/>
      </w:r>
    </w:p>
    <w:p w14:paraId="50F0857B" w14:textId="77777777" w:rsidR="003E33FD" w:rsidRPr="003E33FD" w:rsidRDefault="003E33FD">
      <w:pPr>
        <w:widowControl w:val="0"/>
        <w:tabs>
          <w:tab w:val="left" w:pos="567"/>
        </w:tabs>
        <w:outlineLvl w:val="0"/>
        <w:rPr>
          <w:u w:val="single"/>
          <w:lang w:val="it-IT"/>
        </w:rPr>
      </w:pPr>
    </w:p>
    <w:p w14:paraId="5D34966D" w14:textId="68F07C69" w:rsidR="0084378B" w:rsidRPr="00C9575C" w:rsidRDefault="009E58DD">
      <w:pPr>
        <w:widowControl w:val="0"/>
        <w:tabs>
          <w:tab w:val="left" w:pos="567"/>
        </w:tabs>
        <w:outlineLvl w:val="0"/>
        <w:rPr>
          <w:szCs w:val="22"/>
          <w:lang w:val="it-IT"/>
        </w:rPr>
      </w:pPr>
      <w:r w:rsidRPr="00C9575C">
        <w:rPr>
          <w:lang w:val="it-IT"/>
        </w:rPr>
        <w:t>Antivirali per uso sistemico, a</w:t>
      </w:r>
      <w:r w:rsidR="009013F7" w:rsidRPr="00C9575C">
        <w:rPr>
          <w:lang w:val="it-IT"/>
        </w:rPr>
        <w:t>ntivirali per il trattamento dell’infezione da HIV, associazioni.</w:t>
      </w:r>
      <w:r w:rsidRPr="00C9575C">
        <w:rPr>
          <w:lang w:val="it-IT"/>
        </w:rPr>
        <w:t xml:space="preserve"> </w:t>
      </w:r>
      <w:r w:rsidR="009013F7" w:rsidRPr="00C9575C">
        <w:rPr>
          <w:szCs w:val="22"/>
          <w:lang w:val="it-IT"/>
        </w:rPr>
        <w:t>C</w:t>
      </w:r>
      <w:r w:rsidR="0084378B" w:rsidRPr="00C9575C">
        <w:rPr>
          <w:szCs w:val="22"/>
          <w:lang w:val="it-IT"/>
        </w:rPr>
        <w:t xml:space="preserve">odice ATC: </w:t>
      </w:r>
      <w:r w:rsidR="0084378B" w:rsidRPr="00C9575C">
        <w:rPr>
          <w:snapToGrid w:val="0"/>
          <w:color w:val="000000"/>
          <w:szCs w:val="22"/>
          <w:lang w:val="it-IT"/>
        </w:rPr>
        <w:t>J05AR02</w:t>
      </w:r>
      <w:r w:rsidR="0084378B" w:rsidRPr="00C9575C">
        <w:rPr>
          <w:szCs w:val="22"/>
          <w:lang w:val="it-IT"/>
        </w:rPr>
        <w:t>.</w:t>
      </w:r>
      <w:r w:rsidR="0092155C">
        <w:rPr>
          <w:szCs w:val="22"/>
          <w:lang w:val="it-IT"/>
        </w:rPr>
        <w:fldChar w:fldCharType="begin"/>
      </w:r>
      <w:r w:rsidR="0092155C">
        <w:rPr>
          <w:szCs w:val="22"/>
          <w:lang w:val="it-IT"/>
        </w:rPr>
        <w:instrText xml:space="preserve"> DOCVARIABLE vault_nd_edb1f30a-2385-4b72-acea-f8fd4a28069e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457BC676" w14:textId="77777777" w:rsidR="0084378B" w:rsidRPr="00C9575C" w:rsidRDefault="0084378B">
      <w:pPr>
        <w:widowControl w:val="0"/>
        <w:rPr>
          <w:szCs w:val="22"/>
          <w:lang w:val="it-IT"/>
        </w:rPr>
      </w:pPr>
    </w:p>
    <w:p w14:paraId="73DE5F5C" w14:textId="1E741ED6" w:rsidR="003E33FD" w:rsidRDefault="0084378B">
      <w:pPr>
        <w:widowControl w:val="0"/>
        <w:rPr>
          <w:iCs/>
          <w:szCs w:val="22"/>
          <w:u w:val="single"/>
          <w:lang w:val="it-IT"/>
        </w:rPr>
      </w:pPr>
      <w:r w:rsidRPr="003E33FD">
        <w:rPr>
          <w:iCs/>
          <w:szCs w:val="22"/>
          <w:u w:val="single"/>
          <w:lang w:val="it-IT"/>
        </w:rPr>
        <w:t>Meccanismo d’azione</w:t>
      </w:r>
    </w:p>
    <w:p w14:paraId="67CFBF85" w14:textId="77777777" w:rsidR="008417E3" w:rsidRDefault="008417E3">
      <w:pPr>
        <w:widowControl w:val="0"/>
        <w:rPr>
          <w:i/>
          <w:szCs w:val="22"/>
          <w:lang w:val="it-IT"/>
        </w:rPr>
      </w:pPr>
    </w:p>
    <w:p w14:paraId="3879882A" w14:textId="5B46B14D" w:rsidR="0084378B" w:rsidRPr="00C9575C" w:rsidRDefault="003E33FD">
      <w:pPr>
        <w:widowControl w:val="0"/>
        <w:rPr>
          <w:i/>
          <w:szCs w:val="22"/>
          <w:u w:val="single"/>
          <w:lang w:val="it-IT"/>
        </w:rPr>
      </w:pPr>
      <w:r>
        <w:rPr>
          <w:szCs w:val="22"/>
          <w:lang w:val="it-IT"/>
        </w:rPr>
        <w:t>A</w:t>
      </w:r>
      <w:r w:rsidR="0084378B" w:rsidRPr="00C9575C">
        <w:rPr>
          <w:szCs w:val="22"/>
          <w:lang w:val="it-IT"/>
        </w:rPr>
        <w:t xml:space="preserve">bacavir e lamivudina sono </w:t>
      </w:r>
      <w:r w:rsidR="006F341F" w:rsidRPr="00C9575C">
        <w:rPr>
          <w:szCs w:val="22"/>
          <w:lang w:val="it-IT"/>
        </w:rPr>
        <w:t>analoghi nucleosidici inibitori della trascrittasi inversa (</w:t>
      </w:r>
      <w:r w:rsidR="0084378B" w:rsidRPr="00C9575C">
        <w:rPr>
          <w:szCs w:val="22"/>
          <w:lang w:val="it-IT"/>
        </w:rPr>
        <w:t>NRTI</w:t>
      </w:r>
      <w:r w:rsidR="006F341F" w:rsidRPr="00C9575C">
        <w:rPr>
          <w:szCs w:val="22"/>
          <w:lang w:val="it-IT"/>
        </w:rPr>
        <w:t>)</w:t>
      </w:r>
      <w:r w:rsidR="0084378B" w:rsidRPr="00C9575C">
        <w:rPr>
          <w:szCs w:val="22"/>
          <w:lang w:val="it-IT"/>
        </w:rPr>
        <w:t xml:space="preserve">, e sono inibitori potenti e selettivi </w:t>
      </w:r>
      <w:r w:rsidR="003054D5" w:rsidRPr="00C9575C">
        <w:rPr>
          <w:szCs w:val="22"/>
          <w:lang w:val="it-IT"/>
        </w:rPr>
        <w:t xml:space="preserve">della replicazione </w:t>
      </w:r>
      <w:r w:rsidR="0084378B" w:rsidRPr="00C9575C">
        <w:rPr>
          <w:szCs w:val="22"/>
          <w:lang w:val="it-IT"/>
        </w:rPr>
        <w:t>dell’HIV-1 e HIV-2</w:t>
      </w:r>
      <w:r w:rsidR="00745F10" w:rsidRPr="00C9575C">
        <w:rPr>
          <w:szCs w:val="22"/>
          <w:lang w:val="it-IT"/>
        </w:rPr>
        <w:t xml:space="preserve"> (LAV2 e</w:t>
      </w:r>
      <w:r w:rsidR="009F348C" w:rsidRPr="00C9575C">
        <w:rPr>
          <w:szCs w:val="22"/>
          <w:lang w:val="it-IT"/>
        </w:rPr>
        <w:t>d</w:t>
      </w:r>
      <w:r w:rsidR="00745F10" w:rsidRPr="00C9575C">
        <w:rPr>
          <w:szCs w:val="22"/>
          <w:lang w:val="it-IT"/>
        </w:rPr>
        <w:t xml:space="preserve"> EHO)</w:t>
      </w:r>
      <w:r w:rsidR="0084378B" w:rsidRPr="00C9575C">
        <w:rPr>
          <w:szCs w:val="22"/>
          <w:lang w:val="it-IT"/>
        </w:rPr>
        <w:t>. Sia abacavir che lamivudina sono metabolizzati in maniera sequenziale da chinasi intracellulari nelle rispettive forme attive 5’-trifosfato (TP).</w:t>
      </w:r>
      <w:r w:rsidR="0084378B" w:rsidRPr="00C9575C">
        <w:rPr>
          <w:rStyle w:val="PageNumber"/>
          <w:szCs w:val="22"/>
          <w:lang w:val="it-IT"/>
        </w:rPr>
        <w:t xml:space="preserve"> </w:t>
      </w:r>
      <w:r w:rsidR="00FE3002" w:rsidRPr="00C9575C">
        <w:rPr>
          <w:rStyle w:val="PageNumber"/>
          <w:szCs w:val="22"/>
          <w:lang w:val="it-IT"/>
        </w:rPr>
        <w:t>L</w:t>
      </w:r>
      <w:r w:rsidR="0084378B" w:rsidRPr="00C9575C">
        <w:rPr>
          <w:szCs w:val="22"/>
          <w:lang w:val="it-IT"/>
        </w:rPr>
        <w:t>amivudina</w:t>
      </w:r>
      <w:r w:rsidR="0084378B" w:rsidRPr="00C9575C">
        <w:rPr>
          <w:szCs w:val="22"/>
          <w:lang w:val="it-IT"/>
        </w:rPr>
        <w:noBreakHyphen/>
        <w:t>TP e carbovir</w:t>
      </w:r>
      <w:r w:rsidR="0084378B" w:rsidRPr="00C9575C">
        <w:rPr>
          <w:szCs w:val="22"/>
          <w:lang w:val="it-IT"/>
        </w:rPr>
        <w:noBreakHyphen/>
        <w:t>TP (la forma trifosfata attiva di abacavir) sono substrati e inibitori competitivi della trascrittasi inversa dell'HIV (TI). Tuttavia, la loro principale azione antivirale consiste nell'incorporazione della forma monofosfato nella catena di DNA virale, portando all’interruzione della catena stessa. Abacavir e lamivudina trifosfato mostrano un'affinità significativamente minore per la DNA polimerasi delle cellule ospiti.</w:t>
      </w:r>
    </w:p>
    <w:p w14:paraId="2969914B" w14:textId="77777777" w:rsidR="0084378B" w:rsidRPr="00C9575C" w:rsidRDefault="0084378B">
      <w:pPr>
        <w:widowControl w:val="0"/>
        <w:rPr>
          <w:szCs w:val="22"/>
          <w:lang w:val="it-IT"/>
        </w:rPr>
      </w:pPr>
    </w:p>
    <w:p w14:paraId="51F7C283" w14:textId="77777777" w:rsidR="00C9073A" w:rsidRPr="00C9575C" w:rsidRDefault="00A619DC">
      <w:pPr>
        <w:widowControl w:val="0"/>
        <w:rPr>
          <w:lang w:val="it-IT"/>
        </w:rPr>
      </w:pPr>
      <w:r w:rsidRPr="00C9575C">
        <w:rPr>
          <w:szCs w:val="22"/>
          <w:lang w:val="it-IT"/>
        </w:rPr>
        <w:t xml:space="preserve">Non è stato osservato alcun effetto antagonista </w:t>
      </w:r>
      <w:r w:rsidRPr="00C9575C">
        <w:rPr>
          <w:i/>
          <w:szCs w:val="22"/>
          <w:lang w:val="it-IT"/>
        </w:rPr>
        <w:t>in vitro</w:t>
      </w:r>
      <w:r w:rsidRPr="00C9575C">
        <w:rPr>
          <w:szCs w:val="22"/>
          <w:lang w:val="it-IT"/>
        </w:rPr>
        <w:t xml:space="preserve"> con lamivudina e altri antiretrovirali (agenti testati:</w:t>
      </w:r>
      <w:r w:rsidRPr="00C9575C">
        <w:rPr>
          <w:lang w:val="it-IT"/>
        </w:rPr>
        <w:t xml:space="preserve"> didanosina, nevirapina e zidovudina). L’attività antivirale di abacavir nelle colture cellulari non era antagonizzata quando veniva combinato con inibitori nucleosidici della trascrittasi inversa (NRTI) didanosina, emtricitabina, stavudina, tenofovir o zidovudina, inibitori non nucleosidici della trascrittasi inversa (NNRTI) nevirapina o l’inibitore della proteasi (PI)</w:t>
      </w:r>
      <w:r w:rsidR="001F5C61" w:rsidRPr="00C9575C">
        <w:rPr>
          <w:lang w:val="it-IT"/>
        </w:rPr>
        <w:t xml:space="preserve"> amprenavir</w:t>
      </w:r>
      <w:r w:rsidRPr="00C9575C">
        <w:rPr>
          <w:lang w:val="it-IT"/>
        </w:rPr>
        <w:t xml:space="preserve">. </w:t>
      </w:r>
    </w:p>
    <w:p w14:paraId="28EDF462" w14:textId="77777777" w:rsidR="00C9073A" w:rsidRPr="00C9575C" w:rsidRDefault="00C9073A">
      <w:pPr>
        <w:widowControl w:val="0"/>
        <w:rPr>
          <w:lang w:val="it-IT"/>
        </w:rPr>
      </w:pPr>
    </w:p>
    <w:p w14:paraId="4BC51071" w14:textId="77777777" w:rsidR="00F962D5" w:rsidRPr="00C9575C" w:rsidRDefault="00F962D5">
      <w:pPr>
        <w:widowControl w:val="0"/>
        <w:rPr>
          <w:i/>
          <w:szCs w:val="22"/>
          <w:u w:val="single"/>
          <w:lang w:val="it-IT"/>
        </w:rPr>
      </w:pPr>
      <w:r w:rsidRPr="00C9575C">
        <w:rPr>
          <w:szCs w:val="22"/>
          <w:u w:val="single"/>
          <w:lang w:val="it-IT"/>
        </w:rPr>
        <w:t xml:space="preserve">Attività antivirale </w:t>
      </w:r>
      <w:r w:rsidRPr="00C9575C">
        <w:rPr>
          <w:i/>
          <w:szCs w:val="22"/>
          <w:u w:val="single"/>
          <w:lang w:val="it-IT"/>
        </w:rPr>
        <w:t>in vitro</w:t>
      </w:r>
    </w:p>
    <w:p w14:paraId="6214ABC5" w14:textId="77777777" w:rsidR="00F316C3" w:rsidRPr="00C9575C" w:rsidRDefault="00F316C3">
      <w:pPr>
        <w:widowControl w:val="0"/>
        <w:rPr>
          <w:szCs w:val="22"/>
          <w:lang w:val="it-IT"/>
        </w:rPr>
      </w:pPr>
    </w:p>
    <w:p w14:paraId="4E0E93E9" w14:textId="77777777" w:rsidR="00F962D5" w:rsidRPr="00C9575C" w:rsidRDefault="00F962D5">
      <w:pPr>
        <w:widowControl w:val="0"/>
        <w:rPr>
          <w:szCs w:val="22"/>
          <w:lang w:val="it-IT"/>
        </w:rPr>
      </w:pPr>
      <w:r w:rsidRPr="00C9575C">
        <w:rPr>
          <w:szCs w:val="22"/>
          <w:lang w:val="it-IT"/>
        </w:rPr>
        <w:t xml:space="preserve">Sia abacavir che lamivudina hanno mostrato di inibire la replicazione </w:t>
      </w:r>
      <w:r w:rsidR="005806A4" w:rsidRPr="00C9575C">
        <w:rPr>
          <w:szCs w:val="22"/>
          <w:lang w:val="it-IT"/>
        </w:rPr>
        <w:t>dei ceppi</w:t>
      </w:r>
      <w:r w:rsidRPr="00C9575C">
        <w:rPr>
          <w:szCs w:val="22"/>
          <w:lang w:val="it-IT"/>
        </w:rPr>
        <w:t xml:space="preserve"> di laboratorio e degli isolati clinici del virus HIV</w:t>
      </w:r>
      <w:r w:rsidRPr="00C9575C">
        <w:rPr>
          <w:b/>
          <w:bCs/>
          <w:color w:val="0080C0"/>
          <w:sz w:val="12"/>
          <w:szCs w:val="12"/>
          <w:lang w:val="it-IT"/>
        </w:rPr>
        <w:t xml:space="preserve"> </w:t>
      </w:r>
      <w:r w:rsidRPr="00C9575C">
        <w:rPr>
          <w:szCs w:val="22"/>
          <w:lang w:val="it-IT"/>
        </w:rPr>
        <w:t xml:space="preserve">in un numero di tipi cellulari, comprese le linee di cellule T trasformate, linee cellulari derivanti da </w:t>
      </w:r>
      <w:r w:rsidR="00432793" w:rsidRPr="00C9575C">
        <w:rPr>
          <w:szCs w:val="22"/>
          <w:lang w:val="it-IT"/>
        </w:rPr>
        <w:t>monociti</w:t>
      </w:r>
      <w:r w:rsidRPr="00C9575C">
        <w:rPr>
          <w:szCs w:val="22"/>
          <w:lang w:val="it-IT"/>
        </w:rPr>
        <w:t>/macrofagi e colture primarie di linfociti attivati del sangue periferico (</w:t>
      </w:r>
      <w:r w:rsidR="004955F7" w:rsidRPr="00C9575C">
        <w:rPr>
          <w:i/>
          <w:szCs w:val="22"/>
          <w:lang w:val="it-IT"/>
        </w:rPr>
        <w:t>peripheral blood lymphocyte,</w:t>
      </w:r>
      <w:r w:rsidR="004955F7" w:rsidRPr="00C9575C">
        <w:rPr>
          <w:szCs w:val="22"/>
          <w:lang w:val="it-IT"/>
        </w:rPr>
        <w:t xml:space="preserve"> </w:t>
      </w:r>
      <w:r w:rsidRPr="00C9575C">
        <w:rPr>
          <w:szCs w:val="22"/>
          <w:lang w:val="it-IT"/>
        </w:rPr>
        <w:t>PBL)</w:t>
      </w:r>
      <w:r w:rsidR="00432793" w:rsidRPr="00C9575C">
        <w:rPr>
          <w:szCs w:val="22"/>
          <w:lang w:val="it-IT"/>
        </w:rPr>
        <w:t xml:space="preserve"> e monociti/</w:t>
      </w:r>
      <w:r w:rsidRPr="00C9575C">
        <w:rPr>
          <w:szCs w:val="22"/>
          <w:lang w:val="it-IT"/>
        </w:rPr>
        <w:t>macrofagi. La concentrazione di farmaco necessari</w:t>
      </w:r>
      <w:r w:rsidR="00432793" w:rsidRPr="00C9575C">
        <w:rPr>
          <w:szCs w:val="22"/>
          <w:lang w:val="it-IT"/>
        </w:rPr>
        <w:t>a</w:t>
      </w:r>
      <w:r w:rsidRPr="00C9575C">
        <w:rPr>
          <w:szCs w:val="22"/>
          <w:lang w:val="it-IT"/>
        </w:rPr>
        <w:t xml:space="preserve"> per </w:t>
      </w:r>
      <w:r w:rsidR="00432793" w:rsidRPr="00C9575C">
        <w:rPr>
          <w:szCs w:val="22"/>
          <w:lang w:val="it-IT"/>
        </w:rPr>
        <w:t>avere effetto sulla replicazione virale del 50% (</w:t>
      </w:r>
      <w:r w:rsidRPr="00C9575C">
        <w:rPr>
          <w:szCs w:val="22"/>
          <w:lang w:val="it-IT"/>
        </w:rPr>
        <w:t>EC</w:t>
      </w:r>
      <w:r w:rsidRPr="00C9575C">
        <w:rPr>
          <w:szCs w:val="22"/>
          <w:vertAlign w:val="subscript"/>
          <w:lang w:val="it-IT"/>
        </w:rPr>
        <w:t>50</w:t>
      </w:r>
      <w:r w:rsidRPr="00C9575C">
        <w:rPr>
          <w:szCs w:val="22"/>
          <w:lang w:val="it-IT"/>
        </w:rPr>
        <w:t xml:space="preserve">) o </w:t>
      </w:r>
      <w:r w:rsidR="00610643" w:rsidRPr="00C9575C">
        <w:rPr>
          <w:szCs w:val="22"/>
          <w:lang w:val="it-IT"/>
        </w:rPr>
        <w:t>la</w:t>
      </w:r>
      <w:r w:rsidRPr="00C9575C">
        <w:rPr>
          <w:szCs w:val="22"/>
          <w:lang w:val="it-IT"/>
        </w:rPr>
        <w:t xml:space="preserve"> concentrazione </w:t>
      </w:r>
      <w:r w:rsidR="00610643" w:rsidRPr="00C9575C">
        <w:rPr>
          <w:szCs w:val="22"/>
          <w:lang w:val="it-IT"/>
        </w:rPr>
        <w:t>inibente del 50%</w:t>
      </w:r>
      <w:r w:rsidRPr="00C9575C">
        <w:rPr>
          <w:szCs w:val="22"/>
          <w:lang w:val="it-IT"/>
        </w:rPr>
        <w:t xml:space="preserve"> (IC</w:t>
      </w:r>
      <w:r w:rsidRPr="00C9575C">
        <w:rPr>
          <w:szCs w:val="22"/>
          <w:vertAlign w:val="subscript"/>
          <w:lang w:val="it-IT"/>
        </w:rPr>
        <w:t>50</w:t>
      </w:r>
      <w:r w:rsidRPr="00C9575C">
        <w:rPr>
          <w:szCs w:val="22"/>
          <w:lang w:val="it-IT"/>
        </w:rPr>
        <w:t>) varia</w:t>
      </w:r>
      <w:r w:rsidR="00610643" w:rsidRPr="00C9575C">
        <w:rPr>
          <w:szCs w:val="22"/>
          <w:lang w:val="it-IT"/>
        </w:rPr>
        <w:t xml:space="preserve">vano </w:t>
      </w:r>
      <w:r w:rsidRPr="00C9575C">
        <w:rPr>
          <w:szCs w:val="22"/>
          <w:lang w:val="it-IT"/>
        </w:rPr>
        <w:t xml:space="preserve">a seconda del tipo di virus e </w:t>
      </w:r>
      <w:r w:rsidR="00610643" w:rsidRPr="00C9575C">
        <w:rPr>
          <w:szCs w:val="22"/>
          <w:lang w:val="it-IT"/>
        </w:rPr>
        <w:t xml:space="preserve">della </w:t>
      </w:r>
      <w:r w:rsidRPr="00C9575C">
        <w:rPr>
          <w:szCs w:val="22"/>
          <w:lang w:val="it-IT"/>
        </w:rPr>
        <w:t>cellula ospite.</w:t>
      </w:r>
    </w:p>
    <w:p w14:paraId="204D2857" w14:textId="77777777" w:rsidR="00F962D5" w:rsidRPr="00C9575C" w:rsidRDefault="00F962D5">
      <w:pPr>
        <w:widowControl w:val="0"/>
        <w:rPr>
          <w:szCs w:val="22"/>
          <w:lang w:val="it-IT"/>
        </w:rPr>
      </w:pPr>
    </w:p>
    <w:p w14:paraId="4B114B26" w14:textId="77777777" w:rsidR="00F962D5" w:rsidRPr="00C9575C" w:rsidRDefault="00F962D5">
      <w:pPr>
        <w:widowControl w:val="0"/>
        <w:rPr>
          <w:szCs w:val="22"/>
          <w:lang w:val="it-IT"/>
        </w:rPr>
      </w:pPr>
      <w:r w:rsidRPr="00C9575C">
        <w:rPr>
          <w:szCs w:val="22"/>
          <w:lang w:val="it-IT"/>
        </w:rPr>
        <w:t>L'EC</w:t>
      </w:r>
      <w:r w:rsidRPr="00C9575C">
        <w:rPr>
          <w:szCs w:val="22"/>
          <w:vertAlign w:val="subscript"/>
          <w:lang w:val="it-IT"/>
        </w:rPr>
        <w:t>50</w:t>
      </w:r>
      <w:r w:rsidRPr="00C9575C">
        <w:rPr>
          <w:szCs w:val="22"/>
          <w:lang w:val="it-IT"/>
        </w:rPr>
        <w:t xml:space="preserve"> media di abacavir contro ceppi di laboratorio di HIV-1IIIB e </w:t>
      </w:r>
      <w:r w:rsidR="00460397" w:rsidRPr="00C9575C">
        <w:rPr>
          <w:szCs w:val="22"/>
          <w:lang w:val="it-IT"/>
        </w:rPr>
        <w:t xml:space="preserve">HIV-1HXB2 </w:t>
      </w:r>
      <w:r w:rsidRPr="00C9575C">
        <w:rPr>
          <w:szCs w:val="22"/>
          <w:lang w:val="it-IT"/>
        </w:rPr>
        <w:t>variava</w:t>
      </w:r>
      <w:r w:rsidR="00460397" w:rsidRPr="00C9575C">
        <w:rPr>
          <w:szCs w:val="22"/>
          <w:lang w:val="it-IT"/>
        </w:rPr>
        <w:t xml:space="preserve"> da </w:t>
      </w:r>
      <w:smartTag w:uri="urn:schemas-microsoft-com:office:smarttags" w:element="metricconverter">
        <w:smartTagPr>
          <w:attr w:name="ProductID" w:val="1,4 a"/>
        </w:smartTagPr>
        <w:r w:rsidR="00460397" w:rsidRPr="00C9575C">
          <w:rPr>
            <w:szCs w:val="22"/>
            <w:lang w:val="it-IT"/>
          </w:rPr>
          <w:t>1,4</w:t>
        </w:r>
        <w:r w:rsidR="00534653" w:rsidRPr="00C9575C">
          <w:rPr>
            <w:szCs w:val="22"/>
            <w:lang w:val="it-IT"/>
          </w:rPr>
          <w:t xml:space="preserve"> </w:t>
        </w:r>
        <w:r w:rsidR="00460397" w:rsidRPr="00C9575C">
          <w:rPr>
            <w:szCs w:val="22"/>
            <w:lang w:val="it-IT"/>
          </w:rPr>
          <w:t>a</w:t>
        </w:r>
      </w:smartTag>
      <w:r w:rsidR="00460397" w:rsidRPr="00C9575C">
        <w:rPr>
          <w:szCs w:val="22"/>
          <w:lang w:val="it-IT"/>
        </w:rPr>
        <w:t xml:space="preserve"> </w:t>
      </w:r>
      <w:r w:rsidRPr="00C9575C">
        <w:rPr>
          <w:szCs w:val="22"/>
          <w:lang w:val="it-IT"/>
        </w:rPr>
        <w:t>5,8</w:t>
      </w:r>
      <w:r w:rsidR="00460397" w:rsidRPr="00C9575C">
        <w:rPr>
          <w:szCs w:val="22"/>
          <w:lang w:val="it-IT"/>
        </w:rPr>
        <w:t> </w:t>
      </w:r>
      <w:r w:rsidRPr="00C9575C">
        <w:rPr>
          <w:szCs w:val="22"/>
          <w:lang w:val="it-IT"/>
        </w:rPr>
        <w:sym w:font="Symbol" w:char="F06D"/>
      </w:r>
      <w:r w:rsidRPr="00C9575C">
        <w:rPr>
          <w:szCs w:val="22"/>
          <w:lang w:val="it-IT"/>
        </w:rPr>
        <w:t xml:space="preserve">M. La mediana o </w:t>
      </w:r>
      <w:r w:rsidR="00460397" w:rsidRPr="00C9575C">
        <w:rPr>
          <w:szCs w:val="22"/>
          <w:lang w:val="it-IT"/>
        </w:rPr>
        <w:t>la</w:t>
      </w:r>
      <w:r w:rsidRPr="00C9575C">
        <w:rPr>
          <w:szCs w:val="22"/>
          <w:lang w:val="it-IT"/>
        </w:rPr>
        <w:t xml:space="preserve"> media dei valori </w:t>
      </w:r>
      <w:r w:rsidR="00460397" w:rsidRPr="00C9575C">
        <w:rPr>
          <w:szCs w:val="22"/>
          <w:lang w:val="it-IT"/>
        </w:rPr>
        <w:t xml:space="preserve">di </w:t>
      </w:r>
      <w:r w:rsidRPr="00C9575C">
        <w:rPr>
          <w:szCs w:val="22"/>
          <w:lang w:val="it-IT"/>
        </w:rPr>
        <w:t>EC</w:t>
      </w:r>
      <w:r w:rsidRPr="00C9575C">
        <w:rPr>
          <w:szCs w:val="22"/>
          <w:vertAlign w:val="subscript"/>
          <w:lang w:val="it-IT"/>
        </w:rPr>
        <w:t>50</w:t>
      </w:r>
      <w:r w:rsidRPr="00C9575C">
        <w:rPr>
          <w:szCs w:val="22"/>
          <w:lang w:val="it-IT"/>
        </w:rPr>
        <w:t xml:space="preserve"> per lamivudina contro ceppi di laboratorio di HIV-1 variava </w:t>
      </w:r>
      <w:r w:rsidR="00460397" w:rsidRPr="00C9575C">
        <w:rPr>
          <w:szCs w:val="22"/>
          <w:lang w:val="it-IT"/>
        </w:rPr>
        <w:t xml:space="preserve">da </w:t>
      </w:r>
      <w:smartTag w:uri="urn:schemas-microsoft-com:office:smarttags" w:element="metricconverter">
        <w:smartTagPr>
          <w:attr w:name="ProductID" w:val="0,007 a"/>
        </w:smartTagPr>
        <w:r w:rsidRPr="00C9575C">
          <w:rPr>
            <w:szCs w:val="22"/>
            <w:lang w:val="it-IT"/>
          </w:rPr>
          <w:t>0,007</w:t>
        </w:r>
        <w:r w:rsidR="00534653" w:rsidRPr="00C9575C">
          <w:rPr>
            <w:szCs w:val="22"/>
            <w:lang w:val="it-IT"/>
          </w:rPr>
          <w:t xml:space="preserve"> a</w:t>
        </w:r>
      </w:smartTag>
      <w:r w:rsidR="00534653" w:rsidRPr="00C9575C">
        <w:rPr>
          <w:szCs w:val="22"/>
          <w:lang w:val="it-IT"/>
        </w:rPr>
        <w:t xml:space="preserve"> </w:t>
      </w:r>
      <w:r w:rsidR="00460397" w:rsidRPr="00C9575C">
        <w:rPr>
          <w:szCs w:val="22"/>
          <w:lang w:val="it-IT"/>
        </w:rPr>
        <w:t>2,3 </w:t>
      </w:r>
      <w:r w:rsidRPr="00C9575C">
        <w:rPr>
          <w:szCs w:val="22"/>
          <w:lang w:val="it-IT"/>
        </w:rPr>
        <w:sym w:font="Symbol" w:char="F06D"/>
      </w:r>
      <w:r w:rsidRPr="00C9575C">
        <w:rPr>
          <w:szCs w:val="22"/>
          <w:lang w:val="it-IT"/>
        </w:rPr>
        <w:t>M. L'EC</w:t>
      </w:r>
      <w:r w:rsidRPr="00C9575C">
        <w:rPr>
          <w:szCs w:val="22"/>
          <w:vertAlign w:val="subscript"/>
          <w:lang w:val="it-IT"/>
        </w:rPr>
        <w:t>50</w:t>
      </w:r>
      <w:r w:rsidRPr="00C9575C">
        <w:rPr>
          <w:szCs w:val="22"/>
          <w:lang w:val="it-IT"/>
        </w:rPr>
        <w:t xml:space="preserve"> media contro ceppi di laboratorio di HIV-2 (LAV2 e</w:t>
      </w:r>
      <w:r w:rsidR="009F348C" w:rsidRPr="00C9575C">
        <w:rPr>
          <w:szCs w:val="22"/>
          <w:lang w:val="it-IT"/>
        </w:rPr>
        <w:t>d</w:t>
      </w:r>
      <w:r w:rsidRPr="00C9575C">
        <w:rPr>
          <w:szCs w:val="22"/>
          <w:lang w:val="it-IT"/>
        </w:rPr>
        <w:t xml:space="preserve"> EHO) variava </w:t>
      </w:r>
      <w:r w:rsidR="00460397" w:rsidRPr="00C9575C">
        <w:rPr>
          <w:szCs w:val="22"/>
          <w:lang w:val="it-IT"/>
        </w:rPr>
        <w:t>da 1,57°</w:t>
      </w:r>
      <w:r w:rsidR="00534653" w:rsidRPr="00C9575C">
        <w:rPr>
          <w:szCs w:val="22"/>
          <w:lang w:val="it-IT"/>
        </w:rPr>
        <w:t xml:space="preserve">a </w:t>
      </w:r>
      <w:r w:rsidR="00460397" w:rsidRPr="00C9575C">
        <w:rPr>
          <w:szCs w:val="22"/>
          <w:lang w:val="it-IT"/>
        </w:rPr>
        <w:t>7,5 </w:t>
      </w:r>
      <w:r w:rsidRPr="00C9575C">
        <w:rPr>
          <w:szCs w:val="22"/>
          <w:lang w:val="it-IT"/>
        </w:rPr>
        <w:sym w:font="Symbol" w:char="F06D"/>
      </w:r>
      <w:r w:rsidRPr="00C9575C">
        <w:rPr>
          <w:szCs w:val="22"/>
          <w:lang w:val="it-IT"/>
        </w:rPr>
        <w:t xml:space="preserve">M per abacavir e </w:t>
      </w:r>
      <w:r w:rsidR="00460397" w:rsidRPr="00C9575C">
        <w:rPr>
          <w:szCs w:val="22"/>
          <w:lang w:val="it-IT"/>
        </w:rPr>
        <w:t xml:space="preserve">da </w:t>
      </w:r>
      <w:smartTag w:uri="urn:schemas-microsoft-com:office:smarttags" w:element="metricconverter">
        <w:smartTagPr>
          <w:attr w:name="ProductID" w:val="0,16 a"/>
        </w:smartTagPr>
        <w:r w:rsidR="00460397" w:rsidRPr="00C9575C">
          <w:rPr>
            <w:szCs w:val="22"/>
            <w:lang w:val="it-IT"/>
          </w:rPr>
          <w:t xml:space="preserve">0,16 </w:t>
        </w:r>
        <w:r w:rsidR="00534653" w:rsidRPr="00C9575C">
          <w:rPr>
            <w:szCs w:val="22"/>
            <w:lang w:val="it-IT"/>
          </w:rPr>
          <w:t>a</w:t>
        </w:r>
      </w:smartTag>
      <w:r w:rsidR="00534653" w:rsidRPr="00C9575C">
        <w:rPr>
          <w:szCs w:val="22"/>
          <w:lang w:val="it-IT"/>
        </w:rPr>
        <w:t xml:space="preserve"> </w:t>
      </w:r>
      <w:r w:rsidR="00460397" w:rsidRPr="00C9575C">
        <w:rPr>
          <w:szCs w:val="22"/>
          <w:lang w:val="it-IT"/>
        </w:rPr>
        <w:t>0,51 </w:t>
      </w:r>
      <w:r w:rsidRPr="00C9575C">
        <w:rPr>
          <w:szCs w:val="22"/>
          <w:lang w:val="it-IT"/>
        </w:rPr>
        <w:sym w:font="Symbol" w:char="F06D"/>
      </w:r>
      <w:r w:rsidRPr="00C9575C">
        <w:rPr>
          <w:szCs w:val="22"/>
          <w:lang w:val="it-IT"/>
        </w:rPr>
        <w:t>M per lamivudina.</w:t>
      </w:r>
    </w:p>
    <w:p w14:paraId="5E56CC81" w14:textId="77777777" w:rsidR="00F962D5" w:rsidRPr="00C9575C" w:rsidRDefault="00F962D5">
      <w:pPr>
        <w:widowControl w:val="0"/>
        <w:rPr>
          <w:szCs w:val="22"/>
          <w:lang w:val="it-IT"/>
        </w:rPr>
      </w:pPr>
      <w:r w:rsidRPr="00C9575C">
        <w:rPr>
          <w:szCs w:val="22"/>
          <w:lang w:val="it-IT"/>
        </w:rPr>
        <w:lastRenderedPageBreak/>
        <w:t xml:space="preserve">I valori </w:t>
      </w:r>
      <w:r w:rsidR="00534653" w:rsidRPr="00C9575C">
        <w:rPr>
          <w:szCs w:val="22"/>
          <w:lang w:val="it-IT"/>
        </w:rPr>
        <w:t xml:space="preserve">di </w:t>
      </w:r>
      <w:r w:rsidRPr="00C9575C">
        <w:rPr>
          <w:szCs w:val="22"/>
          <w:lang w:val="it-IT"/>
        </w:rPr>
        <w:t>EC</w:t>
      </w:r>
      <w:r w:rsidRPr="00C9575C">
        <w:rPr>
          <w:szCs w:val="22"/>
          <w:vertAlign w:val="subscript"/>
          <w:lang w:val="it-IT"/>
        </w:rPr>
        <w:t>50</w:t>
      </w:r>
      <w:r w:rsidRPr="00C9575C">
        <w:rPr>
          <w:szCs w:val="22"/>
          <w:lang w:val="it-IT"/>
        </w:rPr>
        <w:t xml:space="preserve"> di abacavir contro</w:t>
      </w:r>
      <w:r w:rsidR="00534653" w:rsidRPr="00C9575C">
        <w:rPr>
          <w:szCs w:val="22"/>
          <w:lang w:val="it-IT"/>
        </w:rPr>
        <w:t xml:space="preserve"> </w:t>
      </w:r>
      <w:r w:rsidR="00782628" w:rsidRPr="00C9575C">
        <w:rPr>
          <w:szCs w:val="22"/>
          <w:lang w:val="it-IT"/>
        </w:rPr>
        <w:t xml:space="preserve">i </w:t>
      </w:r>
      <w:r w:rsidR="00534653" w:rsidRPr="00C9575C">
        <w:rPr>
          <w:szCs w:val="22"/>
          <w:lang w:val="it-IT"/>
        </w:rPr>
        <w:t xml:space="preserve">sottotipi </w:t>
      </w:r>
      <w:r w:rsidR="00742480" w:rsidRPr="00C9575C">
        <w:rPr>
          <w:szCs w:val="22"/>
          <w:lang w:val="it-IT"/>
        </w:rPr>
        <w:t xml:space="preserve">(A-G) </w:t>
      </w:r>
      <w:r w:rsidR="00534653" w:rsidRPr="00C9575C">
        <w:rPr>
          <w:szCs w:val="22"/>
          <w:lang w:val="it-IT"/>
        </w:rPr>
        <w:t>del g</w:t>
      </w:r>
      <w:r w:rsidRPr="00C9575C">
        <w:rPr>
          <w:szCs w:val="22"/>
          <w:lang w:val="it-IT"/>
        </w:rPr>
        <w:t xml:space="preserve">ruppo M </w:t>
      </w:r>
      <w:r w:rsidR="00782628" w:rsidRPr="00C9575C">
        <w:rPr>
          <w:szCs w:val="22"/>
          <w:lang w:val="it-IT"/>
        </w:rPr>
        <w:t>dell</w:t>
      </w:r>
      <w:r w:rsidR="00534653" w:rsidRPr="00C9575C">
        <w:rPr>
          <w:szCs w:val="22"/>
          <w:lang w:val="it-IT"/>
        </w:rPr>
        <w:t xml:space="preserve">'HIV-1 </w:t>
      </w:r>
      <w:r w:rsidRPr="00C9575C">
        <w:rPr>
          <w:szCs w:val="22"/>
          <w:lang w:val="it-IT"/>
        </w:rPr>
        <w:t>variava</w:t>
      </w:r>
      <w:r w:rsidR="00782628" w:rsidRPr="00C9575C">
        <w:rPr>
          <w:szCs w:val="22"/>
          <w:lang w:val="it-IT"/>
        </w:rPr>
        <w:t xml:space="preserve">no da </w:t>
      </w:r>
      <w:smartTag w:uri="urn:schemas-microsoft-com:office:smarttags" w:element="metricconverter">
        <w:smartTagPr>
          <w:attr w:name="ProductID" w:val="0,002 a"/>
        </w:smartTagPr>
        <w:r w:rsidRPr="00C9575C">
          <w:rPr>
            <w:szCs w:val="22"/>
            <w:lang w:val="it-IT"/>
          </w:rPr>
          <w:t>0,002</w:t>
        </w:r>
        <w:r w:rsidR="00782628" w:rsidRPr="00C9575C">
          <w:rPr>
            <w:szCs w:val="22"/>
            <w:lang w:val="it-IT"/>
          </w:rPr>
          <w:t xml:space="preserve"> a</w:t>
        </w:r>
      </w:smartTag>
      <w:r w:rsidR="00782628" w:rsidRPr="00C9575C">
        <w:rPr>
          <w:szCs w:val="22"/>
          <w:lang w:val="it-IT"/>
        </w:rPr>
        <w:t xml:space="preserve"> 1,179 </w:t>
      </w:r>
      <w:r w:rsidRPr="00C9575C">
        <w:rPr>
          <w:szCs w:val="22"/>
          <w:lang w:val="it-IT"/>
        </w:rPr>
        <w:sym w:font="Symbol" w:char="F06D"/>
      </w:r>
      <w:r w:rsidRPr="00C9575C">
        <w:rPr>
          <w:szCs w:val="22"/>
          <w:lang w:val="it-IT"/>
        </w:rPr>
        <w:t xml:space="preserve">M, contro il gruppo O </w:t>
      </w:r>
      <w:r w:rsidR="00782628" w:rsidRPr="00C9575C">
        <w:rPr>
          <w:szCs w:val="22"/>
          <w:lang w:val="it-IT"/>
        </w:rPr>
        <w:t xml:space="preserve">da </w:t>
      </w:r>
      <w:smartTag w:uri="urn:schemas-microsoft-com:office:smarttags" w:element="metricconverter">
        <w:smartTagPr>
          <w:attr w:name="ProductID" w:val="0,022 a"/>
        </w:smartTagPr>
        <w:r w:rsidRPr="00C9575C">
          <w:rPr>
            <w:szCs w:val="22"/>
            <w:lang w:val="it-IT"/>
          </w:rPr>
          <w:t>0,022</w:t>
        </w:r>
        <w:r w:rsidR="00782628" w:rsidRPr="00C9575C">
          <w:rPr>
            <w:szCs w:val="22"/>
            <w:lang w:val="it-IT"/>
          </w:rPr>
          <w:t xml:space="preserve"> a</w:t>
        </w:r>
      </w:smartTag>
      <w:r w:rsidR="00782628" w:rsidRPr="00C9575C">
        <w:rPr>
          <w:szCs w:val="22"/>
          <w:lang w:val="it-IT"/>
        </w:rPr>
        <w:t xml:space="preserve"> 1,21 </w:t>
      </w:r>
      <w:r w:rsidRPr="00C9575C">
        <w:rPr>
          <w:szCs w:val="22"/>
          <w:lang w:val="it-IT"/>
        </w:rPr>
        <w:sym w:font="Symbol" w:char="F06D"/>
      </w:r>
      <w:r w:rsidRPr="00C9575C">
        <w:rPr>
          <w:szCs w:val="22"/>
          <w:lang w:val="it-IT"/>
        </w:rPr>
        <w:t xml:space="preserve">M, e contro </w:t>
      </w:r>
      <w:r w:rsidR="00782628" w:rsidRPr="00C9575C">
        <w:rPr>
          <w:szCs w:val="22"/>
          <w:lang w:val="it-IT"/>
        </w:rPr>
        <w:t>gli isolati dell'HIV-2</w:t>
      </w:r>
      <w:r w:rsidRPr="00C9575C">
        <w:rPr>
          <w:szCs w:val="22"/>
          <w:lang w:val="it-IT"/>
        </w:rPr>
        <w:t>,</w:t>
      </w:r>
      <w:r w:rsidR="00782628" w:rsidRPr="00C9575C">
        <w:rPr>
          <w:szCs w:val="22"/>
          <w:lang w:val="it-IT"/>
        </w:rPr>
        <w:t xml:space="preserve"> da </w:t>
      </w:r>
      <w:smartTag w:uri="urn:schemas-microsoft-com:office:smarttags" w:element="metricconverter">
        <w:smartTagPr>
          <w:attr w:name="ProductID" w:val="0,024 a"/>
        </w:smartTagPr>
        <w:r w:rsidR="00782628" w:rsidRPr="00C9575C">
          <w:rPr>
            <w:szCs w:val="22"/>
            <w:lang w:val="it-IT"/>
          </w:rPr>
          <w:t>0,024 a</w:t>
        </w:r>
      </w:smartTag>
      <w:r w:rsidR="00782628" w:rsidRPr="00C9575C">
        <w:rPr>
          <w:szCs w:val="22"/>
          <w:lang w:val="it-IT"/>
        </w:rPr>
        <w:t xml:space="preserve"> 0,49 </w:t>
      </w:r>
      <w:r w:rsidRPr="00C9575C">
        <w:rPr>
          <w:szCs w:val="22"/>
          <w:lang w:val="it-IT"/>
        </w:rPr>
        <w:sym w:font="Symbol" w:char="F06D"/>
      </w:r>
      <w:r w:rsidRPr="00C9575C">
        <w:rPr>
          <w:szCs w:val="22"/>
          <w:lang w:val="it-IT"/>
        </w:rPr>
        <w:t xml:space="preserve">M. Per </w:t>
      </w:r>
      <w:r w:rsidR="00782628" w:rsidRPr="00C9575C">
        <w:rPr>
          <w:szCs w:val="22"/>
          <w:lang w:val="it-IT"/>
        </w:rPr>
        <w:t xml:space="preserve">la </w:t>
      </w:r>
      <w:r w:rsidRPr="00C9575C">
        <w:rPr>
          <w:szCs w:val="22"/>
          <w:lang w:val="it-IT"/>
        </w:rPr>
        <w:t>lamivudina, i valori di EC</w:t>
      </w:r>
      <w:r w:rsidRPr="00C9575C">
        <w:rPr>
          <w:szCs w:val="22"/>
          <w:vertAlign w:val="subscript"/>
          <w:lang w:val="it-IT"/>
        </w:rPr>
        <w:t>50</w:t>
      </w:r>
      <w:r w:rsidRPr="00C9575C">
        <w:rPr>
          <w:szCs w:val="22"/>
          <w:lang w:val="it-IT"/>
        </w:rPr>
        <w:t xml:space="preserve"> contro </w:t>
      </w:r>
      <w:r w:rsidR="00782628" w:rsidRPr="00C9575C">
        <w:rPr>
          <w:szCs w:val="22"/>
          <w:lang w:val="it-IT"/>
        </w:rPr>
        <w:t>i sottotipi (A-G) dell'HIV-1</w:t>
      </w:r>
      <w:r w:rsidRPr="00C9575C">
        <w:rPr>
          <w:szCs w:val="22"/>
          <w:lang w:val="it-IT"/>
        </w:rPr>
        <w:t xml:space="preserve"> variava</w:t>
      </w:r>
      <w:r w:rsidR="00742480" w:rsidRPr="00C9575C">
        <w:rPr>
          <w:szCs w:val="22"/>
          <w:lang w:val="it-IT"/>
        </w:rPr>
        <w:t>no</w:t>
      </w:r>
      <w:r w:rsidRPr="00C9575C">
        <w:rPr>
          <w:szCs w:val="22"/>
          <w:lang w:val="it-IT"/>
        </w:rPr>
        <w:t xml:space="preserve"> </w:t>
      </w:r>
      <w:r w:rsidR="00782628" w:rsidRPr="00C9575C">
        <w:rPr>
          <w:szCs w:val="22"/>
          <w:lang w:val="it-IT"/>
        </w:rPr>
        <w:t xml:space="preserve">da </w:t>
      </w:r>
      <w:smartTag w:uri="urn:schemas-microsoft-com:office:smarttags" w:element="metricconverter">
        <w:smartTagPr>
          <w:attr w:name="ProductID" w:val="0,001 a"/>
        </w:smartTagPr>
        <w:r w:rsidRPr="00C9575C">
          <w:rPr>
            <w:szCs w:val="22"/>
            <w:lang w:val="it-IT"/>
          </w:rPr>
          <w:t>0,001</w:t>
        </w:r>
        <w:r w:rsidR="00782628" w:rsidRPr="00C9575C">
          <w:rPr>
            <w:szCs w:val="22"/>
            <w:lang w:val="it-IT"/>
          </w:rPr>
          <w:t xml:space="preserve"> a</w:t>
        </w:r>
      </w:smartTag>
      <w:r w:rsidR="00782628" w:rsidRPr="00C9575C">
        <w:rPr>
          <w:szCs w:val="22"/>
          <w:lang w:val="it-IT"/>
        </w:rPr>
        <w:t xml:space="preserve"> 0,170 </w:t>
      </w:r>
      <w:r w:rsidRPr="00C9575C">
        <w:rPr>
          <w:szCs w:val="22"/>
          <w:lang w:val="it-IT"/>
        </w:rPr>
        <w:sym w:font="Symbol" w:char="F06D"/>
      </w:r>
      <w:r w:rsidR="00782628" w:rsidRPr="00C9575C">
        <w:rPr>
          <w:szCs w:val="22"/>
          <w:lang w:val="it-IT"/>
        </w:rPr>
        <w:t>M, contro il gruppo O</w:t>
      </w:r>
      <w:r w:rsidRPr="00C9575C">
        <w:rPr>
          <w:szCs w:val="22"/>
          <w:lang w:val="it-IT"/>
        </w:rPr>
        <w:t>,</w:t>
      </w:r>
      <w:r w:rsidR="00782628" w:rsidRPr="00C9575C">
        <w:rPr>
          <w:szCs w:val="22"/>
          <w:lang w:val="it-IT"/>
        </w:rPr>
        <w:t xml:space="preserve"> da </w:t>
      </w:r>
      <w:smartTag w:uri="urn:schemas-microsoft-com:office:smarttags" w:element="metricconverter">
        <w:smartTagPr>
          <w:attr w:name="ProductID" w:val="0,030 a"/>
        </w:smartTagPr>
        <w:r w:rsidRPr="00C9575C">
          <w:rPr>
            <w:szCs w:val="22"/>
            <w:lang w:val="it-IT"/>
          </w:rPr>
          <w:t>0</w:t>
        </w:r>
        <w:r w:rsidR="001F146E" w:rsidRPr="00C9575C">
          <w:rPr>
            <w:szCs w:val="22"/>
            <w:lang w:val="it-IT"/>
          </w:rPr>
          <w:t>,0</w:t>
        </w:r>
        <w:r w:rsidRPr="00C9575C">
          <w:rPr>
            <w:szCs w:val="22"/>
            <w:lang w:val="it-IT"/>
          </w:rPr>
          <w:t>30</w:t>
        </w:r>
        <w:r w:rsidR="00782628" w:rsidRPr="00C9575C">
          <w:rPr>
            <w:szCs w:val="22"/>
            <w:lang w:val="it-IT"/>
          </w:rPr>
          <w:t xml:space="preserve"> a</w:t>
        </w:r>
      </w:smartTag>
      <w:r w:rsidR="00782628" w:rsidRPr="00C9575C">
        <w:rPr>
          <w:szCs w:val="22"/>
          <w:lang w:val="it-IT"/>
        </w:rPr>
        <w:t xml:space="preserve"> 0,160 </w:t>
      </w:r>
      <w:r w:rsidRPr="00C9575C">
        <w:rPr>
          <w:szCs w:val="22"/>
          <w:lang w:val="it-IT"/>
        </w:rPr>
        <w:sym w:font="Symbol" w:char="F06D"/>
      </w:r>
      <w:r w:rsidRPr="00C9575C">
        <w:rPr>
          <w:szCs w:val="22"/>
          <w:lang w:val="it-IT"/>
        </w:rPr>
        <w:t xml:space="preserve">M e contro </w:t>
      </w:r>
      <w:r w:rsidR="00782628" w:rsidRPr="00C9575C">
        <w:rPr>
          <w:szCs w:val="22"/>
          <w:lang w:val="it-IT"/>
        </w:rPr>
        <w:t>gli isolati del</w:t>
      </w:r>
      <w:r w:rsidRPr="00C9575C">
        <w:rPr>
          <w:szCs w:val="22"/>
          <w:lang w:val="it-IT"/>
        </w:rPr>
        <w:t xml:space="preserve">l'HIV-2 </w:t>
      </w:r>
      <w:r w:rsidR="00782628" w:rsidRPr="00C9575C">
        <w:rPr>
          <w:szCs w:val="22"/>
          <w:lang w:val="it-IT"/>
        </w:rPr>
        <w:t xml:space="preserve">da </w:t>
      </w:r>
      <w:smartTag w:uri="urn:schemas-microsoft-com:office:smarttags" w:element="metricconverter">
        <w:smartTagPr>
          <w:attr w:name="ProductID" w:val="0,002 a"/>
        </w:smartTagPr>
        <w:r w:rsidR="00782628" w:rsidRPr="00C9575C">
          <w:rPr>
            <w:szCs w:val="22"/>
            <w:lang w:val="it-IT"/>
          </w:rPr>
          <w:t>0,002 a</w:t>
        </w:r>
      </w:smartTag>
      <w:r w:rsidR="00782628" w:rsidRPr="00C9575C">
        <w:rPr>
          <w:szCs w:val="22"/>
          <w:lang w:val="it-IT"/>
        </w:rPr>
        <w:t xml:space="preserve"> </w:t>
      </w:r>
      <w:r w:rsidRPr="00C9575C">
        <w:rPr>
          <w:szCs w:val="22"/>
          <w:lang w:val="it-IT"/>
        </w:rPr>
        <w:t>0,120</w:t>
      </w:r>
      <w:r w:rsidR="00782628" w:rsidRPr="00C9575C">
        <w:rPr>
          <w:szCs w:val="22"/>
          <w:lang w:val="it-IT"/>
        </w:rPr>
        <w:t> </w:t>
      </w:r>
      <w:r w:rsidRPr="00C9575C">
        <w:rPr>
          <w:szCs w:val="22"/>
          <w:lang w:val="it-IT"/>
        </w:rPr>
        <w:sym w:font="Symbol" w:char="F06D"/>
      </w:r>
      <w:r w:rsidRPr="00C9575C">
        <w:rPr>
          <w:szCs w:val="22"/>
          <w:lang w:val="it-IT"/>
        </w:rPr>
        <w:t>M nelle cellule mononucleari del sangue periferico.</w:t>
      </w:r>
    </w:p>
    <w:p w14:paraId="42F05D96" w14:textId="77777777" w:rsidR="00F316C3" w:rsidRPr="00C9575C" w:rsidRDefault="00F316C3">
      <w:pPr>
        <w:widowControl w:val="0"/>
        <w:rPr>
          <w:szCs w:val="22"/>
          <w:lang w:val="it-IT"/>
        </w:rPr>
      </w:pPr>
    </w:p>
    <w:p w14:paraId="1A430C7A" w14:textId="00FF02ED" w:rsidR="00782628" w:rsidRPr="00C9575C" w:rsidRDefault="00B56F4A">
      <w:pPr>
        <w:widowControl w:val="0"/>
        <w:rPr>
          <w:szCs w:val="22"/>
          <w:lang w:val="it-IT"/>
        </w:rPr>
      </w:pPr>
      <w:r w:rsidRPr="00C9575C">
        <w:rPr>
          <w:szCs w:val="22"/>
          <w:lang w:val="it-IT"/>
        </w:rPr>
        <w:t>C</w:t>
      </w:r>
      <w:r w:rsidR="00F316C3" w:rsidRPr="00C9575C">
        <w:rPr>
          <w:szCs w:val="22"/>
          <w:lang w:val="it-IT"/>
        </w:rPr>
        <w:t xml:space="preserve">ampioni </w:t>
      </w:r>
      <w:r w:rsidRPr="00C9575C">
        <w:rPr>
          <w:szCs w:val="22"/>
          <w:lang w:val="it-IT"/>
        </w:rPr>
        <w:t xml:space="preserve">di HIV-1 </w:t>
      </w:r>
      <w:r w:rsidR="0055313A" w:rsidRPr="00C9575C">
        <w:rPr>
          <w:szCs w:val="22"/>
          <w:lang w:val="it-IT"/>
        </w:rPr>
        <w:t xml:space="preserve">al basale </w:t>
      </w:r>
      <w:r w:rsidRPr="00C9575C">
        <w:rPr>
          <w:szCs w:val="22"/>
          <w:lang w:val="it-IT"/>
        </w:rPr>
        <w:t xml:space="preserve">prelevati </w:t>
      </w:r>
      <w:r w:rsidR="00F316C3" w:rsidRPr="00C9575C">
        <w:rPr>
          <w:szCs w:val="22"/>
          <w:lang w:val="it-IT"/>
        </w:rPr>
        <w:t xml:space="preserve">da soggetti </w:t>
      </w:r>
      <w:r w:rsidR="00F316C3" w:rsidRPr="00C9575C">
        <w:rPr>
          <w:i/>
          <w:szCs w:val="22"/>
          <w:lang w:val="it-IT"/>
        </w:rPr>
        <w:t>naïve</w:t>
      </w:r>
      <w:r w:rsidR="00F316C3" w:rsidRPr="00C9575C">
        <w:rPr>
          <w:szCs w:val="22"/>
          <w:lang w:val="it-IT"/>
        </w:rPr>
        <w:t xml:space="preserve"> alla terapia senza </w:t>
      </w:r>
      <w:r w:rsidR="00507C54" w:rsidRPr="00C9575C">
        <w:rPr>
          <w:szCs w:val="22"/>
          <w:lang w:val="it-IT"/>
        </w:rPr>
        <w:t xml:space="preserve">nessuna </w:t>
      </w:r>
      <w:r w:rsidR="00F316C3" w:rsidRPr="00C9575C">
        <w:rPr>
          <w:szCs w:val="22"/>
          <w:lang w:val="it-IT"/>
        </w:rPr>
        <w:t>sostituzion</w:t>
      </w:r>
      <w:r w:rsidR="00507C54" w:rsidRPr="00C9575C">
        <w:rPr>
          <w:szCs w:val="22"/>
          <w:lang w:val="it-IT"/>
        </w:rPr>
        <w:t>e</w:t>
      </w:r>
      <w:r w:rsidR="00F316C3" w:rsidRPr="00C9575C">
        <w:rPr>
          <w:szCs w:val="22"/>
          <w:lang w:val="it-IT"/>
        </w:rPr>
        <w:t xml:space="preserve"> di aminoacidi associat</w:t>
      </w:r>
      <w:r w:rsidR="00507C54" w:rsidRPr="00C9575C">
        <w:rPr>
          <w:szCs w:val="22"/>
          <w:lang w:val="it-IT"/>
        </w:rPr>
        <w:t>a</w:t>
      </w:r>
      <w:r w:rsidR="00F316C3" w:rsidRPr="00C9575C">
        <w:rPr>
          <w:szCs w:val="22"/>
          <w:lang w:val="it-IT"/>
        </w:rPr>
        <w:t xml:space="preserve"> </w:t>
      </w:r>
      <w:r w:rsidR="00507C54" w:rsidRPr="00C9575C">
        <w:rPr>
          <w:szCs w:val="22"/>
          <w:lang w:val="it-IT"/>
        </w:rPr>
        <w:t>a</w:t>
      </w:r>
      <w:r w:rsidR="00F316C3" w:rsidRPr="00C9575C">
        <w:rPr>
          <w:szCs w:val="22"/>
          <w:lang w:val="it-IT"/>
        </w:rPr>
        <w:t xml:space="preserve"> </w:t>
      </w:r>
      <w:r w:rsidR="00F316C3" w:rsidRPr="00C9575C">
        <w:rPr>
          <w:i/>
          <w:szCs w:val="22"/>
          <w:lang w:val="it-IT"/>
        </w:rPr>
        <w:t>resistenza</w:t>
      </w:r>
      <w:r w:rsidR="0017554C" w:rsidRPr="00C9575C">
        <w:rPr>
          <w:i/>
          <w:szCs w:val="22"/>
          <w:lang w:val="it-IT"/>
        </w:rPr>
        <w:t>,</w:t>
      </w:r>
      <w:r w:rsidR="00F316C3" w:rsidRPr="00C9575C">
        <w:rPr>
          <w:szCs w:val="22"/>
          <w:lang w:val="it-IT"/>
        </w:rPr>
        <w:t xml:space="preserve"> </w:t>
      </w:r>
      <w:r w:rsidRPr="00C9575C">
        <w:rPr>
          <w:szCs w:val="22"/>
          <w:lang w:val="it-IT"/>
        </w:rPr>
        <w:t xml:space="preserve">sono stati analizzati </w:t>
      </w:r>
      <w:r w:rsidR="00F316C3" w:rsidRPr="00C9575C">
        <w:rPr>
          <w:szCs w:val="22"/>
          <w:lang w:val="it-IT"/>
        </w:rPr>
        <w:t xml:space="preserve">utilizzando </w:t>
      </w:r>
      <w:r w:rsidR="00D63334" w:rsidRPr="00C9575C">
        <w:rPr>
          <w:szCs w:val="22"/>
          <w:lang w:val="it-IT"/>
        </w:rPr>
        <w:t>il test</w:t>
      </w:r>
      <w:r w:rsidR="00F316C3" w:rsidRPr="00C9575C">
        <w:rPr>
          <w:szCs w:val="22"/>
          <w:lang w:val="it-IT"/>
        </w:rPr>
        <w:t xml:space="preserve"> </w:t>
      </w:r>
      <w:r w:rsidR="00D63334" w:rsidRPr="00C9575C">
        <w:rPr>
          <w:szCs w:val="22"/>
          <w:lang w:val="it-IT"/>
        </w:rPr>
        <w:t xml:space="preserve">a più cicli </w:t>
      </w:r>
      <w:r w:rsidR="00F316C3" w:rsidRPr="00C9575C">
        <w:rPr>
          <w:szCs w:val="22"/>
          <w:lang w:val="it-IT"/>
        </w:rPr>
        <w:t>Virco Antivirogram</w:t>
      </w:r>
      <w:r w:rsidR="00D63334" w:rsidRPr="00C9575C">
        <w:rPr>
          <w:szCs w:val="22"/>
          <w:lang w:val="it-IT"/>
        </w:rPr>
        <w:t> </w:t>
      </w:r>
      <w:r w:rsidR="00F316C3" w:rsidRPr="00C9575C">
        <w:rPr>
          <w:szCs w:val="22"/>
          <w:lang w:val="it-IT"/>
        </w:rPr>
        <w:t xml:space="preserve">™ (n = 92 da COL40263) o il </w:t>
      </w:r>
      <w:r w:rsidR="00D63334" w:rsidRPr="00C9575C">
        <w:rPr>
          <w:szCs w:val="22"/>
          <w:lang w:val="it-IT"/>
        </w:rPr>
        <w:t xml:space="preserve">test a </w:t>
      </w:r>
      <w:r w:rsidR="00F316C3" w:rsidRPr="00C9575C">
        <w:rPr>
          <w:szCs w:val="22"/>
          <w:lang w:val="it-IT"/>
        </w:rPr>
        <w:t>singolo ciclo Monogram Bioscience</w:t>
      </w:r>
      <w:r w:rsidR="00D63334" w:rsidRPr="00C9575C">
        <w:rPr>
          <w:szCs w:val="22"/>
          <w:lang w:val="it-IT"/>
        </w:rPr>
        <w:t>s PhenoSense </w:t>
      </w:r>
      <w:r w:rsidR="00F316C3" w:rsidRPr="00C9575C">
        <w:rPr>
          <w:szCs w:val="22"/>
          <w:lang w:val="it-IT"/>
        </w:rPr>
        <w:t>™ (n = 138 da ESS30009). Quest</w:t>
      </w:r>
      <w:r w:rsidR="00D63334" w:rsidRPr="00C9575C">
        <w:rPr>
          <w:szCs w:val="22"/>
          <w:lang w:val="it-IT"/>
        </w:rPr>
        <w:t xml:space="preserve">i hanno evidenziato valori di </w:t>
      </w:r>
      <w:r w:rsidR="00F316C3" w:rsidRPr="00C9575C">
        <w:rPr>
          <w:szCs w:val="22"/>
          <w:lang w:val="it-IT"/>
        </w:rPr>
        <w:t>EC</w:t>
      </w:r>
      <w:r w:rsidR="00F316C3" w:rsidRPr="00C9575C">
        <w:rPr>
          <w:szCs w:val="22"/>
          <w:vertAlign w:val="subscript"/>
          <w:lang w:val="it-IT"/>
        </w:rPr>
        <w:t>50</w:t>
      </w:r>
      <w:r w:rsidR="00F316C3" w:rsidRPr="00C9575C">
        <w:rPr>
          <w:szCs w:val="22"/>
          <w:lang w:val="it-IT"/>
        </w:rPr>
        <w:t xml:space="preserve"> </w:t>
      </w:r>
      <w:r w:rsidR="00856DC2" w:rsidRPr="00C9575C">
        <w:rPr>
          <w:szCs w:val="22"/>
          <w:lang w:val="it-IT"/>
        </w:rPr>
        <w:t>mediani</w:t>
      </w:r>
      <w:r w:rsidR="00D63334" w:rsidRPr="00C9575C">
        <w:rPr>
          <w:szCs w:val="22"/>
          <w:lang w:val="it-IT"/>
        </w:rPr>
        <w:t xml:space="preserve"> di 0,912 </w:t>
      </w:r>
      <w:r w:rsidR="00F316C3" w:rsidRPr="00C9575C">
        <w:rPr>
          <w:szCs w:val="22"/>
          <w:lang w:val="it-IT"/>
        </w:rPr>
        <w:sym w:font="Symbol" w:char="F06D"/>
      </w:r>
      <w:r w:rsidR="00D63334" w:rsidRPr="00C9575C">
        <w:rPr>
          <w:szCs w:val="22"/>
          <w:lang w:val="it-IT"/>
        </w:rPr>
        <w:t xml:space="preserve">M (range: da </w:t>
      </w:r>
      <w:smartTag w:uri="urn:schemas-microsoft-com:office:smarttags" w:element="metricconverter">
        <w:smartTagPr>
          <w:attr w:name="ProductID" w:val="0,493 a"/>
        </w:smartTagPr>
        <w:r w:rsidR="00D63334" w:rsidRPr="00C9575C">
          <w:rPr>
            <w:szCs w:val="22"/>
            <w:lang w:val="it-IT"/>
          </w:rPr>
          <w:t>0,493 a</w:t>
        </w:r>
      </w:smartTag>
      <w:r w:rsidR="00D63334" w:rsidRPr="00C9575C">
        <w:rPr>
          <w:szCs w:val="22"/>
          <w:lang w:val="it-IT"/>
        </w:rPr>
        <w:t xml:space="preserve"> 5,017 </w:t>
      </w:r>
      <w:r w:rsidR="00F316C3" w:rsidRPr="00C9575C">
        <w:rPr>
          <w:szCs w:val="22"/>
          <w:lang w:val="it-IT"/>
        </w:rPr>
        <w:sym w:font="Symbol" w:char="F06D"/>
      </w:r>
      <w:r w:rsidR="00F316C3" w:rsidRPr="00C9575C">
        <w:rPr>
          <w:szCs w:val="22"/>
          <w:lang w:val="it-IT"/>
        </w:rPr>
        <w:t>M) e 1,26</w:t>
      </w:r>
      <w:r w:rsidR="00D63334" w:rsidRPr="00C9575C">
        <w:rPr>
          <w:szCs w:val="22"/>
          <w:lang w:val="it-IT"/>
        </w:rPr>
        <w:t> </w:t>
      </w:r>
      <w:r w:rsidR="00D63334" w:rsidRPr="00C9575C">
        <w:rPr>
          <w:szCs w:val="22"/>
          <w:lang w:val="it-IT"/>
        </w:rPr>
        <w:sym w:font="Symbol" w:char="F06D"/>
      </w:r>
      <w:r w:rsidR="00D63334" w:rsidRPr="00C9575C">
        <w:rPr>
          <w:szCs w:val="22"/>
          <w:lang w:val="it-IT"/>
        </w:rPr>
        <w:t xml:space="preserve">M (range: da </w:t>
      </w:r>
      <w:smartTag w:uri="urn:schemas-microsoft-com:office:smarttags" w:element="metricconverter">
        <w:smartTagPr>
          <w:attr w:name="ProductID" w:val="0,72 a"/>
        </w:smartTagPr>
        <w:r w:rsidR="00D63334" w:rsidRPr="00C9575C">
          <w:rPr>
            <w:szCs w:val="22"/>
            <w:lang w:val="it-IT"/>
          </w:rPr>
          <w:t>0,72 a</w:t>
        </w:r>
      </w:smartTag>
      <w:r w:rsidR="00D63334" w:rsidRPr="00C9575C">
        <w:rPr>
          <w:szCs w:val="22"/>
          <w:lang w:val="it-IT"/>
        </w:rPr>
        <w:t xml:space="preserve"> 1,91 </w:t>
      </w:r>
      <w:r w:rsidR="00F316C3" w:rsidRPr="00C9575C">
        <w:rPr>
          <w:szCs w:val="22"/>
          <w:lang w:val="it-IT"/>
        </w:rPr>
        <w:sym w:font="Symbol" w:char="F06D"/>
      </w:r>
      <w:r w:rsidR="00F316C3" w:rsidRPr="00C9575C">
        <w:rPr>
          <w:szCs w:val="22"/>
          <w:lang w:val="it-IT"/>
        </w:rPr>
        <w:t xml:space="preserve">M) rispettivamente per abacavir e valori </w:t>
      </w:r>
      <w:r w:rsidR="00D63334" w:rsidRPr="00C9575C">
        <w:rPr>
          <w:szCs w:val="22"/>
          <w:lang w:val="it-IT"/>
        </w:rPr>
        <w:t xml:space="preserve">di </w:t>
      </w:r>
      <w:r w:rsidR="00F316C3" w:rsidRPr="00C9575C">
        <w:rPr>
          <w:szCs w:val="22"/>
          <w:lang w:val="it-IT"/>
        </w:rPr>
        <w:t>EC</w:t>
      </w:r>
      <w:r w:rsidR="00F316C3" w:rsidRPr="00C9575C">
        <w:rPr>
          <w:szCs w:val="22"/>
          <w:vertAlign w:val="subscript"/>
          <w:lang w:val="it-IT"/>
        </w:rPr>
        <w:t>50</w:t>
      </w:r>
      <w:r w:rsidR="00D63334" w:rsidRPr="00C9575C">
        <w:rPr>
          <w:szCs w:val="22"/>
          <w:lang w:val="it-IT"/>
        </w:rPr>
        <w:t xml:space="preserve"> median</w:t>
      </w:r>
      <w:r w:rsidR="0017554C" w:rsidRPr="00C9575C">
        <w:rPr>
          <w:szCs w:val="22"/>
          <w:lang w:val="it-IT"/>
        </w:rPr>
        <w:t>i</w:t>
      </w:r>
      <w:r w:rsidR="00D63334" w:rsidRPr="00C9575C">
        <w:rPr>
          <w:szCs w:val="22"/>
          <w:lang w:val="it-IT"/>
        </w:rPr>
        <w:t xml:space="preserve"> di 0,429 </w:t>
      </w:r>
      <w:r w:rsidR="00F316C3" w:rsidRPr="00C9575C">
        <w:rPr>
          <w:szCs w:val="22"/>
          <w:lang w:val="it-IT"/>
        </w:rPr>
        <w:sym w:font="Symbol" w:char="F06D"/>
      </w:r>
      <w:r w:rsidR="00D63334" w:rsidRPr="00C9575C">
        <w:rPr>
          <w:szCs w:val="22"/>
          <w:lang w:val="it-IT"/>
        </w:rPr>
        <w:t xml:space="preserve">M (range: da </w:t>
      </w:r>
      <w:smartTag w:uri="urn:schemas-microsoft-com:office:smarttags" w:element="metricconverter">
        <w:smartTagPr>
          <w:attr w:name="ProductID" w:val="0,200 a"/>
        </w:smartTagPr>
        <w:r w:rsidR="00D63334" w:rsidRPr="00C9575C">
          <w:rPr>
            <w:szCs w:val="22"/>
            <w:lang w:val="it-IT"/>
          </w:rPr>
          <w:t>0,200 a</w:t>
        </w:r>
      </w:smartTag>
      <w:r w:rsidR="00D63334" w:rsidRPr="00C9575C">
        <w:rPr>
          <w:szCs w:val="22"/>
          <w:lang w:val="it-IT"/>
        </w:rPr>
        <w:t xml:space="preserve"> 2,007 </w:t>
      </w:r>
      <w:r w:rsidR="00F316C3" w:rsidRPr="00C9575C">
        <w:rPr>
          <w:szCs w:val="22"/>
          <w:lang w:val="it-IT"/>
        </w:rPr>
        <w:sym w:font="Symbol" w:char="F06D"/>
      </w:r>
      <w:r w:rsidR="00F316C3" w:rsidRPr="00C9575C">
        <w:rPr>
          <w:szCs w:val="22"/>
          <w:lang w:val="it-IT"/>
        </w:rPr>
        <w:t>M) e 2,38</w:t>
      </w:r>
      <w:r w:rsidR="00D63334" w:rsidRPr="00C9575C">
        <w:rPr>
          <w:szCs w:val="22"/>
          <w:lang w:val="it-IT"/>
        </w:rPr>
        <w:t> </w:t>
      </w:r>
      <w:r w:rsidR="00F316C3" w:rsidRPr="00C9575C">
        <w:rPr>
          <w:szCs w:val="22"/>
          <w:lang w:val="it-IT"/>
        </w:rPr>
        <w:sym w:font="Symbol" w:char="F06D"/>
      </w:r>
      <w:r w:rsidR="00F316C3" w:rsidRPr="00C9575C">
        <w:rPr>
          <w:szCs w:val="22"/>
          <w:lang w:val="it-IT"/>
        </w:rPr>
        <w:t>M (</w:t>
      </w:r>
      <w:r w:rsidR="00D63334" w:rsidRPr="00C9575C">
        <w:rPr>
          <w:szCs w:val="22"/>
          <w:lang w:val="it-IT"/>
        </w:rPr>
        <w:t xml:space="preserve">range: da </w:t>
      </w:r>
      <w:smartTag w:uri="urn:schemas-microsoft-com:office:smarttags" w:element="metricconverter">
        <w:smartTagPr>
          <w:attr w:name="ProductID" w:val="1,37 a"/>
        </w:smartTagPr>
        <w:r w:rsidR="00F316C3" w:rsidRPr="00C9575C">
          <w:rPr>
            <w:szCs w:val="22"/>
            <w:lang w:val="it-IT"/>
          </w:rPr>
          <w:t>1,3</w:t>
        </w:r>
        <w:r w:rsidR="00D63334" w:rsidRPr="00C9575C">
          <w:rPr>
            <w:szCs w:val="22"/>
            <w:lang w:val="it-IT"/>
          </w:rPr>
          <w:t>7 a</w:t>
        </w:r>
      </w:smartTag>
      <w:r w:rsidR="00D63334" w:rsidRPr="00C9575C">
        <w:rPr>
          <w:szCs w:val="22"/>
          <w:lang w:val="it-IT"/>
        </w:rPr>
        <w:t xml:space="preserve"> 3,68 </w:t>
      </w:r>
      <w:r w:rsidR="00D63334" w:rsidRPr="00C9575C">
        <w:rPr>
          <w:szCs w:val="22"/>
          <w:lang w:val="it-IT"/>
        </w:rPr>
        <w:sym w:font="Symbol" w:char="F06D"/>
      </w:r>
      <w:r w:rsidR="00D63334" w:rsidRPr="00C9575C">
        <w:rPr>
          <w:szCs w:val="22"/>
          <w:lang w:val="it-IT"/>
        </w:rPr>
        <w:t>M) rispettivamente per lamivudina.</w:t>
      </w:r>
    </w:p>
    <w:p w14:paraId="194254A7" w14:textId="77777777" w:rsidR="000933DE" w:rsidRPr="00C9575C" w:rsidRDefault="000933DE">
      <w:pPr>
        <w:widowControl w:val="0"/>
        <w:rPr>
          <w:szCs w:val="22"/>
          <w:lang w:val="it-IT"/>
        </w:rPr>
      </w:pPr>
    </w:p>
    <w:p w14:paraId="20B64437" w14:textId="77777777" w:rsidR="00383AA6" w:rsidRPr="00C9575C" w:rsidRDefault="000933DE" w:rsidP="00383AA6">
      <w:pPr>
        <w:rPr>
          <w:lang w:val="it-IT"/>
        </w:rPr>
      </w:pPr>
      <w:r w:rsidRPr="00C9575C">
        <w:rPr>
          <w:szCs w:val="22"/>
          <w:lang w:val="it-IT"/>
        </w:rPr>
        <w:t>Le a</w:t>
      </w:r>
      <w:r w:rsidR="00B776DC" w:rsidRPr="00C9575C">
        <w:rPr>
          <w:szCs w:val="22"/>
          <w:lang w:val="it-IT"/>
        </w:rPr>
        <w:t xml:space="preserve">nalisi di sensibilità fenotipica </w:t>
      </w:r>
      <w:r w:rsidR="00DC5CFC" w:rsidRPr="00C9575C">
        <w:rPr>
          <w:szCs w:val="22"/>
          <w:lang w:val="it-IT"/>
        </w:rPr>
        <w:t xml:space="preserve">in tre studi </w:t>
      </w:r>
      <w:r w:rsidR="00B776DC" w:rsidRPr="00C9575C">
        <w:rPr>
          <w:szCs w:val="22"/>
          <w:lang w:val="it-IT"/>
        </w:rPr>
        <w:t xml:space="preserve">di isolati clinici da pazienti </w:t>
      </w:r>
      <w:r w:rsidR="00B776DC" w:rsidRPr="00C9575C">
        <w:rPr>
          <w:i/>
          <w:szCs w:val="22"/>
          <w:lang w:val="it-IT"/>
        </w:rPr>
        <w:t>naïve</w:t>
      </w:r>
      <w:r w:rsidR="00B776DC" w:rsidRPr="00C9575C">
        <w:rPr>
          <w:szCs w:val="22"/>
          <w:lang w:val="it-IT"/>
        </w:rPr>
        <w:t xml:space="preserve"> alla terapia antiretrovirale con sottotipi non B del gruppo M dell’HIV-1 </w:t>
      </w:r>
      <w:r w:rsidR="00383AA6" w:rsidRPr="00C9575C">
        <w:rPr>
          <w:szCs w:val="22"/>
          <w:lang w:val="it-IT"/>
        </w:rPr>
        <w:t>hanno</w:t>
      </w:r>
      <w:r w:rsidR="00B776DC" w:rsidRPr="00C9575C">
        <w:rPr>
          <w:szCs w:val="22"/>
          <w:lang w:val="it-IT"/>
        </w:rPr>
        <w:t xml:space="preserve"> riferito </w:t>
      </w:r>
      <w:r w:rsidR="00383AA6" w:rsidRPr="00C9575C">
        <w:rPr>
          <w:szCs w:val="22"/>
          <w:lang w:val="it-IT"/>
        </w:rPr>
        <w:t xml:space="preserve">ciascuno </w:t>
      </w:r>
      <w:r w:rsidR="00B776DC" w:rsidRPr="00C9575C">
        <w:rPr>
          <w:szCs w:val="22"/>
          <w:lang w:val="it-IT"/>
        </w:rPr>
        <w:t xml:space="preserve">che tutti i virus </w:t>
      </w:r>
      <w:r w:rsidRPr="00C9575C">
        <w:rPr>
          <w:szCs w:val="22"/>
          <w:lang w:val="it-IT"/>
        </w:rPr>
        <w:t>erano</w:t>
      </w:r>
      <w:r w:rsidR="00B776DC" w:rsidRPr="00C9575C">
        <w:rPr>
          <w:szCs w:val="22"/>
          <w:lang w:val="it-IT"/>
        </w:rPr>
        <w:t xml:space="preserve"> </w:t>
      </w:r>
      <w:r w:rsidR="0017554C" w:rsidRPr="00C9575C">
        <w:rPr>
          <w:szCs w:val="22"/>
          <w:lang w:val="it-IT"/>
        </w:rPr>
        <w:t xml:space="preserve">completamente </w:t>
      </w:r>
      <w:r w:rsidR="00B776DC" w:rsidRPr="00C9575C">
        <w:rPr>
          <w:szCs w:val="22"/>
          <w:lang w:val="it-IT"/>
        </w:rPr>
        <w:t>sensibili ad abacavir e a lamivudina;</w:t>
      </w:r>
      <w:r w:rsidR="00E545EE" w:rsidRPr="00C9575C">
        <w:rPr>
          <w:szCs w:val="22"/>
          <w:lang w:val="it-IT"/>
        </w:rPr>
        <w:t xml:space="preserve"> il primo studio su 104 isolati comprendeva</w:t>
      </w:r>
      <w:r w:rsidR="00B776DC" w:rsidRPr="00C9575C">
        <w:rPr>
          <w:lang w:val="it-IT"/>
        </w:rPr>
        <w:t xml:space="preserve"> </w:t>
      </w:r>
      <w:r w:rsidR="00E545EE" w:rsidRPr="00C9575C">
        <w:rPr>
          <w:lang w:val="it-IT"/>
        </w:rPr>
        <w:t>sottotipi A e A1 (n=26),</w:t>
      </w:r>
      <w:r w:rsidR="00B776DC" w:rsidRPr="00C9575C">
        <w:rPr>
          <w:lang w:val="it-IT"/>
        </w:rPr>
        <w:t xml:space="preserve"> </w:t>
      </w:r>
      <w:r w:rsidR="00383AA6" w:rsidRPr="00C9575C">
        <w:rPr>
          <w:lang w:val="it-IT"/>
        </w:rPr>
        <w:t>C (n=1), D (n=66), e forme circolanti ricombinanti (</w:t>
      </w:r>
      <w:r w:rsidR="00DC5CFC" w:rsidRPr="00C9575C">
        <w:rPr>
          <w:i/>
          <w:lang w:val="it-IT"/>
        </w:rPr>
        <w:t>circulating recombinant forms,</w:t>
      </w:r>
      <w:r w:rsidR="00DC5CFC" w:rsidRPr="00C9575C">
        <w:rPr>
          <w:lang w:val="it-IT"/>
        </w:rPr>
        <w:t xml:space="preserve"> </w:t>
      </w:r>
      <w:r w:rsidR="00383AA6" w:rsidRPr="00C9575C">
        <w:rPr>
          <w:lang w:val="it-IT"/>
        </w:rPr>
        <w:t xml:space="preserve">CRF) AD (n=9), CD (n=1), e un sotto-sottotipo ricombinante complesso_cpx (n=1), </w:t>
      </w:r>
      <w:r w:rsidRPr="00C9575C">
        <w:rPr>
          <w:lang w:val="it-IT"/>
        </w:rPr>
        <w:t>un secondo studio su 18 isolati</w:t>
      </w:r>
      <w:r w:rsidR="00383AA6" w:rsidRPr="00C9575C">
        <w:rPr>
          <w:lang w:val="it-IT"/>
        </w:rPr>
        <w:t xml:space="preserve"> </w:t>
      </w:r>
      <w:r w:rsidRPr="00C9575C">
        <w:rPr>
          <w:lang w:val="it-IT"/>
        </w:rPr>
        <w:t>comprendeva il sottotipo</w:t>
      </w:r>
      <w:r w:rsidR="00383AA6" w:rsidRPr="00C9575C">
        <w:rPr>
          <w:lang w:val="it-IT"/>
        </w:rPr>
        <w:t xml:space="preserve"> G (n=14) </w:t>
      </w:r>
      <w:r w:rsidRPr="00C9575C">
        <w:rPr>
          <w:lang w:val="it-IT"/>
        </w:rPr>
        <w:t xml:space="preserve">e la </w:t>
      </w:r>
      <w:r w:rsidR="00383AA6" w:rsidRPr="00C9575C">
        <w:rPr>
          <w:lang w:val="it-IT"/>
        </w:rPr>
        <w:t xml:space="preserve">CRF_AG (n=4) </w:t>
      </w:r>
      <w:r w:rsidRPr="00C9575C">
        <w:rPr>
          <w:lang w:val="it-IT"/>
        </w:rPr>
        <w:t xml:space="preserve">dalla </w:t>
      </w:r>
      <w:r w:rsidR="00383AA6" w:rsidRPr="00C9575C">
        <w:rPr>
          <w:lang w:val="it-IT"/>
        </w:rPr>
        <w:t xml:space="preserve">Nigeria, </w:t>
      </w:r>
      <w:r w:rsidRPr="00C9575C">
        <w:rPr>
          <w:lang w:val="it-IT"/>
        </w:rPr>
        <w:t>e</w:t>
      </w:r>
      <w:r w:rsidR="00383AA6" w:rsidRPr="00C9575C">
        <w:rPr>
          <w:lang w:val="it-IT"/>
        </w:rPr>
        <w:t xml:space="preserve"> </w:t>
      </w:r>
      <w:r w:rsidRPr="00C9575C">
        <w:rPr>
          <w:lang w:val="it-IT"/>
        </w:rPr>
        <w:t>un terzo studio di sei i</w:t>
      </w:r>
      <w:r w:rsidR="00383AA6" w:rsidRPr="00C9575C">
        <w:rPr>
          <w:lang w:val="it-IT"/>
        </w:rPr>
        <w:t>so</w:t>
      </w:r>
      <w:r w:rsidRPr="00C9575C">
        <w:rPr>
          <w:lang w:val="it-IT"/>
        </w:rPr>
        <w:t>lati</w:t>
      </w:r>
      <w:r w:rsidR="00383AA6" w:rsidRPr="00C9575C">
        <w:rPr>
          <w:lang w:val="it-IT"/>
        </w:rPr>
        <w:t xml:space="preserve"> (n=4 CRF_AG, n=1 A </w:t>
      </w:r>
      <w:r w:rsidRPr="00C9575C">
        <w:rPr>
          <w:lang w:val="it-IT"/>
        </w:rPr>
        <w:t>e</w:t>
      </w:r>
      <w:r w:rsidR="00383AA6" w:rsidRPr="00C9575C">
        <w:rPr>
          <w:lang w:val="it-IT"/>
        </w:rPr>
        <w:t xml:space="preserve"> n=1 </w:t>
      </w:r>
      <w:r w:rsidRPr="00C9575C">
        <w:rPr>
          <w:lang w:val="it-IT"/>
        </w:rPr>
        <w:t>indeterminato</w:t>
      </w:r>
      <w:r w:rsidR="00383AA6" w:rsidRPr="00C9575C">
        <w:rPr>
          <w:lang w:val="it-IT"/>
        </w:rPr>
        <w:t xml:space="preserve">) </w:t>
      </w:r>
      <w:r w:rsidRPr="00C9575C">
        <w:rPr>
          <w:lang w:val="it-IT"/>
        </w:rPr>
        <w:t>dall’</w:t>
      </w:r>
      <w:r w:rsidR="00383AA6" w:rsidRPr="00C9575C">
        <w:rPr>
          <w:lang w:val="it-IT"/>
        </w:rPr>
        <w:t>Abidjan (</w:t>
      </w:r>
      <w:r w:rsidRPr="00C9575C">
        <w:rPr>
          <w:lang w:val="it-IT"/>
        </w:rPr>
        <w:t>Costa d’Avorio</w:t>
      </w:r>
      <w:r w:rsidR="00383AA6" w:rsidRPr="00C9575C">
        <w:rPr>
          <w:lang w:val="it-IT"/>
        </w:rPr>
        <w:t xml:space="preserve">). </w:t>
      </w:r>
    </w:p>
    <w:p w14:paraId="0B63B8A4" w14:textId="77777777" w:rsidR="002F1985" w:rsidRPr="00C9575C" w:rsidRDefault="002F1985" w:rsidP="000933DE">
      <w:pPr>
        <w:rPr>
          <w:szCs w:val="22"/>
          <w:lang w:val="it-IT"/>
        </w:rPr>
      </w:pPr>
    </w:p>
    <w:p w14:paraId="0BAF2A12" w14:textId="43A9EB50" w:rsidR="000933DE" w:rsidRPr="00C9575C" w:rsidRDefault="000933DE" w:rsidP="000933DE">
      <w:pPr>
        <w:rPr>
          <w:lang w:val="it-IT"/>
        </w:rPr>
      </w:pPr>
      <w:r w:rsidRPr="00C9575C">
        <w:rPr>
          <w:szCs w:val="22"/>
          <w:lang w:val="it-IT"/>
        </w:rPr>
        <w:t>Gli isolati HIV-1 (</w:t>
      </w:r>
      <w:r w:rsidRPr="00C9575C">
        <w:rPr>
          <w:lang w:val="it-IT"/>
        </w:rPr>
        <w:t>CRF01_AE, n=12; CRF02_AG, n=12; e il sottotipo C o CRF_AC, n=13) provenienti da 37 pazienti non trattati in Africa e Asia erano sensibili ad abacavir (</w:t>
      </w:r>
      <w:r w:rsidR="00355AD7" w:rsidRPr="00C9575C">
        <w:rPr>
          <w:lang w:val="it-IT"/>
        </w:rPr>
        <w:t xml:space="preserve">modifiche della </w:t>
      </w:r>
      <w:r w:rsidRPr="00C9575C">
        <w:rPr>
          <w:rFonts w:eastAsia="MS Mincho"/>
          <w:lang w:val="it-IT"/>
        </w:rPr>
        <w:t>IC</w:t>
      </w:r>
      <w:r w:rsidRPr="00C9575C">
        <w:rPr>
          <w:rFonts w:eastAsia="MS Mincho"/>
          <w:vertAlign w:val="subscript"/>
          <w:lang w:val="it-IT"/>
        </w:rPr>
        <w:t>50</w:t>
      </w:r>
      <w:r w:rsidRPr="00C9575C">
        <w:rPr>
          <w:rFonts w:eastAsia="MS Mincho"/>
          <w:lang w:val="it-IT"/>
        </w:rPr>
        <w:t xml:space="preserve"> &lt;</w:t>
      </w:r>
      <w:r w:rsidR="00462A49">
        <w:rPr>
          <w:rFonts w:eastAsia="MS Mincho"/>
          <w:lang w:val="it-IT"/>
        </w:rPr>
        <w:t> </w:t>
      </w:r>
      <w:r w:rsidRPr="00C9575C">
        <w:rPr>
          <w:rFonts w:eastAsia="MS Mincho"/>
          <w:lang w:val="it-IT"/>
        </w:rPr>
        <w:t>2</w:t>
      </w:r>
      <w:r w:rsidR="00DC5CFC" w:rsidRPr="00C9575C">
        <w:rPr>
          <w:rFonts w:eastAsia="MS Mincho"/>
          <w:lang w:val="it-IT"/>
        </w:rPr>
        <w:t>,</w:t>
      </w:r>
      <w:r w:rsidRPr="00C9575C">
        <w:rPr>
          <w:rFonts w:eastAsia="MS Mincho"/>
          <w:lang w:val="it-IT"/>
        </w:rPr>
        <w:t>5</w:t>
      </w:r>
      <w:r w:rsidR="00355AD7" w:rsidRPr="00C9575C">
        <w:rPr>
          <w:rFonts w:eastAsia="MS Mincho"/>
          <w:lang w:val="it-IT"/>
        </w:rPr>
        <w:t xml:space="preserve"> volte</w:t>
      </w:r>
      <w:r w:rsidRPr="00C9575C">
        <w:rPr>
          <w:rFonts w:eastAsia="MS Mincho"/>
          <w:lang w:val="it-IT"/>
        </w:rPr>
        <w:t xml:space="preserve">), </w:t>
      </w:r>
      <w:r w:rsidR="00355AD7" w:rsidRPr="00C9575C">
        <w:rPr>
          <w:rFonts w:eastAsia="MS Mincho"/>
          <w:lang w:val="it-IT"/>
        </w:rPr>
        <w:t>e</w:t>
      </w:r>
      <w:r w:rsidRPr="00C9575C">
        <w:rPr>
          <w:lang w:val="it-IT"/>
        </w:rPr>
        <w:t xml:space="preserve"> lamivudin</w:t>
      </w:r>
      <w:r w:rsidR="00355AD7" w:rsidRPr="00C9575C">
        <w:rPr>
          <w:lang w:val="it-IT"/>
        </w:rPr>
        <w:t>a</w:t>
      </w:r>
      <w:r w:rsidRPr="00C9575C">
        <w:rPr>
          <w:lang w:val="it-IT"/>
        </w:rPr>
        <w:t xml:space="preserve"> (</w:t>
      </w:r>
      <w:r w:rsidR="00355AD7" w:rsidRPr="00C9575C">
        <w:rPr>
          <w:lang w:val="it-IT"/>
        </w:rPr>
        <w:t xml:space="preserve">modifiche di </w:t>
      </w:r>
      <w:r w:rsidRPr="00C9575C">
        <w:rPr>
          <w:rFonts w:eastAsia="MS Mincho"/>
          <w:lang w:val="it-IT"/>
        </w:rPr>
        <w:t>IC</w:t>
      </w:r>
      <w:r w:rsidRPr="00C9575C">
        <w:rPr>
          <w:rFonts w:eastAsia="MS Mincho"/>
          <w:vertAlign w:val="subscript"/>
          <w:lang w:val="it-IT"/>
        </w:rPr>
        <w:t>50</w:t>
      </w:r>
      <w:r w:rsidRPr="00C9575C">
        <w:rPr>
          <w:rFonts w:eastAsia="MS Mincho"/>
          <w:lang w:val="it-IT"/>
        </w:rPr>
        <w:t xml:space="preserve"> &lt;</w:t>
      </w:r>
      <w:r w:rsidR="00462A49">
        <w:rPr>
          <w:rFonts w:eastAsia="MS Mincho"/>
          <w:lang w:val="it-IT"/>
        </w:rPr>
        <w:t> </w:t>
      </w:r>
      <w:r w:rsidRPr="00C9575C">
        <w:rPr>
          <w:rFonts w:eastAsia="MS Mincho"/>
          <w:lang w:val="it-IT"/>
        </w:rPr>
        <w:t>3</w:t>
      </w:r>
      <w:r w:rsidR="00DC5CFC" w:rsidRPr="00C9575C">
        <w:rPr>
          <w:rFonts w:eastAsia="MS Mincho"/>
          <w:lang w:val="it-IT"/>
        </w:rPr>
        <w:t>,</w:t>
      </w:r>
      <w:r w:rsidRPr="00C9575C">
        <w:rPr>
          <w:rFonts w:eastAsia="MS Mincho"/>
          <w:lang w:val="it-IT"/>
        </w:rPr>
        <w:t>0</w:t>
      </w:r>
      <w:r w:rsidR="00355AD7" w:rsidRPr="00C9575C">
        <w:rPr>
          <w:rFonts w:eastAsia="MS Mincho"/>
          <w:lang w:val="it-IT"/>
        </w:rPr>
        <w:t xml:space="preserve"> volte</w:t>
      </w:r>
      <w:r w:rsidRPr="00C9575C">
        <w:rPr>
          <w:rFonts w:eastAsia="MS Mincho"/>
          <w:lang w:val="it-IT"/>
        </w:rPr>
        <w:t xml:space="preserve">), </w:t>
      </w:r>
      <w:r w:rsidR="00355AD7" w:rsidRPr="00C9575C">
        <w:rPr>
          <w:lang w:val="it-IT"/>
        </w:rPr>
        <w:t xml:space="preserve">ad eccezione di due isolati </w:t>
      </w:r>
      <w:r w:rsidRPr="00C9575C">
        <w:rPr>
          <w:lang w:val="it-IT"/>
        </w:rPr>
        <w:t xml:space="preserve">CRF02_AG </w:t>
      </w:r>
      <w:r w:rsidR="005806A4" w:rsidRPr="00C9575C">
        <w:rPr>
          <w:lang w:val="it-IT"/>
        </w:rPr>
        <w:t>con</w:t>
      </w:r>
      <w:r w:rsidRPr="00C9575C">
        <w:rPr>
          <w:lang w:val="it-IT"/>
        </w:rPr>
        <w:t xml:space="preserve"> </w:t>
      </w:r>
      <w:r w:rsidR="00355AD7" w:rsidRPr="00C9575C">
        <w:rPr>
          <w:lang w:val="it-IT"/>
        </w:rPr>
        <w:t xml:space="preserve">cambiamenti </w:t>
      </w:r>
      <w:r w:rsidR="00A93846" w:rsidRPr="00C9575C">
        <w:rPr>
          <w:lang w:val="it-IT"/>
        </w:rPr>
        <w:t xml:space="preserve">di </w:t>
      </w:r>
      <w:r w:rsidRPr="00C9575C">
        <w:rPr>
          <w:lang w:val="it-IT"/>
        </w:rPr>
        <w:t>2.9 and 3.4</w:t>
      </w:r>
      <w:r w:rsidR="00462A49">
        <w:rPr>
          <w:lang w:val="it-IT"/>
        </w:rPr>
        <w:t> </w:t>
      </w:r>
      <w:r w:rsidR="005806A4" w:rsidRPr="00C9575C">
        <w:rPr>
          <w:lang w:val="it-IT"/>
        </w:rPr>
        <w:t xml:space="preserve">volte </w:t>
      </w:r>
      <w:r w:rsidR="00A93846" w:rsidRPr="00C9575C">
        <w:rPr>
          <w:lang w:val="it-IT"/>
        </w:rPr>
        <w:t>per</w:t>
      </w:r>
      <w:r w:rsidRPr="00C9575C">
        <w:rPr>
          <w:lang w:val="it-IT"/>
        </w:rPr>
        <w:t xml:space="preserve"> abacavir</w:t>
      </w:r>
      <w:r w:rsidR="008848E9" w:rsidRPr="00C9575C">
        <w:rPr>
          <w:lang w:val="it-IT"/>
        </w:rPr>
        <w:t xml:space="preserve">. </w:t>
      </w:r>
      <w:r w:rsidR="00A93846" w:rsidRPr="00C9575C">
        <w:rPr>
          <w:lang w:val="it-IT"/>
        </w:rPr>
        <w:t>Isolati del Gruppo O provenienti da</w:t>
      </w:r>
      <w:r w:rsidRPr="00C9575C">
        <w:rPr>
          <w:lang w:val="it-IT"/>
        </w:rPr>
        <w:t xml:space="preserve"> </w:t>
      </w:r>
      <w:r w:rsidR="00A93846" w:rsidRPr="00C9575C">
        <w:rPr>
          <w:szCs w:val="22"/>
          <w:lang w:val="it-IT"/>
        </w:rPr>
        <w:t xml:space="preserve">pazienti naïve alla terapia antiretrovirale </w:t>
      </w:r>
      <w:r w:rsidR="00A93846" w:rsidRPr="00C9575C">
        <w:rPr>
          <w:lang w:val="it-IT"/>
        </w:rPr>
        <w:t>testat</w:t>
      </w:r>
      <w:r w:rsidR="005806A4" w:rsidRPr="00C9575C">
        <w:rPr>
          <w:lang w:val="it-IT"/>
        </w:rPr>
        <w:t>i</w:t>
      </w:r>
      <w:r w:rsidR="00A93846" w:rsidRPr="00C9575C">
        <w:rPr>
          <w:lang w:val="it-IT"/>
        </w:rPr>
        <w:t xml:space="preserve"> per l’attività </w:t>
      </w:r>
      <w:r w:rsidR="006F0E47" w:rsidRPr="00C9575C">
        <w:rPr>
          <w:lang w:val="it-IT"/>
        </w:rPr>
        <w:t>di</w:t>
      </w:r>
      <w:r w:rsidRPr="00C9575C">
        <w:rPr>
          <w:lang w:val="it-IT"/>
        </w:rPr>
        <w:t xml:space="preserve"> lamivudin</w:t>
      </w:r>
      <w:r w:rsidR="00A93846" w:rsidRPr="00C9575C">
        <w:rPr>
          <w:lang w:val="it-IT"/>
        </w:rPr>
        <w:t>a</w:t>
      </w:r>
      <w:r w:rsidRPr="00C9575C">
        <w:rPr>
          <w:lang w:val="it-IT"/>
        </w:rPr>
        <w:t xml:space="preserve"> </w:t>
      </w:r>
      <w:r w:rsidR="00A93846" w:rsidRPr="00C9575C">
        <w:rPr>
          <w:lang w:val="it-IT"/>
        </w:rPr>
        <w:t>erano altamente sensibili</w:t>
      </w:r>
      <w:r w:rsidRPr="00C9575C">
        <w:rPr>
          <w:lang w:val="it-IT"/>
        </w:rPr>
        <w:t xml:space="preserve">.  </w:t>
      </w:r>
    </w:p>
    <w:p w14:paraId="59EDBABF" w14:textId="77777777" w:rsidR="00304AEC" w:rsidRPr="00C9575C" w:rsidRDefault="00304AEC">
      <w:pPr>
        <w:widowControl w:val="0"/>
        <w:rPr>
          <w:szCs w:val="22"/>
          <w:lang w:val="it-IT"/>
        </w:rPr>
      </w:pPr>
    </w:p>
    <w:p w14:paraId="102212CC" w14:textId="77777777" w:rsidR="000933DE" w:rsidRPr="00C9575C" w:rsidRDefault="00A93846">
      <w:pPr>
        <w:widowControl w:val="0"/>
        <w:rPr>
          <w:lang w:val="it-IT"/>
        </w:rPr>
      </w:pPr>
      <w:r w:rsidRPr="00C9575C">
        <w:rPr>
          <w:szCs w:val="22"/>
          <w:lang w:val="it-IT"/>
        </w:rPr>
        <w:t>La combinazione di abacavir e lamivudina</w:t>
      </w:r>
      <w:r w:rsidR="005806A4" w:rsidRPr="00C9575C">
        <w:rPr>
          <w:szCs w:val="22"/>
          <w:lang w:val="it-IT"/>
        </w:rPr>
        <w:t xml:space="preserve"> </w:t>
      </w:r>
      <w:r w:rsidRPr="00C9575C">
        <w:rPr>
          <w:szCs w:val="22"/>
          <w:lang w:val="it-IT"/>
        </w:rPr>
        <w:t>ha dimostrato attività antivirale</w:t>
      </w:r>
      <w:r w:rsidR="005806A4" w:rsidRPr="00C9575C">
        <w:rPr>
          <w:szCs w:val="22"/>
          <w:lang w:val="it-IT"/>
        </w:rPr>
        <w:t xml:space="preserve"> </w:t>
      </w:r>
      <w:r w:rsidRPr="00C9575C">
        <w:rPr>
          <w:szCs w:val="22"/>
          <w:lang w:val="it-IT"/>
        </w:rPr>
        <w:t>nelle colture cellulari contro gli isolati del sottotipo non B e gli isolati HIV-2 con attività antivirale equivalente</w:t>
      </w:r>
      <w:r w:rsidRPr="00C9575C">
        <w:rPr>
          <w:lang w:val="it-IT"/>
        </w:rPr>
        <w:t xml:space="preserve"> agli isolati del sottotipo B.</w:t>
      </w:r>
    </w:p>
    <w:p w14:paraId="0637D4AF" w14:textId="77777777" w:rsidR="00A93846" w:rsidRPr="00C9575C" w:rsidRDefault="00A93846">
      <w:pPr>
        <w:widowControl w:val="0"/>
        <w:rPr>
          <w:szCs w:val="22"/>
          <w:lang w:val="it-IT"/>
        </w:rPr>
      </w:pPr>
    </w:p>
    <w:p w14:paraId="26E6F65F" w14:textId="77777777" w:rsidR="006B6011" w:rsidRPr="00C9575C" w:rsidRDefault="006B6011">
      <w:pPr>
        <w:widowControl w:val="0"/>
        <w:rPr>
          <w:szCs w:val="22"/>
          <w:u w:val="single"/>
          <w:lang w:val="it-IT"/>
        </w:rPr>
      </w:pPr>
      <w:r w:rsidRPr="00C9575C">
        <w:rPr>
          <w:szCs w:val="22"/>
          <w:u w:val="single"/>
          <w:lang w:val="it-IT"/>
        </w:rPr>
        <w:t>Resistenza</w:t>
      </w:r>
      <w:r w:rsidR="005806A4" w:rsidRPr="00C9575C">
        <w:rPr>
          <w:szCs w:val="22"/>
          <w:u w:val="single"/>
          <w:lang w:val="it-IT"/>
        </w:rPr>
        <w:t xml:space="preserve"> </w:t>
      </w:r>
    </w:p>
    <w:p w14:paraId="05866837" w14:textId="77777777" w:rsidR="005806A4" w:rsidRPr="00C9575C" w:rsidRDefault="005806A4" w:rsidP="005806A4">
      <w:pPr>
        <w:widowControl w:val="0"/>
        <w:rPr>
          <w:i/>
          <w:szCs w:val="22"/>
          <w:lang w:val="it-IT"/>
        </w:rPr>
      </w:pPr>
    </w:p>
    <w:p w14:paraId="1058C752" w14:textId="77777777" w:rsidR="005806A4" w:rsidRPr="00C9575C" w:rsidRDefault="005806A4" w:rsidP="005806A4">
      <w:pPr>
        <w:widowControl w:val="0"/>
        <w:rPr>
          <w:szCs w:val="22"/>
          <w:lang w:val="it-IT"/>
        </w:rPr>
      </w:pPr>
      <w:r w:rsidRPr="00C9575C">
        <w:rPr>
          <w:i/>
          <w:szCs w:val="22"/>
          <w:lang w:val="it-IT"/>
        </w:rPr>
        <w:t>Resistenza in vivo</w:t>
      </w:r>
      <w:r w:rsidRPr="00C9575C">
        <w:rPr>
          <w:szCs w:val="22"/>
          <w:lang w:val="it-IT"/>
        </w:rPr>
        <w:t xml:space="preserve"> </w:t>
      </w:r>
    </w:p>
    <w:p w14:paraId="38E35740" w14:textId="77777777" w:rsidR="005806A4" w:rsidRPr="00C9575C" w:rsidRDefault="005806A4" w:rsidP="005806A4">
      <w:pPr>
        <w:widowControl w:val="0"/>
        <w:rPr>
          <w:szCs w:val="22"/>
          <w:lang w:val="it-IT"/>
        </w:rPr>
      </w:pPr>
    </w:p>
    <w:p w14:paraId="04971084" w14:textId="175573A1" w:rsidR="00FB4675" w:rsidRPr="00C9575C" w:rsidRDefault="006B6011" w:rsidP="005806A4">
      <w:pPr>
        <w:widowControl w:val="0"/>
        <w:rPr>
          <w:lang w:val="it-IT"/>
        </w:rPr>
      </w:pPr>
      <w:r w:rsidRPr="00C9575C">
        <w:rPr>
          <w:szCs w:val="22"/>
          <w:lang w:val="it-IT"/>
        </w:rPr>
        <w:t xml:space="preserve">Isolati dell’HIV-1 </w:t>
      </w:r>
      <w:r w:rsidR="00F47774" w:rsidRPr="00C9575C">
        <w:rPr>
          <w:szCs w:val="22"/>
          <w:lang w:val="it-IT"/>
        </w:rPr>
        <w:t>r</w:t>
      </w:r>
      <w:r w:rsidRPr="00C9575C">
        <w:rPr>
          <w:szCs w:val="22"/>
          <w:lang w:val="it-IT"/>
        </w:rPr>
        <w:t xml:space="preserve">esistenti ad abacavir sono stati selezionati </w:t>
      </w:r>
      <w:r w:rsidRPr="00C9575C">
        <w:rPr>
          <w:i/>
          <w:szCs w:val="22"/>
          <w:lang w:val="it-IT"/>
        </w:rPr>
        <w:t>in vitro</w:t>
      </w:r>
      <w:r w:rsidRPr="00C9575C">
        <w:rPr>
          <w:szCs w:val="22"/>
          <w:lang w:val="it-IT"/>
        </w:rPr>
        <w:t xml:space="preserve"> in ceppi di tipo selva</w:t>
      </w:r>
      <w:r w:rsidR="00CD5BB5" w:rsidRPr="00C9575C">
        <w:rPr>
          <w:szCs w:val="22"/>
          <w:lang w:val="it-IT"/>
        </w:rPr>
        <w:t>ggio</w:t>
      </w:r>
      <w:r w:rsidR="00F47774" w:rsidRPr="00C9575C">
        <w:rPr>
          <w:szCs w:val="22"/>
          <w:lang w:val="it-IT"/>
        </w:rPr>
        <w:t xml:space="preserve"> </w:t>
      </w:r>
      <w:r w:rsidRPr="00C9575C">
        <w:rPr>
          <w:szCs w:val="22"/>
          <w:lang w:val="it-IT"/>
        </w:rPr>
        <w:t xml:space="preserve">HIV-1 (HXB2) e sono associati a specifici </w:t>
      </w:r>
      <w:r w:rsidR="00F47774" w:rsidRPr="00C9575C">
        <w:rPr>
          <w:szCs w:val="22"/>
          <w:lang w:val="it-IT"/>
        </w:rPr>
        <w:t>cambiamenti</w:t>
      </w:r>
      <w:r w:rsidRPr="00C9575C">
        <w:rPr>
          <w:szCs w:val="22"/>
          <w:lang w:val="it-IT"/>
        </w:rPr>
        <w:t xml:space="preserve"> genotipici nella regione del codone della trascrittasi inversa</w:t>
      </w:r>
      <w:r w:rsidR="00A63210" w:rsidRPr="00C9575C">
        <w:rPr>
          <w:szCs w:val="22"/>
          <w:lang w:val="it-IT"/>
        </w:rPr>
        <w:t xml:space="preserve"> (TI)</w:t>
      </w:r>
      <w:r w:rsidRPr="00C9575C">
        <w:rPr>
          <w:szCs w:val="22"/>
          <w:lang w:val="it-IT"/>
        </w:rPr>
        <w:t xml:space="preserve"> (codoni M184V, K65R, L74V e Y115F).</w:t>
      </w:r>
      <w:r w:rsidR="00770CD2" w:rsidRPr="00C9575C">
        <w:rPr>
          <w:szCs w:val="22"/>
          <w:lang w:val="it-IT"/>
        </w:rPr>
        <w:t xml:space="preserve"> La selezione per la mutazione M184V avveniva per prima e risultava in un aumento di due volte dell’IC</w:t>
      </w:r>
      <w:r w:rsidR="00770CD2" w:rsidRPr="00C9575C">
        <w:rPr>
          <w:szCs w:val="22"/>
          <w:vertAlign w:val="subscript"/>
          <w:lang w:val="it-IT"/>
        </w:rPr>
        <w:t>50</w:t>
      </w:r>
      <w:r w:rsidR="00770CD2" w:rsidRPr="00C9575C">
        <w:rPr>
          <w:szCs w:val="22"/>
          <w:lang w:val="it-IT"/>
        </w:rPr>
        <w:t>. Continui passaggi in concentrazioni di farmaco crescenti portavano ad una selezione di doppie mutazioni 65R</w:t>
      </w:r>
      <w:r w:rsidR="00C428C9" w:rsidRPr="00C9575C">
        <w:rPr>
          <w:szCs w:val="22"/>
          <w:lang w:val="it-IT"/>
        </w:rPr>
        <w:t>/</w:t>
      </w:r>
      <w:r w:rsidR="00770CD2" w:rsidRPr="00C9575C">
        <w:rPr>
          <w:szCs w:val="22"/>
          <w:lang w:val="it-IT"/>
        </w:rPr>
        <w:t>184V e 74</w:t>
      </w:r>
      <w:r w:rsidR="00C428C9" w:rsidRPr="00C9575C">
        <w:rPr>
          <w:szCs w:val="22"/>
          <w:lang w:val="it-IT"/>
        </w:rPr>
        <w:t>V</w:t>
      </w:r>
      <w:r w:rsidR="00770CD2" w:rsidRPr="00C9575C">
        <w:rPr>
          <w:szCs w:val="22"/>
          <w:lang w:val="it-IT"/>
        </w:rPr>
        <w:t>/184V</w:t>
      </w:r>
      <w:r w:rsidR="00742480" w:rsidRPr="00C9575C">
        <w:rPr>
          <w:szCs w:val="22"/>
          <w:lang w:val="it-IT"/>
        </w:rPr>
        <w:t xml:space="preserve"> </w:t>
      </w:r>
      <w:r w:rsidR="00A63210" w:rsidRPr="00C9575C">
        <w:rPr>
          <w:szCs w:val="22"/>
          <w:lang w:val="it-IT"/>
        </w:rPr>
        <w:t>della TI</w:t>
      </w:r>
      <w:r w:rsidR="00770CD2" w:rsidRPr="00C9575C">
        <w:rPr>
          <w:szCs w:val="22"/>
          <w:lang w:val="it-IT"/>
        </w:rPr>
        <w:t xml:space="preserve"> o triple mutazioni </w:t>
      </w:r>
      <w:r w:rsidR="00770CD2" w:rsidRPr="00C9575C">
        <w:rPr>
          <w:lang w:val="it-IT"/>
        </w:rPr>
        <w:t>74V/115Y/184V</w:t>
      </w:r>
      <w:r w:rsidR="00770CD2" w:rsidRPr="00C9575C">
        <w:rPr>
          <w:szCs w:val="22"/>
          <w:lang w:val="it-IT"/>
        </w:rPr>
        <w:t xml:space="preserve"> della </w:t>
      </w:r>
      <w:r w:rsidR="00A63210" w:rsidRPr="00C9575C">
        <w:rPr>
          <w:szCs w:val="22"/>
          <w:lang w:val="it-IT"/>
        </w:rPr>
        <w:t>TI</w:t>
      </w:r>
      <w:r w:rsidR="00770CD2" w:rsidRPr="00C9575C">
        <w:rPr>
          <w:szCs w:val="22"/>
          <w:lang w:val="it-IT"/>
        </w:rPr>
        <w:t>.</w:t>
      </w:r>
      <w:r w:rsidR="00FB4675" w:rsidRPr="00C9575C">
        <w:rPr>
          <w:szCs w:val="22"/>
          <w:lang w:val="it-IT"/>
        </w:rPr>
        <w:t xml:space="preserve"> </w:t>
      </w:r>
      <w:r w:rsidR="00FB4675" w:rsidRPr="00C9575C">
        <w:rPr>
          <w:lang w:val="it-IT"/>
        </w:rPr>
        <w:t xml:space="preserve">Due mutazioni conferivano un cambiamento da </w:t>
      </w:r>
      <w:smartTag w:uri="urn:schemas-microsoft-com:office:smarttags" w:element="metricconverter">
        <w:smartTagPr>
          <w:attr w:name="ProductID" w:val="7 a"/>
        </w:smartTagPr>
        <w:r w:rsidR="00FB4675" w:rsidRPr="00C9575C">
          <w:rPr>
            <w:lang w:val="it-IT"/>
          </w:rPr>
          <w:t>7 a</w:t>
        </w:r>
      </w:smartTag>
      <w:r w:rsidR="00FB4675" w:rsidRPr="00C9575C">
        <w:rPr>
          <w:lang w:val="it-IT"/>
        </w:rPr>
        <w:t xml:space="preserve"> 8 volte della sensibilità ad abacavir e una combinazione di tre mutazioni era richiesta per conferire un cambiamento nella sensibilità maggiore di 8</w:t>
      </w:r>
      <w:r w:rsidR="0003045D">
        <w:rPr>
          <w:lang w:val="it-IT"/>
        </w:rPr>
        <w:t> </w:t>
      </w:r>
      <w:r w:rsidR="00FB4675" w:rsidRPr="00C9575C">
        <w:rPr>
          <w:lang w:val="it-IT"/>
        </w:rPr>
        <w:t>volte.</w:t>
      </w:r>
      <w:r w:rsidR="00D535A6" w:rsidRPr="00C9575C">
        <w:rPr>
          <w:lang w:val="it-IT"/>
        </w:rPr>
        <w:t xml:space="preserve"> Il passaggio </w:t>
      </w:r>
      <w:r w:rsidR="00E45F8F" w:rsidRPr="00C9575C">
        <w:rPr>
          <w:lang w:val="it-IT"/>
        </w:rPr>
        <w:t>attraverso</w:t>
      </w:r>
      <w:r w:rsidR="00F47774" w:rsidRPr="00C9575C">
        <w:rPr>
          <w:lang w:val="it-IT"/>
        </w:rPr>
        <w:t xml:space="preserve"> un isolato clinico RTMC resistente </w:t>
      </w:r>
      <w:r w:rsidR="006F0E47" w:rsidRPr="00C9575C">
        <w:rPr>
          <w:lang w:val="it-IT"/>
        </w:rPr>
        <w:t>a</w:t>
      </w:r>
      <w:r w:rsidR="00F47774" w:rsidRPr="00C9575C">
        <w:rPr>
          <w:lang w:val="it-IT"/>
        </w:rPr>
        <w:t xml:space="preserve"> zidovudina ha selezionato anche la mutazione 184V.</w:t>
      </w:r>
    </w:p>
    <w:p w14:paraId="32613866" w14:textId="77777777" w:rsidR="006B6011" w:rsidRPr="00C9575C" w:rsidRDefault="006B6011">
      <w:pPr>
        <w:widowControl w:val="0"/>
        <w:rPr>
          <w:szCs w:val="22"/>
          <w:lang w:val="it-IT"/>
        </w:rPr>
      </w:pPr>
    </w:p>
    <w:p w14:paraId="56BD6D7B" w14:textId="086D8DE7" w:rsidR="000D5DD2" w:rsidRPr="00C9575C" w:rsidRDefault="00F47774">
      <w:pPr>
        <w:widowControl w:val="0"/>
        <w:rPr>
          <w:rStyle w:val="PageNumber"/>
          <w:color w:val="000000"/>
          <w:szCs w:val="22"/>
          <w:lang w:val="it-IT"/>
        </w:rPr>
      </w:pPr>
      <w:r w:rsidRPr="00C9575C">
        <w:rPr>
          <w:rStyle w:val="PageNumber"/>
          <w:color w:val="000000"/>
          <w:szCs w:val="22"/>
          <w:lang w:val="it-IT"/>
        </w:rPr>
        <w:t>L</w:t>
      </w:r>
      <w:r w:rsidR="0084378B" w:rsidRPr="00C9575C">
        <w:rPr>
          <w:rStyle w:val="PageNumber"/>
          <w:color w:val="000000"/>
          <w:szCs w:val="22"/>
          <w:lang w:val="it-IT"/>
        </w:rPr>
        <w:t xml:space="preserve">a resistenza dell’HIV-1 </w:t>
      </w:r>
      <w:r w:rsidR="006F0E47" w:rsidRPr="00C9575C">
        <w:rPr>
          <w:rStyle w:val="PageNumber"/>
          <w:color w:val="000000"/>
          <w:szCs w:val="22"/>
          <w:lang w:val="it-IT"/>
        </w:rPr>
        <w:t>a</w:t>
      </w:r>
      <w:r w:rsidR="0084378B" w:rsidRPr="00C9575C">
        <w:rPr>
          <w:rStyle w:val="PageNumber"/>
          <w:color w:val="000000"/>
          <w:szCs w:val="22"/>
          <w:lang w:val="it-IT"/>
        </w:rPr>
        <w:t xml:space="preserve"> lamivudina riguarda lo sviluppo di una mutazione M184I o, più comunemente, una modifica dell’aminoacido in posizione 184 (mutazione M184V) vicino al sito attivo della trascrittasi inversa virale (TI).</w:t>
      </w:r>
      <w:r w:rsidRPr="00C9575C">
        <w:rPr>
          <w:lang w:val="it-IT"/>
        </w:rPr>
        <w:t xml:space="preserve"> Il passaggio dell’HIV-1 (HXB2) in presenza di concentrazioni crescenti di 3TC risultava in un livello alto (da &gt;</w:t>
      </w:r>
      <w:r w:rsidR="0003045D">
        <w:rPr>
          <w:lang w:val="it-IT"/>
        </w:rPr>
        <w:t> </w:t>
      </w:r>
      <w:r w:rsidRPr="00C9575C">
        <w:rPr>
          <w:lang w:val="it-IT"/>
        </w:rPr>
        <w:t>100 a &gt;</w:t>
      </w:r>
      <w:r w:rsidR="0003045D">
        <w:rPr>
          <w:lang w:val="it-IT"/>
        </w:rPr>
        <w:t> </w:t>
      </w:r>
      <w:r w:rsidRPr="00C9575C">
        <w:rPr>
          <w:lang w:val="it-IT"/>
        </w:rPr>
        <w:t xml:space="preserve">500 volte) di virus resistenti </w:t>
      </w:r>
      <w:r w:rsidR="006F0E47" w:rsidRPr="00C9575C">
        <w:rPr>
          <w:lang w:val="it-IT"/>
        </w:rPr>
        <w:t>a</w:t>
      </w:r>
      <w:r w:rsidRPr="00C9575C">
        <w:rPr>
          <w:lang w:val="it-IT"/>
        </w:rPr>
        <w:t xml:space="preserve"> lamivudina e la mutazione M184I o</w:t>
      </w:r>
      <w:r w:rsidR="000D5DD2" w:rsidRPr="00C9575C">
        <w:rPr>
          <w:lang w:val="it-IT"/>
        </w:rPr>
        <w:t xml:space="preserve"> </w:t>
      </w:r>
      <w:r w:rsidRPr="00C9575C">
        <w:rPr>
          <w:lang w:val="it-IT"/>
        </w:rPr>
        <w:t xml:space="preserve">V della TI </w:t>
      </w:r>
      <w:r w:rsidR="000D5DD2" w:rsidRPr="00C9575C">
        <w:rPr>
          <w:lang w:val="it-IT"/>
        </w:rPr>
        <w:t>è rapidamente selezionata. La</w:t>
      </w:r>
      <w:r w:rsidRPr="00C9575C">
        <w:rPr>
          <w:lang w:val="it-IT"/>
        </w:rPr>
        <w:t xml:space="preserve"> IC</w:t>
      </w:r>
      <w:r w:rsidRPr="00C9575C">
        <w:rPr>
          <w:vertAlign w:val="subscript"/>
          <w:lang w:val="it-IT"/>
        </w:rPr>
        <w:t>50</w:t>
      </w:r>
      <w:r w:rsidRPr="00C9575C">
        <w:rPr>
          <w:lang w:val="it-IT"/>
        </w:rPr>
        <w:t xml:space="preserve"> </w:t>
      </w:r>
      <w:r w:rsidR="000D5DD2" w:rsidRPr="00C9575C">
        <w:rPr>
          <w:lang w:val="it-IT"/>
        </w:rPr>
        <w:t>per il ceppo selva</w:t>
      </w:r>
      <w:r w:rsidR="00266700" w:rsidRPr="00C9575C">
        <w:rPr>
          <w:lang w:val="it-IT"/>
        </w:rPr>
        <w:t>ggio</w:t>
      </w:r>
      <w:r w:rsidRPr="00C9575C">
        <w:rPr>
          <w:lang w:val="it-IT"/>
        </w:rPr>
        <w:t xml:space="preserve"> HXB2 </w:t>
      </w:r>
      <w:r w:rsidR="000D5DD2" w:rsidRPr="00C9575C">
        <w:rPr>
          <w:lang w:val="it-IT"/>
        </w:rPr>
        <w:t>è da 0,</w:t>
      </w:r>
      <w:r w:rsidRPr="00C9575C">
        <w:rPr>
          <w:lang w:val="it-IT"/>
        </w:rPr>
        <w:t xml:space="preserve">24 </w:t>
      </w:r>
      <w:r w:rsidR="000D5DD2" w:rsidRPr="00C9575C">
        <w:rPr>
          <w:lang w:val="it-IT"/>
        </w:rPr>
        <w:t>a 0,</w:t>
      </w:r>
      <w:r w:rsidRPr="00C9575C">
        <w:rPr>
          <w:lang w:val="it-IT"/>
        </w:rPr>
        <w:t>6 </w:t>
      </w:r>
      <w:r w:rsidRPr="00C9575C">
        <w:rPr>
          <w:lang w:val="it-IT"/>
        </w:rPr>
        <w:sym w:font="Symbol" w:char="F06D"/>
      </w:r>
      <w:r w:rsidRPr="00C9575C">
        <w:rPr>
          <w:lang w:val="it-IT"/>
        </w:rPr>
        <w:t xml:space="preserve">M, </w:t>
      </w:r>
      <w:r w:rsidR="000D5DD2" w:rsidRPr="00C9575C">
        <w:rPr>
          <w:lang w:val="it-IT"/>
        </w:rPr>
        <w:t>mentre la</w:t>
      </w:r>
      <w:r w:rsidRPr="00C9575C">
        <w:rPr>
          <w:lang w:val="it-IT"/>
        </w:rPr>
        <w:t xml:space="preserve"> IC</w:t>
      </w:r>
      <w:r w:rsidRPr="00C9575C">
        <w:rPr>
          <w:vertAlign w:val="subscript"/>
          <w:lang w:val="it-IT"/>
        </w:rPr>
        <w:t>50</w:t>
      </w:r>
      <w:r w:rsidRPr="00C9575C">
        <w:rPr>
          <w:lang w:val="it-IT"/>
        </w:rPr>
        <w:t xml:space="preserve"> </w:t>
      </w:r>
      <w:r w:rsidR="000D5DD2" w:rsidRPr="00C9575C">
        <w:rPr>
          <w:lang w:val="it-IT"/>
        </w:rPr>
        <w:t>per</w:t>
      </w:r>
      <w:r w:rsidRPr="00C9575C">
        <w:rPr>
          <w:lang w:val="it-IT"/>
        </w:rPr>
        <w:t xml:space="preserve"> HXB2</w:t>
      </w:r>
      <w:r w:rsidR="000D5DD2" w:rsidRPr="00C9575C">
        <w:rPr>
          <w:lang w:val="it-IT"/>
        </w:rPr>
        <w:t xml:space="preserve"> contenente M184V è da &gt;</w:t>
      </w:r>
      <w:r w:rsidR="0003045D">
        <w:rPr>
          <w:lang w:val="it-IT"/>
        </w:rPr>
        <w:t> </w:t>
      </w:r>
      <w:r w:rsidR="000D5DD2" w:rsidRPr="00C9575C">
        <w:rPr>
          <w:lang w:val="it-IT"/>
        </w:rPr>
        <w:t xml:space="preserve">100 a </w:t>
      </w:r>
      <w:r w:rsidRPr="00C9575C">
        <w:rPr>
          <w:lang w:val="it-IT"/>
        </w:rPr>
        <w:t>500 </w:t>
      </w:r>
      <w:r w:rsidRPr="00C9575C">
        <w:rPr>
          <w:lang w:val="it-IT"/>
        </w:rPr>
        <w:sym w:font="Symbol" w:char="F06D"/>
      </w:r>
      <w:r w:rsidRPr="00C9575C">
        <w:rPr>
          <w:lang w:val="it-IT"/>
        </w:rPr>
        <w:t>M.</w:t>
      </w:r>
    </w:p>
    <w:p w14:paraId="3C1DEC03" w14:textId="77777777" w:rsidR="000D5DD2" w:rsidRPr="00C9575C" w:rsidRDefault="000D5DD2">
      <w:pPr>
        <w:widowControl w:val="0"/>
        <w:rPr>
          <w:szCs w:val="22"/>
          <w:lang w:val="it-IT"/>
        </w:rPr>
      </w:pPr>
    </w:p>
    <w:p w14:paraId="62F4113E" w14:textId="77777777" w:rsidR="0084378B" w:rsidRPr="00C9575C" w:rsidRDefault="00CC0BC2" w:rsidP="001C66E3">
      <w:pPr>
        <w:keepNext/>
        <w:widowControl w:val="0"/>
        <w:rPr>
          <w:szCs w:val="22"/>
          <w:u w:val="single"/>
          <w:lang w:val="it-IT"/>
        </w:rPr>
      </w:pPr>
      <w:r w:rsidRPr="00C9575C">
        <w:rPr>
          <w:szCs w:val="22"/>
          <w:u w:val="single"/>
          <w:lang w:val="it-IT"/>
        </w:rPr>
        <w:lastRenderedPageBreak/>
        <w:t>Terapia antivirale in base alla resistenza genotipica/fenotipica</w:t>
      </w:r>
    </w:p>
    <w:p w14:paraId="484675C7" w14:textId="77777777" w:rsidR="000D5DD2" w:rsidRPr="00C9575C" w:rsidRDefault="000D5DD2" w:rsidP="001C66E3">
      <w:pPr>
        <w:keepNext/>
        <w:widowControl w:val="0"/>
        <w:rPr>
          <w:szCs w:val="22"/>
          <w:lang w:val="it-IT"/>
        </w:rPr>
      </w:pPr>
    </w:p>
    <w:p w14:paraId="52212F9B" w14:textId="77777777" w:rsidR="003054D5" w:rsidRPr="00C9575C" w:rsidRDefault="0084378B" w:rsidP="001C66E3">
      <w:pPr>
        <w:keepNext/>
        <w:widowControl w:val="0"/>
        <w:rPr>
          <w:szCs w:val="22"/>
          <w:lang w:val="it-IT"/>
        </w:rPr>
      </w:pPr>
      <w:r w:rsidRPr="00C9575C">
        <w:rPr>
          <w:i/>
          <w:szCs w:val="22"/>
          <w:lang w:val="it-IT"/>
        </w:rPr>
        <w:t>Resistenza in vivo (pazienti naïve alla terapia)</w:t>
      </w:r>
    </w:p>
    <w:p w14:paraId="5E2C1EC1" w14:textId="77777777" w:rsidR="003054D5" w:rsidRPr="00C9575C" w:rsidRDefault="003054D5" w:rsidP="001C66E3">
      <w:pPr>
        <w:keepNext/>
        <w:widowControl w:val="0"/>
        <w:rPr>
          <w:szCs w:val="22"/>
          <w:lang w:val="it-IT"/>
        </w:rPr>
      </w:pPr>
    </w:p>
    <w:p w14:paraId="5DA4BCF6" w14:textId="77777777" w:rsidR="00E40303" w:rsidRPr="00C9575C" w:rsidRDefault="003054D5" w:rsidP="001C66E3">
      <w:pPr>
        <w:keepNext/>
        <w:widowControl w:val="0"/>
        <w:rPr>
          <w:szCs w:val="22"/>
          <w:lang w:val="it-IT"/>
        </w:rPr>
      </w:pPr>
      <w:r w:rsidRPr="00C9575C">
        <w:rPr>
          <w:szCs w:val="22"/>
          <w:lang w:val="it-IT"/>
        </w:rPr>
        <w:t>V</w:t>
      </w:r>
      <w:r w:rsidR="0084378B" w:rsidRPr="00C9575C">
        <w:rPr>
          <w:szCs w:val="22"/>
          <w:lang w:val="it-IT"/>
        </w:rPr>
        <w:t>arianti della mutazione M184V o M184I, compaiono nei pazienti con infezione da HIV-1 trattati con una terapia antiretrovirale contenente lamivudina.</w:t>
      </w:r>
      <w:r w:rsidR="000F7BF9" w:rsidRPr="00C9575C">
        <w:rPr>
          <w:szCs w:val="22"/>
          <w:lang w:val="it-IT"/>
        </w:rPr>
        <w:t xml:space="preserve"> </w:t>
      </w:r>
    </w:p>
    <w:p w14:paraId="13F203F5" w14:textId="77777777" w:rsidR="00E40303" w:rsidRPr="00C9575C" w:rsidRDefault="00E40303" w:rsidP="001C66E3">
      <w:pPr>
        <w:keepNext/>
        <w:widowControl w:val="0"/>
        <w:rPr>
          <w:szCs w:val="22"/>
          <w:lang w:val="it-IT"/>
        </w:rPr>
      </w:pPr>
    </w:p>
    <w:p w14:paraId="468E98A2" w14:textId="77777777" w:rsidR="0084378B" w:rsidRPr="00C9575C" w:rsidRDefault="0084378B" w:rsidP="001C66E3">
      <w:pPr>
        <w:keepNext/>
        <w:widowControl w:val="0"/>
        <w:rPr>
          <w:color w:val="000000"/>
          <w:szCs w:val="22"/>
          <w:lang w:val="it-IT"/>
        </w:rPr>
      </w:pPr>
      <w:r w:rsidRPr="00C9575C">
        <w:rPr>
          <w:szCs w:val="22"/>
          <w:lang w:val="it-IT"/>
        </w:rPr>
        <w:t xml:space="preserve">Isolati dalla maggior parte dei pazienti che vanno incontro a fallimento virologico con un regime contenente abacavir negli studi clinici pivotal hanno mostrato sia nessun cambiamento relativo agli NRTI dal valore basale (45%) o la sola selezione di mutazioni </w:t>
      </w:r>
      <w:r w:rsidRPr="00C9575C">
        <w:rPr>
          <w:color w:val="000000"/>
          <w:szCs w:val="22"/>
          <w:lang w:val="it-IT"/>
        </w:rPr>
        <w:t>M184V o M184I (45%). La frequenza di selezione complessiva per M184V o M184I è risultata elevata (54%) e meno comune è risultata la selezione di mutazioni L74V (5%), K65R (1%) e Y115F (1%) (vedere</w:t>
      </w:r>
      <w:r w:rsidR="001C1529" w:rsidRPr="00C9575C">
        <w:rPr>
          <w:color w:val="000000"/>
          <w:szCs w:val="22"/>
          <w:lang w:val="it-IT"/>
        </w:rPr>
        <w:t xml:space="preserve"> la</w:t>
      </w:r>
      <w:r w:rsidRPr="00C9575C">
        <w:rPr>
          <w:color w:val="000000"/>
          <w:szCs w:val="22"/>
          <w:lang w:val="it-IT"/>
        </w:rPr>
        <w:t xml:space="preserve"> </w:t>
      </w:r>
      <w:r w:rsidR="001C1529" w:rsidRPr="00C9575C">
        <w:rPr>
          <w:color w:val="000000"/>
          <w:szCs w:val="22"/>
          <w:lang w:val="it-IT"/>
        </w:rPr>
        <w:t>tabella di seguito</w:t>
      </w:r>
      <w:r w:rsidRPr="00C9575C">
        <w:rPr>
          <w:color w:val="000000"/>
          <w:szCs w:val="22"/>
          <w:lang w:val="it-IT"/>
        </w:rPr>
        <w:t xml:space="preserve">). Si è scoperto che l’inclusione </w:t>
      </w:r>
      <w:r w:rsidR="006F0E47" w:rsidRPr="00C9575C">
        <w:rPr>
          <w:color w:val="000000"/>
          <w:szCs w:val="22"/>
          <w:lang w:val="it-IT"/>
        </w:rPr>
        <w:t>di</w:t>
      </w:r>
      <w:r w:rsidRPr="00C9575C">
        <w:rPr>
          <w:color w:val="000000"/>
          <w:szCs w:val="22"/>
          <w:lang w:val="it-IT"/>
        </w:rPr>
        <w:t xml:space="preserve"> zidovudina nel regime riduce la frequenza di selezione di L74V e K65R in presenza di abacavir (con zidovudina: 0/40, senza zidovudina:15/192, 8%).</w:t>
      </w:r>
    </w:p>
    <w:p w14:paraId="67825564" w14:textId="77777777" w:rsidR="0084378B" w:rsidRPr="00C9575C" w:rsidRDefault="0084378B">
      <w:pPr>
        <w:keepNext/>
        <w:keepLines/>
        <w:widowControl w:val="0"/>
        <w:rPr>
          <w:color w:val="000000"/>
          <w:szCs w:val="22"/>
          <w:lang w:val="it-IT"/>
        </w:rPr>
      </w:pPr>
    </w:p>
    <w:tbl>
      <w:tblPr>
        <w:tblW w:w="458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3"/>
        <w:gridCol w:w="1521"/>
        <w:gridCol w:w="1523"/>
        <w:gridCol w:w="1661"/>
        <w:gridCol w:w="1382"/>
      </w:tblGrid>
      <w:tr w:rsidR="0084378B" w:rsidRPr="00C9575C" w14:paraId="28017AE3" w14:textId="77777777" w:rsidTr="006108FC">
        <w:trPr>
          <w:trHeight w:val="525"/>
        </w:trPr>
        <w:tc>
          <w:tcPr>
            <w:tcW w:w="1394" w:type="pct"/>
            <w:vAlign w:val="center"/>
          </w:tcPr>
          <w:p w14:paraId="0E12D5AB"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Terapia</w:t>
            </w:r>
          </w:p>
        </w:tc>
        <w:tc>
          <w:tcPr>
            <w:tcW w:w="901" w:type="pct"/>
            <w:vAlign w:val="center"/>
          </w:tcPr>
          <w:p w14:paraId="039BA9A9"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Abacavir + Combivir</w:t>
            </w:r>
            <w:r w:rsidRPr="00C9575C">
              <w:rPr>
                <w:rFonts w:ascii="Times New Roman" w:hAnsi="Times New Roman" w:cs="Times New Roman"/>
                <w:b/>
                <w:bCs/>
                <w:sz w:val="22"/>
                <w:szCs w:val="22"/>
                <w:vertAlign w:val="superscript"/>
                <w:lang w:val="it-IT" w:eastAsia="en-GB"/>
              </w:rPr>
              <w:t>1</w:t>
            </w:r>
            <w:r w:rsidRPr="00C9575C">
              <w:rPr>
                <w:rFonts w:ascii="Times New Roman" w:hAnsi="Times New Roman" w:cs="Times New Roman"/>
                <w:b/>
                <w:bCs/>
                <w:sz w:val="22"/>
                <w:szCs w:val="22"/>
                <w:lang w:val="it-IT" w:eastAsia="en-GB"/>
              </w:rPr>
              <w:t xml:space="preserve"> </w:t>
            </w:r>
          </w:p>
        </w:tc>
        <w:tc>
          <w:tcPr>
            <w:tcW w:w="902" w:type="pct"/>
            <w:vAlign w:val="center"/>
          </w:tcPr>
          <w:p w14:paraId="05C87624"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Abacavir + lamivudina + NNRTI</w:t>
            </w:r>
          </w:p>
        </w:tc>
        <w:tc>
          <w:tcPr>
            <w:tcW w:w="984" w:type="pct"/>
            <w:vAlign w:val="center"/>
          </w:tcPr>
          <w:p w14:paraId="7668E9F7"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Abacavir + lamivudina + PI (o PI/ritonavir)</w:t>
            </w:r>
          </w:p>
        </w:tc>
        <w:tc>
          <w:tcPr>
            <w:tcW w:w="819" w:type="pct"/>
            <w:noWrap/>
            <w:vAlign w:val="center"/>
          </w:tcPr>
          <w:p w14:paraId="31E48CFC"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Totale</w:t>
            </w:r>
          </w:p>
        </w:tc>
      </w:tr>
      <w:tr w:rsidR="0084378B" w:rsidRPr="00C9575C" w14:paraId="58A65600" w14:textId="77777777" w:rsidTr="006108FC">
        <w:trPr>
          <w:trHeight w:val="255"/>
        </w:trPr>
        <w:tc>
          <w:tcPr>
            <w:tcW w:w="1394" w:type="pct"/>
            <w:vAlign w:val="center"/>
          </w:tcPr>
          <w:p w14:paraId="5BD41A0C"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Numero di soggetti</w:t>
            </w:r>
          </w:p>
        </w:tc>
        <w:tc>
          <w:tcPr>
            <w:tcW w:w="901" w:type="pct"/>
            <w:vAlign w:val="center"/>
          </w:tcPr>
          <w:p w14:paraId="72F8386A"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282</w:t>
            </w:r>
          </w:p>
        </w:tc>
        <w:tc>
          <w:tcPr>
            <w:tcW w:w="902" w:type="pct"/>
            <w:vAlign w:val="center"/>
          </w:tcPr>
          <w:p w14:paraId="37993697"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1094</w:t>
            </w:r>
          </w:p>
        </w:tc>
        <w:tc>
          <w:tcPr>
            <w:tcW w:w="984" w:type="pct"/>
            <w:vAlign w:val="center"/>
          </w:tcPr>
          <w:p w14:paraId="0BD010E8"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909</w:t>
            </w:r>
          </w:p>
        </w:tc>
        <w:tc>
          <w:tcPr>
            <w:tcW w:w="819" w:type="pct"/>
            <w:vAlign w:val="center"/>
          </w:tcPr>
          <w:p w14:paraId="482543C9"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2285</w:t>
            </w:r>
          </w:p>
        </w:tc>
      </w:tr>
      <w:tr w:rsidR="0084378B" w:rsidRPr="00C9575C" w14:paraId="63B48C67" w14:textId="77777777" w:rsidTr="006108FC">
        <w:trPr>
          <w:trHeight w:val="510"/>
        </w:trPr>
        <w:tc>
          <w:tcPr>
            <w:tcW w:w="1394" w:type="pct"/>
            <w:vAlign w:val="center"/>
          </w:tcPr>
          <w:p w14:paraId="003E31FE"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Numero di fallimenti virologici</w:t>
            </w:r>
          </w:p>
        </w:tc>
        <w:tc>
          <w:tcPr>
            <w:tcW w:w="901" w:type="pct"/>
            <w:vAlign w:val="center"/>
          </w:tcPr>
          <w:p w14:paraId="6D1097A4"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43</w:t>
            </w:r>
          </w:p>
        </w:tc>
        <w:tc>
          <w:tcPr>
            <w:tcW w:w="902" w:type="pct"/>
            <w:vAlign w:val="center"/>
          </w:tcPr>
          <w:p w14:paraId="30965B87"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 xml:space="preserve">90 </w:t>
            </w:r>
          </w:p>
        </w:tc>
        <w:tc>
          <w:tcPr>
            <w:tcW w:w="984" w:type="pct"/>
            <w:vAlign w:val="center"/>
          </w:tcPr>
          <w:p w14:paraId="13420FF4"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158</w:t>
            </w:r>
          </w:p>
        </w:tc>
        <w:tc>
          <w:tcPr>
            <w:tcW w:w="819" w:type="pct"/>
            <w:vAlign w:val="center"/>
          </w:tcPr>
          <w:p w14:paraId="686AC92C"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306</w:t>
            </w:r>
          </w:p>
        </w:tc>
      </w:tr>
      <w:tr w:rsidR="0084378B" w:rsidRPr="00C9575C" w14:paraId="5FF53F55" w14:textId="77777777" w:rsidTr="006108FC">
        <w:trPr>
          <w:trHeight w:val="510"/>
        </w:trPr>
        <w:tc>
          <w:tcPr>
            <w:tcW w:w="1394" w:type="pct"/>
            <w:vAlign w:val="center"/>
          </w:tcPr>
          <w:p w14:paraId="207B2915"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Numero di genotipi in terapia</w:t>
            </w:r>
          </w:p>
        </w:tc>
        <w:tc>
          <w:tcPr>
            <w:tcW w:w="901" w:type="pct"/>
            <w:vAlign w:val="center"/>
          </w:tcPr>
          <w:p w14:paraId="2FE3C00E"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40 (100%)</w:t>
            </w:r>
          </w:p>
        </w:tc>
        <w:tc>
          <w:tcPr>
            <w:tcW w:w="902" w:type="pct"/>
            <w:vAlign w:val="center"/>
          </w:tcPr>
          <w:p w14:paraId="4F4BA01E"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51 (100%)</w:t>
            </w:r>
            <w:r w:rsidRPr="00C9575C">
              <w:rPr>
                <w:rFonts w:ascii="Times New Roman" w:hAnsi="Times New Roman" w:cs="Times New Roman"/>
                <w:sz w:val="22"/>
                <w:szCs w:val="22"/>
                <w:vertAlign w:val="superscript"/>
                <w:lang w:val="it-IT" w:eastAsia="en-GB"/>
              </w:rPr>
              <w:t>2</w:t>
            </w:r>
          </w:p>
        </w:tc>
        <w:tc>
          <w:tcPr>
            <w:tcW w:w="984" w:type="pct"/>
            <w:vAlign w:val="center"/>
          </w:tcPr>
          <w:p w14:paraId="234A803B"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141 (100%)</w:t>
            </w:r>
          </w:p>
        </w:tc>
        <w:tc>
          <w:tcPr>
            <w:tcW w:w="819" w:type="pct"/>
            <w:vAlign w:val="center"/>
          </w:tcPr>
          <w:p w14:paraId="7C262F65"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232 (100%)</w:t>
            </w:r>
          </w:p>
        </w:tc>
      </w:tr>
      <w:tr w:rsidR="0084378B" w:rsidRPr="00C9575C" w14:paraId="1F2AF1B8" w14:textId="77777777" w:rsidTr="006108FC">
        <w:trPr>
          <w:trHeight w:val="510"/>
        </w:trPr>
        <w:tc>
          <w:tcPr>
            <w:tcW w:w="1394" w:type="pct"/>
            <w:vAlign w:val="center"/>
          </w:tcPr>
          <w:p w14:paraId="5E8B93A4"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K65R</w:t>
            </w:r>
          </w:p>
        </w:tc>
        <w:tc>
          <w:tcPr>
            <w:tcW w:w="901" w:type="pct"/>
            <w:vAlign w:val="center"/>
          </w:tcPr>
          <w:p w14:paraId="2BABECC5"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0</w:t>
            </w:r>
          </w:p>
        </w:tc>
        <w:tc>
          <w:tcPr>
            <w:tcW w:w="902" w:type="pct"/>
            <w:vAlign w:val="center"/>
          </w:tcPr>
          <w:p w14:paraId="7DA71482"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1 (2%)</w:t>
            </w:r>
          </w:p>
        </w:tc>
        <w:tc>
          <w:tcPr>
            <w:tcW w:w="984" w:type="pct"/>
            <w:vAlign w:val="center"/>
          </w:tcPr>
          <w:p w14:paraId="0DCAC25B"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2 (1%)</w:t>
            </w:r>
          </w:p>
        </w:tc>
        <w:tc>
          <w:tcPr>
            <w:tcW w:w="819" w:type="pct"/>
            <w:vAlign w:val="center"/>
          </w:tcPr>
          <w:p w14:paraId="368ECBBD"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3 (1%)</w:t>
            </w:r>
          </w:p>
        </w:tc>
      </w:tr>
      <w:tr w:rsidR="0084378B" w:rsidRPr="00C9575C" w14:paraId="45DCBE75" w14:textId="77777777" w:rsidTr="006108FC">
        <w:trPr>
          <w:trHeight w:val="255"/>
        </w:trPr>
        <w:tc>
          <w:tcPr>
            <w:tcW w:w="1394" w:type="pct"/>
            <w:vAlign w:val="center"/>
          </w:tcPr>
          <w:p w14:paraId="4D87F470"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L74V</w:t>
            </w:r>
          </w:p>
        </w:tc>
        <w:tc>
          <w:tcPr>
            <w:tcW w:w="901" w:type="pct"/>
            <w:vAlign w:val="center"/>
          </w:tcPr>
          <w:p w14:paraId="73B9494C"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0</w:t>
            </w:r>
          </w:p>
        </w:tc>
        <w:tc>
          <w:tcPr>
            <w:tcW w:w="902" w:type="pct"/>
            <w:vAlign w:val="center"/>
          </w:tcPr>
          <w:p w14:paraId="263DD5EF"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9 (18%)</w:t>
            </w:r>
          </w:p>
        </w:tc>
        <w:tc>
          <w:tcPr>
            <w:tcW w:w="984" w:type="pct"/>
            <w:vAlign w:val="center"/>
          </w:tcPr>
          <w:p w14:paraId="2D44E5E7"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3 (2%)</w:t>
            </w:r>
          </w:p>
        </w:tc>
        <w:tc>
          <w:tcPr>
            <w:tcW w:w="819" w:type="pct"/>
            <w:vAlign w:val="center"/>
          </w:tcPr>
          <w:p w14:paraId="47348B9C"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12 (5%)</w:t>
            </w:r>
          </w:p>
        </w:tc>
      </w:tr>
      <w:tr w:rsidR="0084378B" w:rsidRPr="00C9575C" w14:paraId="5584203B" w14:textId="77777777" w:rsidTr="006108FC">
        <w:trPr>
          <w:trHeight w:val="255"/>
        </w:trPr>
        <w:tc>
          <w:tcPr>
            <w:tcW w:w="1394" w:type="pct"/>
            <w:vAlign w:val="center"/>
          </w:tcPr>
          <w:p w14:paraId="40835FBA"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Y115F</w:t>
            </w:r>
          </w:p>
        </w:tc>
        <w:tc>
          <w:tcPr>
            <w:tcW w:w="901" w:type="pct"/>
            <w:vAlign w:val="center"/>
          </w:tcPr>
          <w:p w14:paraId="0AFC3884"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0</w:t>
            </w:r>
          </w:p>
        </w:tc>
        <w:tc>
          <w:tcPr>
            <w:tcW w:w="902" w:type="pct"/>
            <w:vAlign w:val="center"/>
          </w:tcPr>
          <w:p w14:paraId="0910E08C"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2 (4%)</w:t>
            </w:r>
          </w:p>
        </w:tc>
        <w:tc>
          <w:tcPr>
            <w:tcW w:w="984" w:type="pct"/>
            <w:vAlign w:val="center"/>
          </w:tcPr>
          <w:p w14:paraId="6782FE00"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0</w:t>
            </w:r>
          </w:p>
        </w:tc>
        <w:tc>
          <w:tcPr>
            <w:tcW w:w="819" w:type="pct"/>
            <w:vAlign w:val="center"/>
          </w:tcPr>
          <w:p w14:paraId="2757271C"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2 (1%)</w:t>
            </w:r>
          </w:p>
        </w:tc>
      </w:tr>
      <w:tr w:rsidR="0084378B" w:rsidRPr="00C9575C" w14:paraId="4259A8BC" w14:textId="77777777" w:rsidTr="006108FC">
        <w:trPr>
          <w:trHeight w:val="255"/>
        </w:trPr>
        <w:tc>
          <w:tcPr>
            <w:tcW w:w="1394" w:type="pct"/>
            <w:vAlign w:val="center"/>
          </w:tcPr>
          <w:p w14:paraId="48D56714"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M184V/I</w:t>
            </w:r>
          </w:p>
        </w:tc>
        <w:tc>
          <w:tcPr>
            <w:tcW w:w="901" w:type="pct"/>
            <w:vAlign w:val="center"/>
          </w:tcPr>
          <w:p w14:paraId="3DE03678"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34 (85%)</w:t>
            </w:r>
          </w:p>
        </w:tc>
        <w:tc>
          <w:tcPr>
            <w:tcW w:w="902" w:type="pct"/>
            <w:vAlign w:val="center"/>
          </w:tcPr>
          <w:p w14:paraId="5D966904"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22 (43%)</w:t>
            </w:r>
          </w:p>
        </w:tc>
        <w:tc>
          <w:tcPr>
            <w:tcW w:w="984" w:type="pct"/>
            <w:vAlign w:val="center"/>
          </w:tcPr>
          <w:p w14:paraId="6E47ACF8"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70 (50%)</w:t>
            </w:r>
          </w:p>
        </w:tc>
        <w:tc>
          <w:tcPr>
            <w:tcW w:w="819" w:type="pct"/>
            <w:vAlign w:val="center"/>
          </w:tcPr>
          <w:p w14:paraId="4EC3A339"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126 (54%)</w:t>
            </w:r>
          </w:p>
        </w:tc>
      </w:tr>
      <w:tr w:rsidR="0084378B" w:rsidRPr="00C9575C" w14:paraId="72F51419" w14:textId="77777777" w:rsidTr="006108FC">
        <w:trPr>
          <w:trHeight w:val="255"/>
        </w:trPr>
        <w:tc>
          <w:tcPr>
            <w:tcW w:w="1394" w:type="pct"/>
            <w:vAlign w:val="center"/>
          </w:tcPr>
          <w:p w14:paraId="04AB04C6" w14:textId="77777777" w:rsidR="0084378B" w:rsidRPr="00C9575C" w:rsidRDefault="0084378B">
            <w:pPr>
              <w:pStyle w:val="tabletextNS"/>
              <w:keepNext/>
              <w:keepLines/>
              <w:widowControl w:val="0"/>
              <w:jc w:val="center"/>
              <w:rPr>
                <w:rFonts w:ascii="Times New Roman" w:hAnsi="Times New Roman" w:cs="Times New Roman"/>
                <w:b/>
                <w:bCs/>
                <w:sz w:val="22"/>
                <w:szCs w:val="22"/>
                <w:lang w:val="it-IT" w:eastAsia="en-GB"/>
              </w:rPr>
            </w:pPr>
            <w:r w:rsidRPr="00C9575C">
              <w:rPr>
                <w:rFonts w:ascii="Times New Roman" w:hAnsi="Times New Roman" w:cs="Times New Roman"/>
                <w:b/>
                <w:bCs/>
                <w:sz w:val="22"/>
                <w:szCs w:val="22"/>
                <w:lang w:val="it-IT" w:eastAsia="en-GB"/>
              </w:rPr>
              <w:t>TAMs</w:t>
            </w:r>
            <w:r w:rsidRPr="00C9575C">
              <w:rPr>
                <w:rFonts w:ascii="Times New Roman" w:hAnsi="Times New Roman" w:cs="Times New Roman"/>
                <w:b/>
                <w:bCs/>
                <w:sz w:val="22"/>
                <w:szCs w:val="22"/>
                <w:vertAlign w:val="superscript"/>
                <w:lang w:val="it-IT" w:eastAsia="en-GB"/>
              </w:rPr>
              <w:t>3</w:t>
            </w:r>
          </w:p>
        </w:tc>
        <w:tc>
          <w:tcPr>
            <w:tcW w:w="901" w:type="pct"/>
            <w:vAlign w:val="center"/>
          </w:tcPr>
          <w:p w14:paraId="2FE2D68E"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3 (8%)</w:t>
            </w:r>
          </w:p>
        </w:tc>
        <w:tc>
          <w:tcPr>
            <w:tcW w:w="902" w:type="pct"/>
            <w:vAlign w:val="center"/>
          </w:tcPr>
          <w:p w14:paraId="2C4DC906"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2 (4%)</w:t>
            </w:r>
          </w:p>
        </w:tc>
        <w:tc>
          <w:tcPr>
            <w:tcW w:w="984" w:type="pct"/>
            <w:vAlign w:val="center"/>
          </w:tcPr>
          <w:p w14:paraId="3F25B0F0"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4 (3%)</w:t>
            </w:r>
          </w:p>
        </w:tc>
        <w:tc>
          <w:tcPr>
            <w:tcW w:w="819" w:type="pct"/>
            <w:vAlign w:val="center"/>
          </w:tcPr>
          <w:p w14:paraId="2401C526" w14:textId="77777777" w:rsidR="0084378B" w:rsidRPr="00C9575C" w:rsidRDefault="0084378B">
            <w:pPr>
              <w:pStyle w:val="tabletextNS"/>
              <w:keepNext/>
              <w:keepLines/>
              <w:widowControl w:val="0"/>
              <w:jc w:val="center"/>
              <w:rPr>
                <w:rFonts w:ascii="Times New Roman" w:hAnsi="Times New Roman" w:cs="Times New Roman"/>
                <w:sz w:val="22"/>
                <w:szCs w:val="22"/>
                <w:lang w:val="it-IT" w:eastAsia="en-GB"/>
              </w:rPr>
            </w:pPr>
            <w:r w:rsidRPr="00C9575C">
              <w:rPr>
                <w:rFonts w:ascii="Times New Roman" w:hAnsi="Times New Roman" w:cs="Times New Roman"/>
                <w:sz w:val="22"/>
                <w:szCs w:val="22"/>
                <w:lang w:val="it-IT" w:eastAsia="en-GB"/>
              </w:rPr>
              <w:t>9 (4%)</w:t>
            </w:r>
          </w:p>
        </w:tc>
      </w:tr>
    </w:tbl>
    <w:p w14:paraId="3F11065B" w14:textId="77777777" w:rsidR="0084378B" w:rsidRPr="00C9575C" w:rsidRDefault="0084378B" w:rsidP="00CA2133">
      <w:pPr>
        <w:keepNext/>
        <w:keepLines/>
        <w:widowControl w:val="0"/>
        <w:tabs>
          <w:tab w:val="left" w:pos="426"/>
          <w:tab w:val="left" w:pos="709"/>
        </w:tabs>
        <w:rPr>
          <w:color w:val="000000"/>
          <w:sz w:val="18"/>
          <w:szCs w:val="18"/>
          <w:lang w:val="it-IT"/>
        </w:rPr>
      </w:pPr>
      <w:r w:rsidRPr="00C9575C">
        <w:rPr>
          <w:color w:val="000000"/>
          <w:szCs w:val="22"/>
          <w:lang w:val="it-IT"/>
        </w:rPr>
        <w:tab/>
      </w:r>
      <w:r w:rsidR="00CA2133" w:rsidRPr="00C9575C">
        <w:rPr>
          <w:color w:val="000000"/>
          <w:sz w:val="18"/>
          <w:szCs w:val="18"/>
          <w:lang w:val="it-IT"/>
        </w:rPr>
        <w:t>1</w:t>
      </w:r>
      <w:r w:rsidR="00CA2133" w:rsidRPr="00C9575C">
        <w:rPr>
          <w:color w:val="000000"/>
          <w:sz w:val="18"/>
          <w:szCs w:val="18"/>
          <w:lang w:val="it-IT"/>
        </w:rPr>
        <w:tab/>
      </w:r>
      <w:r w:rsidRPr="00C9575C">
        <w:rPr>
          <w:color w:val="000000"/>
          <w:sz w:val="18"/>
          <w:szCs w:val="18"/>
          <w:lang w:val="it-IT"/>
        </w:rPr>
        <w:t>Combivir è una associazione a dose fissa di lamivudina e zidovudina</w:t>
      </w:r>
    </w:p>
    <w:p w14:paraId="0B2DB3E4" w14:textId="77777777" w:rsidR="0084378B" w:rsidRPr="00C9575C" w:rsidRDefault="0084378B" w:rsidP="00CA2133">
      <w:pPr>
        <w:keepNext/>
        <w:keepLines/>
        <w:widowControl w:val="0"/>
        <w:tabs>
          <w:tab w:val="left" w:pos="426"/>
          <w:tab w:val="left" w:pos="709"/>
        </w:tabs>
        <w:rPr>
          <w:color w:val="000000"/>
          <w:sz w:val="18"/>
          <w:szCs w:val="18"/>
          <w:lang w:val="it-IT"/>
        </w:rPr>
      </w:pPr>
      <w:r w:rsidRPr="00C9575C">
        <w:rPr>
          <w:color w:val="000000"/>
          <w:sz w:val="18"/>
          <w:szCs w:val="18"/>
          <w:lang w:val="it-IT"/>
        </w:rPr>
        <w:tab/>
      </w:r>
      <w:r w:rsidR="00CA2133" w:rsidRPr="00C9575C">
        <w:rPr>
          <w:color w:val="000000"/>
          <w:sz w:val="18"/>
          <w:szCs w:val="18"/>
          <w:lang w:val="it-IT"/>
        </w:rPr>
        <w:t>2</w:t>
      </w:r>
      <w:r w:rsidR="00CA2133" w:rsidRPr="00C9575C">
        <w:rPr>
          <w:color w:val="000000"/>
          <w:sz w:val="18"/>
          <w:szCs w:val="18"/>
          <w:lang w:val="it-IT"/>
        </w:rPr>
        <w:tab/>
      </w:r>
      <w:r w:rsidRPr="00C9575C">
        <w:rPr>
          <w:color w:val="000000"/>
          <w:sz w:val="18"/>
          <w:szCs w:val="18"/>
          <w:lang w:val="it-IT"/>
        </w:rPr>
        <w:t>Include tre fallimenti non virologici e quattro fallimenti virologici non confermati</w:t>
      </w:r>
    </w:p>
    <w:p w14:paraId="735AFBB4" w14:textId="77777777" w:rsidR="0084378B" w:rsidRPr="00C9575C" w:rsidRDefault="0084378B" w:rsidP="00CA2133">
      <w:pPr>
        <w:keepNext/>
        <w:keepLines/>
        <w:widowControl w:val="0"/>
        <w:tabs>
          <w:tab w:val="left" w:pos="426"/>
          <w:tab w:val="left" w:pos="709"/>
        </w:tabs>
        <w:rPr>
          <w:sz w:val="18"/>
          <w:szCs w:val="18"/>
          <w:lang w:val="it-IT"/>
        </w:rPr>
      </w:pPr>
      <w:r w:rsidRPr="00C9575C">
        <w:rPr>
          <w:sz w:val="18"/>
          <w:szCs w:val="18"/>
          <w:lang w:val="it-IT"/>
        </w:rPr>
        <w:tab/>
      </w:r>
      <w:r w:rsidR="00CA2133" w:rsidRPr="00C9575C">
        <w:rPr>
          <w:sz w:val="18"/>
          <w:szCs w:val="18"/>
          <w:lang w:val="it-IT"/>
        </w:rPr>
        <w:t>3</w:t>
      </w:r>
      <w:r w:rsidR="00CA2133" w:rsidRPr="00C9575C">
        <w:rPr>
          <w:sz w:val="18"/>
          <w:szCs w:val="18"/>
          <w:lang w:val="it-IT"/>
        </w:rPr>
        <w:tab/>
      </w:r>
      <w:r w:rsidRPr="00C9575C">
        <w:rPr>
          <w:sz w:val="18"/>
          <w:szCs w:val="18"/>
          <w:lang w:val="it-IT"/>
        </w:rPr>
        <w:t xml:space="preserve">Numero di soggetti con </w:t>
      </w:r>
      <w:r w:rsidRPr="00C9575C">
        <w:rPr>
          <w:sz w:val="18"/>
          <w:szCs w:val="18"/>
          <w:lang w:val="it-IT" w:eastAsia="en-GB"/>
        </w:rPr>
        <w:t xml:space="preserve">Thymidine Analogue Mutations </w:t>
      </w:r>
      <w:r w:rsidRPr="00C9575C">
        <w:rPr>
          <w:sz w:val="18"/>
          <w:szCs w:val="18"/>
          <w:lang w:val="it-IT"/>
        </w:rPr>
        <w:t>(TAMs) ≥1.</w:t>
      </w:r>
    </w:p>
    <w:p w14:paraId="04772C58" w14:textId="77777777" w:rsidR="0084378B" w:rsidRPr="00C9575C" w:rsidRDefault="0084378B">
      <w:pPr>
        <w:widowControl w:val="0"/>
        <w:rPr>
          <w:szCs w:val="22"/>
          <w:lang w:val="it-IT"/>
        </w:rPr>
      </w:pPr>
    </w:p>
    <w:p w14:paraId="6AECDA7F" w14:textId="77777777" w:rsidR="0084378B" w:rsidRPr="00C9575C" w:rsidRDefault="0084378B">
      <w:pPr>
        <w:widowControl w:val="0"/>
        <w:tabs>
          <w:tab w:val="left" w:pos="567"/>
        </w:tabs>
        <w:rPr>
          <w:szCs w:val="22"/>
          <w:lang w:val="it-IT"/>
        </w:rPr>
      </w:pPr>
      <w:r w:rsidRPr="00C9575C">
        <w:rPr>
          <w:szCs w:val="22"/>
          <w:lang w:val="it-IT"/>
        </w:rPr>
        <w:t>Le mutazioni TAM potrebbero essere selezionate quando analoghi della timidina vengono associati ad abacavir. In una meta-analisi di sei studi clinici, le mutazioni TAM non sono state selezionate da regimi contenenti abacavir senza zidovudina (0/127), ma sono state selezionate da regimi contenenti abacavir e un analogo della timidina, zidovudina (22/86, 26%).</w:t>
      </w:r>
    </w:p>
    <w:p w14:paraId="1B8732A0" w14:textId="77777777" w:rsidR="0084378B" w:rsidRPr="00C9575C" w:rsidRDefault="0084378B">
      <w:pPr>
        <w:widowControl w:val="0"/>
        <w:rPr>
          <w:szCs w:val="22"/>
          <w:lang w:val="it-IT"/>
        </w:rPr>
      </w:pPr>
    </w:p>
    <w:p w14:paraId="2CADDA99" w14:textId="77777777" w:rsidR="003054D5" w:rsidRPr="00C9575C" w:rsidRDefault="0084378B">
      <w:pPr>
        <w:rPr>
          <w:szCs w:val="22"/>
          <w:lang w:val="it-IT"/>
        </w:rPr>
      </w:pPr>
      <w:r w:rsidRPr="00C9575C">
        <w:rPr>
          <w:i/>
          <w:szCs w:val="22"/>
          <w:lang w:val="it-IT"/>
        </w:rPr>
        <w:t>Resistenza in vivo (pazienti già sottoposti a terapia</w:t>
      </w:r>
      <w:r w:rsidRPr="00C9575C">
        <w:rPr>
          <w:szCs w:val="22"/>
          <w:lang w:val="it-IT"/>
        </w:rPr>
        <w:t>)</w:t>
      </w:r>
    </w:p>
    <w:p w14:paraId="24A7FB72" w14:textId="77777777" w:rsidR="003054D5" w:rsidRPr="00C9575C" w:rsidRDefault="003054D5">
      <w:pPr>
        <w:rPr>
          <w:szCs w:val="22"/>
          <w:lang w:val="it-IT"/>
        </w:rPr>
      </w:pPr>
    </w:p>
    <w:p w14:paraId="5B66126A" w14:textId="77777777" w:rsidR="0084378B" w:rsidRPr="00C9575C" w:rsidRDefault="003054D5">
      <w:pPr>
        <w:rPr>
          <w:rStyle w:val="PageNumber"/>
          <w:szCs w:val="22"/>
          <w:lang w:val="it-IT"/>
        </w:rPr>
      </w:pPr>
      <w:r w:rsidRPr="00C9575C">
        <w:rPr>
          <w:szCs w:val="22"/>
          <w:lang w:val="it-IT"/>
        </w:rPr>
        <w:t>V</w:t>
      </w:r>
      <w:r w:rsidR="0084378B" w:rsidRPr="00C9575C">
        <w:rPr>
          <w:szCs w:val="22"/>
          <w:lang w:val="it-IT"/>
        </w:rPr>
        <w:t xml:space="preserve">arianti delle mutazioni M184V o M184I, compaiono nei pazienti con infezione da HIV-1 trattati con una terapia antiretrovirale contenente lamivudina e conferiscono un alto livello di resistenza </w:t>
      </w:r>
      <w:r w:rsidR="006F0E47" w:rsidRPr="00C9575C">
        <w:rPr>
          <w:szCs w:val="22"/>
          <w:lang w:val="it-IT"/>
        </w:rPr>
        <w:t>a</w:t>
      </w:r>
      <w:r w:rsidR="0084378B" w:rsidRPr="00C9575C">
        <w:rPr>
          <w:szCs w:val="22"/>
          <w:lang w:val="it-IT"/>
        </w:rPr>
        <w:t xml:space="preserve"> lamivudina.</w:t>
      </w:r>
      <w:r w:rsidR="0084378B" w:rsidRPr="00C9575C">
        <w:rPr>
          <w:rStyle w:val="PageNumber"/>
          <w:szCs w:val="22"/>
          <w:lang w:val="it-IT"/>
        </w:rPr>
        <w:t xml:space="preserve"> I dati </w:t>
      </w:r>
      <w:r w:rsidR="0084378B" w:rsidRPr="00C9575C">
        <w:rPr>
          <w:rStyle w:val="PageNumber"/>
          <w:i/>
          <w:szCs w:val="22"/>
          <w:lang w:val="it-IT"/>
        </w:rPr>
        <w:t>in vitro</w:t>
      </w:r>
      <w:r w:rsidR="0084378B" w:rsidRPr="00C9575C">
        <w:rPr>
          <w:rStyle w:val="PageNumber"/>
          <w:szCs w:val="22"/>
          <w:lang w:val="it-IT"/>
        </w:rPr>
        <w:t xml:space="preserve"> indicano che l’uso continuato della lamivudina nel regime anti-retrovirale, nonostante lo sviluppo della mutazione M184V, possa conferire una residua attività anti-retrovirale (probabilmente a seguito di un</w:t>
      </w:r>
      <w:r w:rsidR="00D23EB5" w:rsidRPr="00C9575C">
        <w:rPr>
          <w:rStyle w:val="PageNumber"/>
          <w:szCs w:val="22"/>
          <w:lang w:val="it-IT"/>
        </w:rPr>
        <w:t>’</w:t>
      </w:r>
      <w:r w:rsidR="0084378B" w:rsidRPr="00C9575C">
        <w:rPr>
          <w:rStyle w:val="PageNumber"/>
          <w:szCs w:val="22"/>
          <w:lang w:val="it-IT"/>
        </w:rPr>
        <w:t xml:space="preserve">alterata fitness virale). La rilevanza clinica di tali dati non è stata stabilita. Infatti, i dati clinici disponibili sono molto limitati e precludono qualsiasi conclusione attendibile in materia. Comunque l’avvio di una terapia con NRTI ai quali il virus è sensibile è sempre da preferirsi al mantenimento della terapia con lamivudina. Di conseguenza, il mantenimento della terapia con lamivudina, nonostante l’emergenza della mutazione M184V, deve essere preso in considerazione solo nei casi in cui nessun altro NRTI attivo sia disponibile. </w:t>
      </w:r>
    </w:p>
    <w:p w14:paraId="75DD49B7" w14:textId="77777777" w:rsidR="000F7BF9" w:rsidRPr="00C9575C" w:rsidRDefault="000F7BF9">
      <w:pPr>
        <w:rPr>
          <w:rStyle w:val="PageNumber"/>
          <w:szCs w:val="22"/>
          <w:lang w:val="it-IT"/>
        </w:rPr>
      </w:pPr>
    </w:p>
    <w:p w14:paraId="4561F02F" w14:textId="34F04509" w:rsidR="0084378B" w:rsidRPr="00C9575C" w:rsidRDefault="0084378B">
      <w:pPr>
        <w:widowControl w:val="0"/>
        <w:rPr>
          <w:color w:val="000000"/>
          <w:szCs w:val="22"/>
          <w:lang w:val="it-IT"/>
        </w:rPr>
      </w:pPr>
      <w:r w:rsidRPr="00C9575C">
        <w:rPr>
          <w:szCs w:val="22"/>
          <w:lang w:val="it-IT"/>
        </w:rPr>
        <w:t xml:space="preserve">Negli isolati clinici di pazienti con replicazione virale non controllata che sono stati pre-trattati con altri analoghi nucleosidi e ai quali sono resistenti, è stata dimostrata una riduzione clinicamente significativa della sensibilità ad abacavir. In una meta analisi di 5 studi clinici dove abacavir (ABC) è stato aggiunto ad una terapia di intensificazione, su 166 soggetti, 123 (74%) hanno sviluppato </w:t>
      </w:r>
      <w:r w:rsidRPr="00C9575C">
        <w:rPr>
          <w:color w:val="000000"/>
          <w:szCs w:val="22"/>
          <w:lang w:val="it-IT"/>
        </w:rPr>
        <w:t xml:space="preserve">M184V/I, 50 (30%) </w:t>
      </w:r>
      <w:r w:rsidRPr="00C9575C">
        <w:rPr>
          <w:szCs w:val="22"/>
          <w:lang w:val="it-IT"/>
        </w:rPr>
        <w:t xml:space="preserve">hanno sviluppato </w:t>
      </w:r>
      <w:r w:rsidRPr="00C9575C">
        <w:rPr>
          <w:color w:val="000000"/>
          <w:szCs w:val="22"/>
          <w:lang w:val="it-IT"/>
        </w:rPr>
        <w:t xml:space="preserve">T215Y/F, 45 (27%) </w:t>
      </w:r>
      <w:r w:rsidRPr="00C9575C">
        <w:rPr>
          <w:szCs w:val="22"/>
          <w:lang w:val="it-IT"/>
        </w:rPr>
        <w:t xml:space="preserve">hanno sviluppato </w:t>
      </w:r>
      <w:r w:rsidRPr="00C9575C">
        <w:rPr>
          <w:color w:val="000000"/>
          <w:szCs w:val="22"/>
          <w:lang w:val="it-IT"/>
        </w:rPr>
        <w:t xml:space="preserve">M41L, 30 (18%) </w:t>
      </w:r>
      <w:r w:rsidRPr="00C9575C">
        <w:rPr>
          <w:szCs w:val="22"/>
          <w:lang w:val="it-IT"/>
        </w:rPr>
        <w:t xml:space="preserve">hanno sviluppato </w:t>
      </w:r>
      <w:r w:rsidRPr="00C9575C">
        <w:rPr>
          <w:color w:val="000000"/>
          <w:szCs w:val="22"/>
          <w:lang w:val="it-IT"/>
        </w:rPr>
        <w:t xml:space="preserve">K70R e 25 (15%) </w:t>
      </w:r>
      <w:r w:rsidRPr="00C9575C">
        <w:rPr>
          <w:szCs w:val="22"/>
          <w:lang w:val="it-IT"/>
        </w:rPr>
        <w:t xml:space="preserve">hanno sviluppato </w:t>
      </w:r>
      <w:r w:rsidRPr="00C9575C">
        <w:rPr>
          <w:color w:val="000000"/>
          <w:szCs w:val="22"/>
          <w:lang w:val="it-IT"/>
        </w:rPr>
        <w:t>D67N.</w:t>
      </w:r>
      <w:r w:rsidRPr="00C9575C">
        <w:rPr>
          <w:szCs w:val="22"/>
          <w:lang w:val="it-IT"/>
        </w:rPr>
        <w:t xml:space="preserve"> </w:t>
      </w:r>
      <w:r w:rsidRPr="00C9575C">
        <w:rPr>
          <w:color w:val="000000"/>
          <w:szCs w:val="22"/>
          <w:lang w:val="it-IT"/>
        </w:rPr>
        <w:t>K65R era assente e L74V e Y115F non erano frequenti (</w:t>
      </w:r>
      <w:r w:rsidRPr="00C9575C">
        <w:rPr>
          <w:color w:val="000000"/>
          <w:lang w:val="it-IT"/>
        </w:rPr>
        <w:sym w:font="Symbol" w:char="F0A3"/>
      </w:r>
      <w:r w:rsidRPr="00C9575C">
        <w:rPr>
          <w:color w:val="000000"/>
          <w:szCs w:val="22"/>
          <w:lang w:val="it-IT"/>
        </w:rPr>
        <w:t xml:space="preserve"> 3%). Il </w:t>
      </w:r>
      <w:r w:rsidRPr="00C9575C">
        <w:rPr>
          <w:color w:val="000000"/>
          <w:szCs w:val="22"/>
          <w:lang w:val="it-IT"/>
        </w:rPr>
        <w:lastRenderedPageBreak/>
        <w:t>modello di regressione logistica del valore predittivo del genotipo (aggiustato per la concentrazione plasmatica al basale dell’HIV-1 RNA [vRNA], conta delle cellule CD4+, numero e durata delle precedenti terapie antiretrovirali) ha mostrato che la presenza di 3 o più mutazioni associate alla resistenza agli NRTI, era associata ad una ridotta risposta alla 4° settimana (p=0,015) o a 4 o più mutazioni alla 24°settimana di media (p</w:t>
      </w:r>
      <w:r w:rsidRPr="00C9575C">
        <w:rPr>
          <w:color w:val="000000"/>
          <w:lang w:val="it-IT"/>
        </w:rPr>
        <w:sym w:font="Symbol" w:char="F0A3"/>
      </w:r>
      <w:r w:rsidRPr="00C9575C">
        <w:rPr>
          <w:color w:val="000000"/>
          <w:szCs w:val="22"/>
          <w:lang w:val="it-IT"/>
        </w:rPr>
        <w:t>0,012). Inoltre</w:t>
      </w:r>
      <w:r w:rsidR="006108FC" w:rsidRPr="00C9575C">
        <w:rPr>
          <w:color w:val="000000"/>
          <w:szCs w:val="22"/>
          <w:lang w:val="it-IT"/>
        </w:rPr>
        <w:t>,</w:t>
      </w:r>
      <w:r w:rsidRPr="00C9575C">
        <w:rPr>
          <w:color w:val="000000"/>
          <w:szCs w:val="22"/>
          <w:lang w:val="it-IT"/>
        </w:rPr>
        <w:t xml:space="preserve"> l’inserzione dell’amino acido nella posizione 69 o la mutazione Q151M, generalmente trovata in combinazione con A62V, V751, F77L e F116Y, provoca un alto livello di resistenza ad abacavir.</w:t>
      </w:r>
    </w:p>
    <w:p w14:paraId="59481AE8"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p>
    <w:tbl>
      <w:tblPr>
        <w:tblW w:w="0" w:type="auto"/>
        <w:tblInd w:w="6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00"/>
        <w:gridCol w:w="709"/>
        <w:gridCol w:w="1984"/>
        <w:gridCol w:w="2268"/>
      </w:tblGrid>
      <w:tr w:rsidR="00D75058" w:rsidRPr="00C9575C" w14:paraId="191AD542" w14:textId="77777777" w:rsidTr="00FD23A4">
        <w:tc>
          <w:tcPr>
            <w:tcW w:w="2600" w:type="dxa"/>
            <w:tcBorders>
              <w:top w:val="single" w:sz="4" w:space="0" w:color="auto"/>
              <w:bottom w:val="single" w:sz="6" w:space="0" w:color="auto"/>
              <w:right w:val="single" w:sz="4" w:space="0" w:color="auto"/>
            </w:tcBorders>
          </w:tcPr>
          <w:p w14:paraId="3E3D1C56" w14:textId="77777777" w:rsidR="00C53ECE" w:rsidRPr="00C9575C" w:rsidRDefault="00DF415B"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Mutazioni nella trascrittasi i</w:t>
            </w:r>
            <w:r w:rsidR="00C53ECE" w:rsidRPr="00C9575C">
              <w:rPr>
                <w:rFonts w:ascii="Times New Roman" w:hAnsi="Times New Roman" w:cs="Times New Roman"/>
                <w:b/>
                <w:bCs/>
                <w:sz w:val="22"/>
                <w:szCs w:val="22"/>
                <w:lang w:val="it-IT"/>
              </w:rPr>
              <w:t>nversa al basale</w:t>
            </w:r>
          </w:p>
        </w:tc>
        <w:tc>
          <w:tcPr>
            <w:tcW w:w="4961" w:type="dxa"/>
            <w:gridSpan w:val="3"/>
            <w:tcBorders>
              <w:top w:val="single" w:sz="4" w:space="0" w:color="auto"/>
              <w:left w:val="single" w:sz="4" w:space="0" w:color="auto"/>
              <w:right w:val="single" w:sz="4" w:space="0" w:color="auto"/>
            </w:tcBorders>
          </w:tcPr>
          <w:p w14:paraId="4974D1DA"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Settimana 4</w:t>
            </w:r>
          </w:p>
          <w:p w14:paraId="21A38465"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(n = 166)</w:t>
            </w:r>
          </w:p>
        </w:tc>
      </w:tr>
      <w:tr w:rsidR="00D75058" w:rsidRPr="00C9575C" w14:paraId="76F960F7" w14:textId="77777777" w:rsidTr="00FD23A4">
        <w:tc>
          <w:tcPr>
            <w:tcW w:w="2600" w:type="dxa"/>
            <w:tcBorders>
              <w:bottom w:val="single" w:sz="6" w:space="0" w:color="auto"/>
              <w:right w:val="single" w:sz="4" w:space="0" w:color="auto"/>
            </w:tcBorders>
          </w:tcPr>
          <w:p w14:paraId="35741227"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p>
        </w:tc>
        <w:tc>
          <w:tcPr>
            <w:tcW w:w="709" w:type="dxa"/>
            <w:tcBorders>
              <w:left w:val="single" w:sz="4" w:space="0" w:color="auto"/>
            </w:tcBorders>
            <w:vAlign w:val="center"/>
          </w:tcPr>
          <w:p w14:paraId="40E93F74" w14:textId="77777777" w:rsidR="00C53ECE" w:rsidRPr="00C9575C" w:rsidRDefault="00C53ECE" w:rsidP="00FD23A4">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n</w:t>
            </w:r>
          </w:p>
        </w:tc>
        <w:tc>
          <w:tcPr>
            <w:tcW w:w="1984" w:type="dxa"/>
          </w:tcPr>
          <w:p w14:paraId="4F342473" w14:textId="3BE761A4" w:rsidR="00C53ECE" w:rsidRPr="00C9575C" w:rsidRDefault="00C53ECE" w:rsidP="00FD23A4">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Cambiamento della mediana vRNA (log</w:t>
            </w:r>
            <w:r w:rsidRPr="00C9575C">
              <w:rPr>
                <w:rFonts w:ascii="Times New Roman" w:hAnsi="Times New Roman" w:cs="Times New Roman"/>
                <w:b/>
                <w:bCs/>
                <w:sz w:val="22"/>
                <w:szCs w:val="22"/>
                <w:vertAlign w:val="subscript"/>
                <w:lang w:val="it-IT"/>
              </w:rPr>
              <w:t>10</w:t>
            </w:r>
            <w:r w:rsidRPr="00C9575C">
              <w:rPr>
                <w:rFonts w:ascii="Times New Roman" w:hAnsi="Times New Roman" w:cs="Times New Roman"/>
                <w:b/>
                <w:bCs/>
                <w:sz w:val="22"/>
                <w:szCs w:val="22"/>
                <w:lang w:val="it-IT"/>
              </w:rPr>
              <w:t xml:space="preserve"> c/m</w:t>
            </w:r>
            <w:r w:rsidR="006F341F" w:rsidRPr="00C9575C">
              <w:rPr>
                <w:rFonts w:ascii="Times New Roman" w:hAnsi="Times New Roman" w:cs="Times New Roman"/>
                <w:b/>
                <w:bCs/>
                <w:sz w:val="22"/>
                <w:szCs w:val="22"/>
                <w:lang w:val="it-IT"/>
              </w:rPr>
              <w:t>L</w:t>
            </w:r>
            <w:r w:rsidRPr="00C9575C">
              <w:rPr>
                <w:rFonts w:ascii="Times New Roman" w:hAnsi="Times New Roman" w:cs="Times New Roman"/>
                <w:b/>
                <w:bCs/>
                <w:sz w:val="22"/>
                <w:szCs w:val="22"/>
                <w:lang w:val="it-IT"/>
              </w:rPr>
              <w:t>)</w:t>
            </w:r>
          </w:p>
        </w:tc>
        <w:tc>
          <w:tcPr>
            <w:tcW w:w="2268" w:type="dxa"/>
            <w:tcBorders>
              <w:right w:val="single" w:sz="4" w:space="0" w:color="auto"/>
            </w:tcBorders>
          </w:tcPr>
          <w:p w14:paraId="1E672B6B" w14:textId="36999DD5" w:rsidR="00C53ECE" w:rsidRPr="00C9575C" w:rsidRDefault="00C53ECE" w:rsidP="00FD23A4">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Percentuale con &lt;400 copie/m</w:t>
            </w:r>
            <w:r w:rsidR="006F341F" w:rsidRPr="00C9575C">
              <w:rPr>
                <w:rFonts w:ascii="Times New Roman" w:hAnsi="Times New Roman" w:cs="Times New Roman"/>
                <w:b/>
                <w:bCs/>
                <w:sz w:val="22"/>
                <w:szCs w:val="22"/>
                <w:lang w:val="it-IT"/>
              </w:rPr>
              <w:t>L</w:t>
            </w:r>
            <w:r w:rsidRPr="00C9575C">
              <w:rPr>
                <w:rFonts w:ascii="Times New Roman" w:hAnsi="Times New Roman" w:cs="Times New Roman"/>
                <w:b/>
                <w:bCs/>
                <w:sz w:val="22"/>
                <w:szCs w:val="22"/>
                <w:lang w:val="it-IT"/>
              </w:rPr>
              <w:t xml:space="preserve"> vRNA</w:t>
            </w:r>
          </w:p>
        </w:tc>
      </w:tr>
      <w:tr w:rsidR="00D75058" w:rsidRPr="00C9575C" w14:paraId="0A0ACC97" w14:textId="77777777" w:rsidTr="00FD23A4">
        <w:tc>
          <w:tcPr>
            <w:tcW w:w="2600" w:type="dxa"/>
            <w:tcBorders>
              <w:bottom w:val="single" w:sz="6" w:space="0" w:color="auto"/>
              <w:right w:val="single" w:sz="4" w:space="0" w:color="auto"/>
            </w:tcBorders>
          </w:tcPr>
          <w:p w14:paraId="5809CD4E"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Nessuna</w:t>
            </w:r>
          </w:p>
        </w:tc>
        <w:tc>
          <w:tcPr>
            <w:tcW w:w="709" w:type="dxa"/>
            <w:tcBorders>
              <w:left w:val="single" w:sz="4" w:space="0" w:color="auto"/>
            </w:tcBorders>
          </w:tcPr>
          <w:p w14:paraId="0B1600A2"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15</w:t>
            </w:r>
          </w:p>
        </w:tc>
        <w:tc>
          <w:tcPr>
            <w:tcW w:w="1984" w:type="dxa"/>
          </w:tcPr>
          <w:p w14:paraId="6622EB6A"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-0,96</w:t>
            </w:r>
          </w:p>
        </w:tc>
        <w:tc>
          <w:tcPr>
            <w:tcW w:w="2268" w:type="dxa"/>
            <w:tcBorders>
              <w:right w:val="single" w:sz="4" w:space="0" w:color="auto"/>
            </w:tcBorders>
          </w:tcPr>
          <w:p w14:paraId="64AE33EC"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40%</w:t>
            </w:r>
          </w:p>
        </w:tc>
      </w:tr>
      <w:tr w:rsidR="00D75058" w:rsidRPr="00C9575C" w14:paraId="4ADF3699" w14:textId="77777777" w:rsidTr="00FD23A4">
        <w:tc>
          <w:tcPr>
            <w:tcW w:w="2600" w:type="dxa"/>
            <w:tcBorders>
              <w:bottom w:val="single" w:sz="6" w:space="0" w:color="auto"/>
              <w:right w:val="single" w:sz="4" w:space="0" w:color="auto"/>
            </w:tcBorders>
          </w:tcPr>
          <w:p w14:paraId="5B5766E4"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 xml:space="preserve">M184V sola </w:t>
            </w:r>
          </w:p>
        </w:tc>
        <w:tc>
          <w:tcPr>
            <w:tcW w:w="709" w:type="dxa"/>
            <w:tcBorders>
              <w:left w:val="single" w:sz="4" w:space="0" w:color="auto"/>
            </w:tcBorders>
          </w:tcPr>
          <w:p w14:paraId="43130ED9"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75</w:t>
            </w:r>
          </w:p>
        </w:tc>
        <w:tc>
          <w:tcPr>
            <w:tcW w:w="1984" w:type="dxa"/>
          </w:tcPr>
          <w:p w14:paraId="4D2D6263"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-0,74</w:t>
            </w:r>
          </w:p>
        </w:tc>
        <w:tc>
          <w:tcPr>
            <w:tcW w:w="2268" w:type="dxa"/>
            <w:tcBorders>
              <w:right w:val="single" w:sz="4" w:space="0" w:color="auto"/>
            </w:tcBorders>
          </w:tcPr>
          <w:p w14:paraId="61245BB6"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64%</w:t>
            </w:r>
          </w:p>
        </w:tc>
      </w:tr>
      <w:tr w:rsidR="00D75058" w:rsidRPr="00C9575C" w14:paraId="7B016C2A" w14:textId="77777777" w:rsidTr="00FD23A4">
        <w:tc>
          <w:tcPr>
            <w:tcW w:w="2600" w:type="dxa"/>
            <w:tcBorders>
              <w:right w:val="single" w:sz="4" w:space="0" w:color="auto"/>
            </w:tcBorders>
          </w:tcPr>
          <w:p w14:paraId="703E717B"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 xml:space="preserve">Qualsiasi altra mutazione NRTI </w:t>
            </w:r>
          </w:p>
        </w:tc>
        <w:tc>
          <w:tcPr>
            <w:tcW w:w="709" w:type="dxa"/>
            <w:tcBorders>
              <w:left w:val="single" w:sz="4" w:space="0" w:color="auto"/>
            </w:tcBorders>
          </w:tcPr>
          <w:p w14:paraId="26947D16"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82</w:t>
            </w:r>
          </w:p>
        </w:tc>
        <w:tc>
          <w:tcPr>
            <w:tcW w:w="1984" w:type="dxa"/>
          </w:tcPr>
          <w:p w14:paraId="298F8325"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-0,72</w:t>
            </w:r>
          </w:p>
        </w:tc>
        <w:tc>
          <w:tcPr>
            <w:tcW w:w="2268" w:type="dxa"/>
            <w:tcBorders>
              <w:right w:val="single" w:sz="4" w:space="0" w:color="auto"/>
            </w:tcBorders>
          </w:tcPr>
          <w:p w14:paraId="01A6E73B"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65%</w:t>
            </w:r>
          </w:p>
        </w:tc>
      </w:tr>
      <w:tr w:rsidR="00D75058" w:rsidRPr="00C9575C" w14:paraId="575E8D47" w14:textId="77777777" w:rsidTr="00FD23A4">
        <w:tc>
          <w:tcPr>
            <w:tcW w:w="2600" w:type="dxa"/>
            <w:tcBorders>
              <w:right w:val="single" w:sz="4" w:space="0" w:color="auto"/>
            </w:tcBorders>
          </w:tcPr>
          <w:p w14:paraId="009F8E22"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 xml:space="preserve">Altre due mutazioni NRTI associate </w:t>
            </w:r>
          </w:p>
        </w:tc>
        <w:tc>
          <w:tcPr>
            <w:tcW w:w="709" w:type="dxa"/>
            <w:tcBorders>
              <w:left w:val="single" w:sz="4" w:space="0" w:color="auto"/>
            </w:tcBorders>
          </w:tcPr>
          <w:p w14:paraId="041C6B92"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22</w:t>
            </w:r>
          </w:p>
        </w:tc>
        <w:tc>
          <w:tcPr>
            <w:tcW w:w="1984" w:type="dxa"/>
          </w:tcPr>
          <w:p w14:paraId="515782E0"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-0,82</w:t>
            </w:r>
          </w:p>
        </w:tc>
        <w:tc>
          <w:tcPr>
            <w:tcW w:w="2268" w:type="dxa"/>
            <w:tcBorders>
              <w:right w:val="single" w:sz="4" w:space="0" w:color="auto"/>
            </w:tcBorders>
          </w:tcPr>
          <w:p w14:paraId="2544B19D"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32%</w:t>
            </w:r>
          </w:p>
        </w:tc>
      </w:tr>
      <w:tr w:rsidR="00D75058" w:rsidRPr="00C9575C" w14:paraId="502FBD14" w14:textId="77777777" w:rsidTr="00FD23A4">
        <w:tc>
          <w:tcPr>
            <w:tcW w:w="2600" w:type="dxa"/>
            <w:tcBorders>
              <w:right w:val="single" w:sz="4" w:space="0" w:color="auto"/>
            </w:tcBorders>
          </w:tcPr>
          <w:p w14:paraId="615ED44D"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Altre tre mutazioni NRTI associate</w:t>
            </w:r>
          </w:p>
        </w:tc>
        <w:tc>
          <w:tcPr>
            <w:tcW w:w="709" w:type="dxa"/>
            <w:tcBorders>
              <w:left w:val="single" w:sz="4" w:space="0" w:color="auto"/>
            </w:tcBorders>
          </w:tcPr>
          <w:p w14:paraId="0E038350"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19</w:t>
            </w:r>
          </w:p>
        </w:tc>
        <w:tc>
          <w:tcPr>
            <w:tcW w:w="1984" w:type="dxa"/>
          </w:tcPr>
          <w:p w14:paraId="37D158C6"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-0,30</w:t>
            </w:r>
          </w:p>
        </w:tc>
        <w:tc>
          <w:tcPr>
            <w:tcW w:w="2268" w:type="dxa"/>
            <w:tcBorders>
              <w:right w:val="single" w:sz="4" w:space="0" w:color="auto"/>
            </w:tcBorders>
          </w:tcPr>
          <w:p w14:paraId="75476D0F"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5%</w:t>
            </w:r>
          </w:p>
        </w:tc>
      </w:tr>
      <w:tr w:rsidR="00D75058" w:rsidRPr="00C9575C" w14:paraId="58E4E0DF" w14:textId="77777777" w:rsidTr="00FD23A4">
        <w:tc>
          <w:tcPr>
            <w:tcW w:w="2600" w:type="dxa"/>
            <w:tcBorders>
              <w:right w:val="single" w:sz="4" w:space="0" w:color="auto"/>
            </w:tcBorders>
          </w:tcPr>
          <w:p w14:paraId="52758001"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r w:rsidRPr="00C9575C">
              <w:rPr>
                <w:rFonts w:ascii="Times New Roman" w:hAnsi="Times New Roman" w:cs="Times New Roman"/>
                <w:b/>
                <w:bCs/>
                <w:sz w:val="22"/>
                <w:szCs w:val="22"/>
                <w:lang w:val="it-IT"/>
              </w:rPr>
              <w:t>4 o più mutazioni NRTI-associate</w:t>
            </w:r>
          </w:p>
        </w:tc>
        <w:tc>
          <w:tcPr>
            <w:tcW w:w="709" w:type="dxa"/>
            <w:tcBorders>
              <w:left w:val="single" w:sz="4" w:space="0" w:color="auto"/>
            </w:tcBorders>
          </w:tcPr>
          <w:p w14:paraId="00BC9B1B"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28</w:t>
            </w:r>
          </w:p>
        </w:tc>
        <w:tc>
          <w:tcPr>
            <w:tcW w:w="1984" w:type="dxa"/>
          </w:tcPr>
          <w:p w14:paraId="5E970E22"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-0,07</w:t>
            </w:r>
          </w:p>
        </w:tc>
        <w:tc>
          <w:tcPr>
            <w:tcW w:w="2268" w:type="dxa"/>
            <w:tcBorders>
              <w:right w:val="single" w:sz="4" w:space="0" w:color="auto"/>
            </w:tcBorders>
          </w:tcPr>
          <w:p w14:paraId="64061873" w14:textId="77777777" w:rsidR="00C53ECE" w:rsidRPr="00C9575C" w:rsidRDefault="00C53ECE" w:rsidP="00D75058">
            <w:pPr>
              <w:pStyle w:val="tabletextNS"/>
              <w:keepNext/>
              <w:widowControl w:val="0"/>
              <w:jc w:val="center"/>
              <w:rPr>
                <w:rFonts w:ascii="Times New Roman" w:hAnsi="Times New Roman" w:cs="Times New Roman"/>
                <w:bCs/>
                <w:sz w:val="22"/>
                <w:szCs w:val="22"/>
                <w:lang w:val="it-IT"/>
              </w:rPr>
            </w:pPr>
            <w:r w:rsidRPr="00C9575C">
              <w:rPr>
                <w:rFonts w:ascii="Times New Roman" w:hAnsi="Times New Roman" w:cs="Times New Roman"/>
                <w:bCs/>
                <w:sz w:val="22"/>
                <w:szCs w:val="22"/>
                <w:lang w:val="it-IT"/>
              </w:rPr>
              <w:t>11%</w:t>
            </w:r>
          </w:p>
        </w:tc>
      </w:tr>
    </w:tbl>
    <w:p w14:paraId="5F93B6D5" w14:textId="77777777" w:rsidR="00C53ECE" w:rsidRPr="00C9575C" w:rsidRDefault="00C53ECE" w:rsidP="00D75058">
      <w:pPr>
        <w:pStyle w:val="tabletextNS"/>
        <w:keepNext/>
        <w:widowControl w:val="0"/>
        <w:jc w:val="center"/>
        <w:rPr>
          <w:rFonts w:ascii="Times New Roman" w:hAnsi="Times New Roman" w:cs="Times New Roman"/>
          <w:b/>
          <w:bCs/>
          <w:sz w:val="22"/>
          <w:szCs w:val="22"/>
          <w:lang w:val="it-IT"/>
        </w:rPr>
      </w:pPr>
    </w:p>
    <w:p w14:paraId="40D9F1D4" w14:textId="77777777" w:rsidR="003054D5" w:rsidRPr="00C9575C" w:rsidRDefault="0084378B">
      <w:pPr>
        <w:widowControl w:val="0"/>
        <w:rPr>
          <w:i/>
          <w:szCs w:val="22"/>
          <w:lang w:val="it-IT"/>
        </w:rPr>
      </w:pPr>
      <w:r w:rsidRPr="00C9575C">
        <w:rPr>
          <w:i/>
          <w:szCs w:val="22"/>
          <w:lang w:val="it-IT"/>
        </w:rPr>
        <w:t>Resistenza fenotipica e resistenza crociata</w:t>
      </w:r>
    </w:p>
    <w:p w14:paraId="041F33CD" w14:textId="77777777" w:rsidR="003054D5" w:rsidRPr="00C9575C" w:rsidRDefault="003054D5">
      <w:pPr>
        <w:widowControl w:val="0"/>
        <w:rPr>
          <w:i/>
          <w:szCs w:val="22"/>
          <w:lang w:val="it-IT"/>
        </w:rPr>
      </w:pPr>
    </w:p>
    <w:p w14:paraId="3C12F486" w14:textId="77777777" w:rsidR="0084378B" w:rsidRPr="00C9575C" w:rsidRDefault="003054D5">
      <w:pPr>
        <w:widowControl w:val="0"/>
        <w:rPr>
          <w:iCs/>
          <w:szCs w:val="22"/>
          <w:lang w:val="it-IT"/>
        </w:rPr>
      </w:pPr>
      <w:r w:rsidRPr="00C9575C">
        <w:rPr>
          <w:i/>
          <w:szCs w:val="22"/>
          <w:lang w:val="it-IT"/>
        </w:rPr>
        <w:t>L</w:t>
      </w:r>
      <w:r w:rsidR="0084378B" w:rsidRPr="00C9575C">
        <w:rPr>
          <w:szCs w:val="22"/>
          <w:lang w:val="it-IT"/>
        </w:rPr>
        <w:t xml:space="preserve">a resistenza fenotipica ad abacavir richiede la mutazione MI84V con almeno un’altra mutazione selezionata da abacavir, o M184V con mutazioni multiple TAMs. La resistenza fenotipica crociata ad altri NRTI con la sola mutazione M184V o M184I è limitata. Zidovudina, didanosina, stavudina e tenofovir mantengono le loro attività antiretrovirali contro tali varianti dell’HIV-1. La presenza di </w:t>
      </w:r>
      <w:r w:rsidR="0084378B" w:rsidRPr="00C9575C">
        <w:rPr>
          <w:iCs/>
          <w:szCs w:val="22"/>
          <w:lang w:val="it-IT"/>
        </w:rPr>
        <w:t xml:space="preserve">M184V con K65R fa emergere resistenza crociata tra abacavir, tenofovir, didanosina e lamivudina, e la presenza di M184V con L74V fa emergere resistenza crociata tra abacavir, didanosina e lamivudina. La presenza della mutazione </w:t>
      </w:r>
      <w:r w:rsidR="0084378B" w:rsidRPr="00C9575C">
        <w:rPr>
          <w:color w:val="000000"/>
          <w:szCs w:val="22"/>
          <w:lang w:val="it-IT"/>
        </w:rPr>
        <w:t>M184V con Y115F</w:t>
      </w:r>
      <w:r w:rsidR="0084378B" w:rsidRPr="00C9575C">
        <w:rPr>
          <w:iCs/>
          <w:szCs w:val="22"/>
          <w:lang w:val="it-IT"/>
        </w:rPr>
        <w:t xml:space="preserve"> fa emergere resistenza crociata tra abacavir e lamivudina</w:t>
      </w:r>
      <w:r w:rsidR="0084378B" w:rsidRPr="00C9575C">
        <w:rPr>
          <w:szCs w:val="22"/>
          <w:lang w:val="it-IT"/>
        </w:rPr>
        <w:t xml:space="preserve">. </w:t>
      </w:r>
      <w:r w:rsidR="00D7420E" w:rsidRPr="00C9575C">
        <w:rPr>
          <w:szCs w:val="22"/>
          <w:lang w:val="it-IT"/>
        </w:rPr>
        <w:t>Algoritmi p</w:t>
      </w:r>
      <w:r w:rsidR="00E45F8F" w:rsidRPr="00C9575C">
        <w:rPr>
          <w:szCs w:val="22"/>
          <w:lang w:val="it-IT"/>
        </w:rPr>
        <w:t xml:space="preserve">rontamente disponibili di interpretazione </w:t>
      </w:r>
      <w:r w:rsidR="0000184F" w:rsidRPr="00C9575C">
        <w:rPr>
          <w:szCs w:val="22"/>
          <w:lang w:val="it-IT"/>
        </w:rPr>
        <w:t>della</w:t>
      </w:r>
      <w:r w:rsidR="00E45F8F" w:rsidRPr="00C9575C">
        <w:rPr>
          <w:szCs w:val="22"/>
          <w:lang w:val="it-IT"/>
        </w:rPr>
        <w:t xml:space="preserve"> resistenza</w:t>
      </w:r>
      <w:r w:rsidR="00D7420E" w:rsidRPr="00C9575C">
        <w:rPr>
          <w:szCs w:val="22"/>
          <w:lang w:val="it-IT"/>
        </w:rPr>
        <w:t xml:space="preserve"> </w:t>
      </w:r>
      <w:r w:rsidR="00304AEC" w:rsidRPr="00C9575C">
        <w:rPr>
          <w:szCs w:val="22"/>
          <w:lang w:val="it-IT"/>
        </w:rPr>
        <w:t xml:space="preserve">genotipica </w:t>
      </w:r>
      <w:r w:rsidR="00D7420E" w:rsidRPr="00C9575C">
        <w:rPr>
          <w:szCs w:val="22"/>
          <w:lang w:val="it-IT"/>
        </w:rPr>
        <w:t xml:space="preserve">al farmaco </w:t>
      </w:r>
      <w:r w:rsidR="00E45F8F" w:rsidRPr="00C9575C">
        <w:rPr>
          <w:szCs w:val="22"/>
          <w:lang w:val="it-IT"/>
        </w:rPr>
        <w:t xml:space="preserve">e test di sensibilità disponibili in commercio hanno stabilito </w:t>
      </w:r>
      <w:r w:rsidR="00D7420E" w:rsidRPr="00C9575C">
        <w:rPr>
          <w:szCs w:val="22"/>
          <w:lang w:val="it-IT"/>
        </w:rPr>
        <w:t xml:space="preserve">dei </w:t>
      </w:r>
      <w:r w:rsidR="00D7420E" w:rsidRPr="00C9575C">
        <w:rPr>
          <w:i/>
          <w:szCs w:val="22"/>
          <w:lang w:val="it-IT"/>
        </w:rPr>
        <w:t>cut off</w:t>
      </w:r>
      <w:r w:rsidR="00D7420E" w:rsidRPr="00C9575C">
        <w:rPr>
          <w:szCs w:val="22"/>
          <w:lang w:val="it-IT"/>
        </w:rPr>
        <w:t xml:space="preserve"> clinici</w:t>
      </w:r>
      <w:r w:rsidR="00E45F8F" w:rsidRPr="00C9575C">
        <w:rPr>
          <w:szCs w:val="22"/>
          <w:lang w:val="it-IT"/>
        </w:rPr>
        <w:t xml:space="preserve"> per la ridotta attività </w:t>
      </w:r>
      <w:r w:rsidR="001C1529" w:rsidRPr="00C9575C">
        <w:rPr>
          <w:szCs w:val="22"/>
          <w:lang w:val="it-IT"/>
        </w:rPr>
        <w:t xml:space="preserve">per </w:t>
      </w:r>
      <w:r w:rsidR="00E45F8F" w:rsidRPr="00C9575C">
        <w:rPr>
          <w:szCs w:val="22"/>
          <w:lang w:val="it-IT"/>
        </w:rPr>
        <w:t>abacavir e lamivudina</w:t>
      </w:r>
      <w:r w:rsidR="00D7420E" w:rsidRPr="00C9575C">
        <w:rPr>
          <w:szCs w:val="22"/>
          <w:lang w:val="it-IT"/>
        </w:rPr>
        <w:t xml:space="preserve"> come entità farmacologiche separate</w:t>
      </w:r>
      <w:r w:rsidR="0000184F" w:rsidRPr="00C9575C">
        <w:rPr>
          <w:szCs w:val="22"/>
          <w:lang w:val="it-IT"/>
        </w:rPr>
        <w:t>,</w:t>
      </w:r>
      <w:r w:rsidR="00D7420E" w:rsidRPr="00C9575C">
        <w:rPr>
          <w:szCs w:val="22"/>
          <w:lang w:val="it-IT"/>
        </w:rPr>
        <w:t xml:space="preserve"> che predicono la sensibilità, la sensibilità parziale o la resistenza basata sia su una rilevazione diretta della sensibilità o attraverso il calcolo della resistenza del fenotipo dell’HIV-1 dal genotipo virale. L'uso appropriato di abacavir e lamivudina può essere guidato usando questi</w:t>
      </w:r>
      <w:r w:rsidR="00E45F8F" w:rsidRPr="00C9575C">
        <w:rPr>
          <w:iCs/>
          <w:szCs w:val="22"/>
          <w:lang w:val="it-IT"/>
        </w:rPr>
        <w:t xml:space="preserve"> </w:t>
      </w:r>
      <w:r w:rsidR="0084378B" w:rsidRPr="00C9575C">
        <w:rPr>
          <w:iCs/>
          <w:szCs w:val="22"/>
          <w:lang w:val="it-IT"/>
        </w:rPr>
        <w:t xml:space="preserve">algoritmi di resistenza </w:t>
      </w:r>
      <w:r w:rsidR="00D7420E" w:rsidRPr="00C9575C">
        <w:rPr>
          <w:iCs/>
          <w:szCs w:val="22"/>
          <w:lang w:val="it-IT"/>
        </w:rPr>
        <w:t xml:space="preserve">attualmente </w:t>
      </w:r>
      <w:r w:rsidR="0084378B" w:rsidRPr="00C9575C">
        <w:rPr>
          <w:iCs/>
          <w:szCs w:val="22"/>
          <w:lang w:val="it-IT"/>
        </w:rPr>
        <w:t xml:space="preserve">raccomandati. </w:t>
      </w:r>
    </w:p>
    <w:p w14:paraId="3E3B833C" w14:textId="77777777" w:rsidR="00304AEC" w:rsidRPr="00C9575C" w:rsidRDefault="00304AEC">
      <w:pPr>
        <w:widowControl w:val="0"/>
        <w:rPr>
          <w:szCs w:val="22"/>
          <w:lang w:val="it-IT"/>
        </w:rPr>
      </w:pPr>
    </w:p>
    <w:p w14:paraId="0C266460" w14:textId="77777777" w:rsidR="0084378B" w:rsidRPr="00C9575C" w:rsidRDefault="00CF56E2">
      <w:pPr>
        <w:widowControl w:val="0"/>
        <w:rPr>
          <w:szCs w:val="22"/>
          <w:lang w:val="it-IT"/>
        </w:rPr>
      </w:pPr>
      <w:r w:rsidRPr="00C9575C">
        <w:rPr>
          <w:szCs w:val="22"/>
          <w:lang w:val="it-IT"/>
        </w:rPr>
        <w:t xml:space="preserve">È </w:t>
      </w:r>
      <w:r w:rsidR="0084378B" w:rsidRPr="00C9575C">
        <w:rPr>
          <w:szCs w:val="22"/>
          <w:lang w:val="it-IT"/>
        </w:rPr>
        <w:t xml:space="preserve">improbabile la resistenza crociata fra abacavir o lamivudina e antiretrovirali appartenenti ad altre classi ad esempio PI o NNRTI. </w:t>
      </w:r>
    </w:p>
    <w:p w14:paraId="37E5669B" w14:textId="77777777" w:rsidR="0084378B" w:rsidRPr="00C9575C" w:rsidRDefault="0084378B">
      <w:pPr>
        <w:widowControl w:val="0"/>
        <w:tabs>
          <w:tab w:val="left" w:pos="567"/>
        </w:tabs>
        <w:rPr>
          <w:szCs w:val="22"/>
          <w:lang w:val="it-IT"/>
        </w:rPr>
      </w:pPr>
    </w:p>
    <w:p w14:paraId="769E16D5" w14:textId="03E0EFD1" w:rsidR="0084378B" w:rsidRPr="00C9575C" w:rsidRDefault="00CC0BC2">
      <w:pPr>
        <w:widowControl w:val="0"/>
        <w:outlineLvl w:val="0"/>
        <w:rPr>
          <w:i/>
          <w:szCs w:val="22"/>
          <w:u w:val="single"/>
          <w:lang w:val="it-IT"/>
        </w:rPr>
      </w:pPr>
      <w:r w:rsidRPr="00C9575C">
        <w:rPr>
          <w:i/>
          <w:szCs w:val="22"/>
          <w:u w:val="single"/>
          <w:lang w:val="it-IT"/>
        </w:rPr>
        <w:t>Esperienza clinica</w:t>
      </w:r>
      <w:r w:rsidR="0092155C">
        <w:rPr>
          <w:i/>
          <w:szCs w:val="22"/>
          <w:u w:val="single"/>
          <w:lang w:val="it-IT"/>
        </w:rPr>
        <w:fldChar w:fldCharType="begin"/>
      </w:r>
      <w:r w:rsidR="0092155C">
        <w:rPr>
          <w:i/>
          <w:szCs w:val="22"/>
          <w:u w:val="single"/>
          <w:lang w:val="it-IT"/>
        </w:rPr>
        <w:instrText xml:space="preserve"> DOCVARIABLE vault_nd_73bb34e7-1dce-4a3b-bc50-9e14fab1a976 \* MERGEFORMAT </w:instrText>
      </w:r>
      <w:r w:rsidR="0092155C">
        <w:rPr>
          <w:i/>
          <w:szCs w:val="22"/>
          <w:u w:val="single"/>
          <w:lang w:val="it-IT"/>
        </w:rPr>
        <w:fldChar w:fldCharType="separate"/>
      </w:r>
      <w:r w:rsidR="0092155C">
        <w:rPr>
          <w:i/>
          <w:szCs w:val="22"/>
          <w:u w:val="single"/>
          <w:lang w:val="it-IT"/>
        </w:rPr>
        <w:t xml:space="preserve"> </w:t>
      </w:r>
      <w:r w:rsidR="0092155C">
        <w:rPr>
          <w:i/>
          <w:szCs w:val="22"/>
          <w:u w:val="single"/>
          <w:lang w:val="it-IT"/>
        </w:rPr>
        <w:fldChar w:fldCharType="end"/>
      </w:r>
    </w:p>
    <w:p w14:paraId="29DED102" w14:textId="77777777" w:rsidR="0000184F" w:rsidRPr="00C9575C" w:rsidRDefault="0000184F" w:rsidP="0000184F">
      <w:pPr>
        <w:widowControl w:val="0"/>
        <w:rPr>
          <w:szCs w:val="22"/>
          <w:u w:val="single"/>
          <w:lang w:val="it-IT"/>
        </w:rPr>
      </w:pPr>
    </w:p>
    <w:p w14:paraId="6404F54B" w14:textId="77777777" w:rsidR="0000184F" w:rsidRPr="00C9575C" w:rsidRDefault="0000184F" w:rsidP="0000184F">
      <w:pPr>
        <w:widowControl w:val="0"/>
        <w:rPr>
          <w:i/>
          <w:color w:val="000000"/>
          <w:szCs w:val="22"/>
          <w:u w:val="single"/>
          <w:lang w:val="it-IT"/>
        </w:rPr>
      </w:pPr>
      <w:r w:rsidRPr="00C9575C">
        <w:rPr>
          <w:szCs w:val="22"/>
          <w:lang w:val="it-IT"/>
        </w:rPr>
        <w:t>L’esperienza clinica con l’</w:t>
      </w:r>
      <w:r w:rsidR="00304AEC" w:rsidRPr="00C9575C">
        <w:rPr>
          <w:szCs w:val="22"/>
          <w:lang w:val="it-IT"/>
        </w:rPr>
        <w:t>associazione di abaca</w:t>
      </w:r>
      <w:r w:rsidRPr="00C9575C">
        <w:rPr>
          <w:szCs w:val="22"/>
          <w:lang w:val="it-IT"/>
        </w:rPr>
        <w:t xml:space="preserve">vir e lamivudina </w:t>
      </w:r>
      <w:r w:rsidR="004E52D8" w:rsidRPr="00C9575C">
        <w:rPr>
          <w:szCs w:val="22"/>
          <w:lang w:val="it-IT"/>
        </w:rPr>
        <w:t xml:space="preserve">somministrate </w:t>
      </w:r>
      <w:r w:rsidRPr="00C9575C">
        <w:rPr>
          <w:szCs w:val="22"/>
          <w:lang w:val="it-IT"/>
        </w:rPr>
        <w:t xml:space="preserve">una volta al giorno si basa soprattutto su quattro studi in soggetti naïve alla terapia, </w:t>
      </w:r>
      <w:r w:rsidRPr="00C9575C">
        <w:rPr>
          <w:lang w:val="it-IT"/>
        </w:rPr>
        <w:t>CNA30021, EPZ104057 (studio HEAT), ACTG5202 e CNA109586 (studio ASSERT) e su due studi in soggetti già precedentemente trattati, CAL30001 e ESS30008.</w:t>
      </w:r>
    </w:p>
    <w:p w14:paraId="2D432799" w14:textId="77777777" w:rsidR="0084378B" w:rsidRPr="00C9575C" w:rsidRDefault="0084378B">
      <w:pPr>
        <w:widowControl w:val="0"/>
        <w:rPr>
          <w:szCs w:val="22"/>
          <w:u w:val="single"/>
          <w:lang w:val="it-IT"/>
        </w:rPr>
      </w:pPr>
    </w:p>
    <w:p w14:paraId="0452DAE6" w14:textId="77777777" w:rsidR="0084378B" w:rsidRPr="00C9575C" w:rsidRDefault="00CC0BC2">
      <w:pPr>
        <w:widowControl w:val="0"/>
        <w:rPr>
          <w:szCs w:val="22"/>
          <w:u w:val="single"/>
          <w:lang w:val="it-IT"/>
        </w:rPr>
      </w:pPr>
      <w:r w:rsidRPr="00C9575C">
        <w:rPr>
          <w:szCs w:val="22"/>
          <w:u w:val="single"/>
          <w:lang w:val="it-IT"/>
        </w:rPr>
        <w:t xml:space="preserve">Pazienti </w:t>
      </w:r>
      <w:r w:rsidRPr="00C9575C">
        <w:rPr>
          <w:i/>
          <w:szCs w:val="22"/>
          <w:u w:val="single"/>
          <w:lang w:val="it-IT"/>
        </w:rPr>
        <w:t>naïve</w:t>
      </w:r>
      <w:r w:rsidRPr="00C9575C">
        <w:rPr>
          <w:szCs w:val="22"/>
          <w:u w:val="single"/>
          <w:lang w:val="it-IT"/>
        </w:rPr>
        <w:t xml:space="preserve"> alla terapia </w:t>
      </w:r>
    </w:p>
    <w:p w14:paraId="79A45383" w14:textId="77777777" w:rsidR="001023CC" w:rsidRPr="00C9575C" w:rsidRDefault="001023CC">
      <w:pPr>
        <w:widowControl w:val="0"/>
        <w:rPr>
          <w:szCs w:val="22"/>
          <w:lang w:val="it-IT"/>
        </w:rPr>
      </w:pPr>
    </w:p>
    <w:p w14:paraId="3024BE01" w14:textId="77777777" w:rsidR="0084378B" w:rsidRPr="00C9575C" w:rsidRDefault="0084378B">
      <w:pPr>
        <w:widowControl w:val="0"/>
        <w:rPr>
          <w:szCs w:val="22"/>
          <w:lang w:val="it-IT"/>
        </w:rPr>
      </w:pPr>
      <w:r w:rsidRPr="00C9575C">
        <w:rPr>
          <w:szCs w:val="22"/>
          <w:lang w:val="it-IT"/>
        </w:rPr>
        <w:t>La combinazione di abacavir e lamivudina al regime posologico di una volta al giorno è supportata da uno studio controllato (CNA30021), multicentrico, in doppio cieco dell</w:t>
      </w:r>
      <w:r w:rsidR="006C4C7B" w:rsidRPr="00C9575C">
        <w:rPr>
          <w:szCs w:val="22"/>
          <w:lang w:val="it-IT"/>
        </w:rPr>
        <w:t>a durata di 48 settimane su 770 </w:t>
      </w:r>
      <w:r w:rsidRPr="00C9575C">
        <w:rPr>
          <w:szCs w:val="22"/>
          <w:lang w:val="it-IT"/>
        </w:rPr>
        <w:t xml:space="preserve">pazienti adulti con infezione da HIV, </w:t>
      </w:r>
      <w:r w:rsidRPr="00C9575C">
        <w:rPr>
          <w:i/>
          <w:szCs w:val="22"/>
          <w:lang w:val="it-IT"/>
        </w:rPr>
        <w:t xml:space="preserve">naïve </w:t>
      </w:r>
      <w:r w:rsidRPr="00C9575C">
        <w:rPr>
          <w:szCs w:val="22"/>
          <w:lang w:val="it-IT"/>
        </w:rPr>
        <w:t xml:space="preserve">alla terapia. Questi erano, per la maggior parte, pazienti asintomatici con infezione da HIV (CDC:A). I pazienti sono stati randomizzati per ricevere abacavir </w:t>
      </w:r>
      <w:r w:rsidRPr="00C9575C">
        <w:rPr>
          <w:szCs w:val="22"/>
          <w:lang w:val="it-IT"/>
        </w:rPr>
        <w:lastRenderedPageBreak/>
        <w:t>(ABC) 600</w:t>
      </w:r>
      <w:r w:rsidR="00216C71" w:rsidRPr="00C9575C">
        <w:rPr>
          <w:szCs w:val="22"/>
          <w:lang w:val="it-IT"/>
        </w:rPr>
        <w:t> </w:t>
      </w:r>
      <w:r w:rsidRPr="00C9575C">
        <w:rPr>
          <w:szCs w:val="22"/>
          <w:lang w:val="it-IT"/>
        </w:rPr>
        <w:t>mg</w:t>
      </w:r>
      <w:r w:rsidR="00216C71" w:rsidRPr="00C9575C">
        <w:rPr>
          <w:szCs w:val="22"/>
          <w:lang w:val="it-IT"/>
        </w:rPr>
        <w:t xml:space="preserve"> una volta al giorno oppure 300 </w:t>
      </w:r>
      <w:r w:rsidRPr="00C9575C">
        <w:rPr>
          <w:szCs w:val="22"/>
          <w:lang w:val="it-IT"/>
        </w:rPr>
        <w:t xml:space="preserve">mg due volte al giorno, in </w:t>
      </w:r>
      <w:r w:rsidR="00216C71" w:rsidRPr="00C9575C">
        <w:rPr>
          <w:szCs w:val="22"/>
          <w:lang w:val="it-IT"/>
        </w:rPr>
        <w:t>combinazione con lamivudina 300 </w:t>
      </w:r>
      <w:r w:rsidRPr="00C9575C">
        <w:rPr>
          <w:szCs w:val="22"/>
          <w:lang w:val="it-IT"/>
        </w:rPr>
        <w:t>mg una v</w:t>
      </w:r>
      <w:r w:rsidR="00216C71" w:rsidRPr="00C9575C">
        <w:rPr>
          <w:szCs w:val="22"/>
          <w:lang w:val="it-IT"/>
        </w:rPr>
        <w:t>olta al giorno ed efavirenz 600 </w:t>
      </w:r>
      <w:r w:rsidRPr="00C9575C">
        <w:rPr>
          <w:szCs w:val="22"/>
          <w:lang w:val="it-IT"/>
        </w:rPr>
        <w:t>mg una volta al giorno. I risultati sono riassunti nella tabella seguente</w:t>
      </w:r>
      <w:r w:rsidR="00304AEC" w:rsidRPr="00C9575C">
        <w:rPr>
          <w:szCs w:val="22"/>
          <w:lang w:val="it-IT"/>
        </w:rPr>
        <w:t xml:space="preserve"> per sottogruppi</w:t>
      </w:r>
      <w:r w:rsidR="00376939" w:rsidRPr="00C9575C">
        <w:rPr>
          <w:szCs w:val="22"/>
          <w:lang w:val="it-IT"/>
        </w:rPr>
        <w:t>.</w:t>
      </w:r>
    </w:p>
    <w:p w14:paraId="0C99F81F" w14:textId="77777777" w:rsidR="0084378B" w:rsidRPr="00C9575C" w:rsidRDefault="0084378B">
      <w:pPr>
        <w:widowControl w:val="0"/>
        <w:rPr>
          <w:b/>
          <w:szCs w:val="22"/>
          <w:lang w:val="it-IT"/>
        </w:rPr>
      </w:pPr>
    </w:p>
    <w:p w14:paraId="09D062E1" w14:textId="77777777" w:rsidR="001023CC" w:rsidRPr="00C9575C" w:rsidRDefault="001023CC" w:rsidP="001023CC">
      <w:pPr>
        <w:keepNext/>
        <w:rPr>
          <w:b/>
          <w:lang w:val="it-IT"/>
        </w:rPr>
      </w:pPr>
      <w:r w:rsidRPr="00C9575C">
        <w:rPr>
          <w:b/>
          <w:i/>
          <w:lang w:val="it-IT"/>
        </w:rPr>
        <w:t>Outcom</w:t>
      </w:r>
      <w:r w:rsidRPr="00C9575C">
        <w:rPr>
          <w:b/>
          <w:lang w:val="it-IT"/>
        </w:rPr>
        <w:t xml:space="preserve">e di efficacia alla settimana </w:t>
      </w:r>
      <w:smartTag w:uri="urn:schemas-microsoft-com:office:smarttags" w:element="metricconverter">
        <w:smartTagPr>
          <w:attr w:name="ProductID" w:val="48 in"/>
        </w:smartTagPr>
        <w:r w:rsidRPr="00C9575C">
          <w:rPr>
            <w:b/>
            <w:lang w:val="it-IT"/>
          </w:rPr>
          <w:t>48 in</w:t>
        </w:r>
      </w:smartTag>
      <w:r w:rsidRPr="00C9575C">
        <w:rPr>
          <w:b/>
          <w:lang w:val="it-IT"/>
        </w:rPr>
        <w:t xml:space="preserve"> CNA30021 </w:t>
      </w:r>
      <w:r w:rsidR="00856DC2" w:rsidRPr="00C9575C">
        <w:rPr>
          <w:b/>
          <w:lang w:val="it-IT"/>
        </w:rPr>
        <w:t>da</w:t>
      </w:r>
      <w:r w:rsidRPr="00C9575C">
        <w:rPr>
          <w:b/>
          <w:lang w:val="it-IT"/>
        </w:rPr>
        <w:t xml:space="preserve"> </w:t>
      </w:r>
      <w:r w:rsidR="005B24CE" w:rsidRPr="00C9575C">
        <w:rPr>
          <w:b/>
          <w:lang w:val="it-IT"/>
        </w:rPr>
        <w:t>categorie</w:t>
      </w:r>
      <w:r w:rsidR="004E52D8" w:rsidRPr="00C9575C">
        <w:rPr>
          <w:b/>
          <w:lang w:val="it-IT"/>
        </w:rPr>
        <w:t xml:space="preserve"> basali</w:t>
      </w:r>
      <w:r w:rsidR="005B24CE" w:rsidRPr="00C9575C">
        <w:rPr>
          <w:b/>
          <w:lang w:val="it-IT"/>
        </w:rPr>
        <w:t xml:space="preserve"> </w:t>
      </w:r>
      <w:r w:rsidRPr="00C9575C">
        <w:rPr>
          <w:b/>
          <w:lang w:val="it-IT"/>
        </w:rPr>
        <w:t>HIV-1 RNA e CD4 (ITT</w:t>
      </w:r>
      <w:r w:rsidR="008C1EE3" w:rsidRPr="00C9575C">
        <w:rPr>
          <w:b/>
          <w:lang w:val="it-IT"/>
        </w:rPr>
        <w:t xml:space="preserve"> </w:t>
      </w:r>
      <w:r w:rsidRPr="00C9575C">
        <w:rPr>
          <w:b/>
          <w:lang w:val="it-IT"/>
        </w:rPr>
        <w:t xml:space="preserve">e TLOVR ART </w:t>
      </w:r>
      <w:r w:rsidR="00714477" w:rsidRPr="00C9575C">
        <w:rPr>
          <w:b/>
          <w:lang w:val="it-IT"/>
        </w:rPr>
        <w:t xml:space="preserve">soggetti </w:t>
      </w:r>
      <w:r w:rsidR="00CC0BC2" w:rsidRPr="00C9575C">
        <w:rPr>
          <w:b/>
          <w:i/>
          <w:lang w:val="it-IT"/>
        </w:rPr>
        <w:t>naïve</w:t>
      </w:r>
      <w:r w:rsidRPr="00C9575C">
        <w:rPr>
          <w:b/>
          <w:lang w:val="it-IT"/>
        </w:rPr>
        <w:t>).</w:t>
      </w:r>
    </w:p>
    <w:p w14:paraId="1A6E0C43" w14:textId="77777777" w:rsidR="001023CC" w:rsidRPr="00C9575C" w:rsidRDefault="001023CC" w:rsidP="001023CC">
      <w:pPr>
        <w:keepNext/>
        <w:rPr>
          <w:lang w:val="it-I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2268"/>
        <w:gridCol w:w="2552"/>
      </w:tblGrid>
      <w:tr w:rsidR="001023CC" w:rsidRPr="00C9575C" w14:paraId="72D412B0" w14:textId="77777777" w:rsidTr="00300FCD">
        <w:trPr>
          <w:trHeight w:val="907"/>
        </w:trPr>
        <w:tc>
          <w:tcPr>
            <w:tcW w:w="3260" w:type="dxa"/>
          </w:tcPr>
          <w:p w14:paraId="0AD91480" w14:textId="77777777" w:rsidR="001023CC" w:rsidRPr="00C9575C" w:rsidRDefault="001023CC" w:rsidP="00510CCC">
            <w:pPr>
              <w:keepNext/>
              <w:rPr>
                <w:lang w:val="it-IT"/>
              </w:rPr>
            </w:pPr>
          </w:p>
        </w:tc>
        <w:tc>
          <w:tcPr>
            <w:tcW w:w="2268" w:type="dxa"/>
          </w:tcPr>
          <w:p w14:paraId="44F421C8" w14:textId="77777777" w:rsidR="001023CC" w:rsidRPr="00C03451" w:rsidRDefault="001023CC" w:rsidP="00510CCC">
            <w:pPr>
              <w:keepNext/>
              <w:rPr>
                <w:b/>
                <w:bCs/>
                <w:lang w:val="it-IT"/>
              </w:rPr>
            </w:pPr>
            <w:r w:rsidRPr="00C03451">
              <w:rPr>
                <w:b/>
                <w:lang w:val="it-IT"/>
              </w:rPr>
              <w:t xml:space="preserve">ABC </w:t>
            </w:r>
            <w:r w:rsidRPr="00C03451">
              <w:rPr>
                <w:b/>
                <w:bCs/>
                <w:lang w:val="it-IT"/>
              </w:rPr>
              <w:t>QD +3TC+EFV</w:t>
            </w:r>
          </w:p>
          <w:p w14:paraId="64C0C0BC" w14:textId="77777777" w:rsidR="001023CC" w:rsidRPr="00C03451" w:rsidRDefault="001023CC" w:rsidP="00510CCC">
            <w:pPr>
              <w:keepNext/>
              <w:rPr>
                <w:b/>
                <w:bCs/>
                <w:lang w:val="it-IT"/>
              </w:rPr>
            </w:pPr>
            <w:r w:rsidRPr="00C03451">
              <w:rPr>
                <w:b/>
                <w:bCs/>
                <w:lang w:val="it-IT"/>
              </w:rPr>
              <w:t>(n=</w:t>
            </w:r>
            <w:r w:rsidRPr="00C03451">
              <w:rPr>
                <w:b/>
                <w:lang w:val="it-IT"/>
              </w:rPr>
              <w:t>384</w:t>
            </w:r>
            <w:r w:rsidRPr="00C03451">
              <w:rPr>
                <w:b/>
                <w:bCs/>
                <w:lang w:val="it-IT"/>
              </w:rPr>
              <w:t>)</w:t>
            </w:r>
          </w:p>
          <w:p w14:paraId="51AEC649" w14:textId="77777777" w:rsidR="001023CC" w:rsidRPr="00C03451" w:rsidRDefault="001023CC" w:rsidP="00510CCC">
            <w:pPr>
              <w:keepNext/>
              <w:rPr>
                <w:b/>
                <w:lang w:val="it-IT"/>
              </w:rPr>
            </w:pPr>
          </w:p>
        </w:tc>
        <w:tc>
          <w:tcPr>
            <w:tcW w:w="2552" w:type="dxa"/>
          </w:tcPr>
          <w:p w14:paraId="38F9BE21" w14:textId="77777777" w:rsidR="001023CC" w:rsidRPr="00C03451" w:rsidRDefault="001023CC" w:rsidP="00510CCC">
            <w:pPr>
              <w:keepNext/>
              <w:rPr>
                <w:b/>
                <w:bCs/>
                <w:lang w:val="it-IT"/>
              </w:rPr>
            </w:pPr>
            <w:r w:rsidRPr="00C03451">
              <w:rPr>
                <w:b/>
                <w:lang w:val="it-IT"/>
              </w:rPr>
              <w:t xml:space="preserve">ABC </w:t>
            </w:r>
            <w:r w:rsidRPr="00C03451">
              <w:rPr>
                <w:b/>
                <w:bCs/>
                <w:lang w:val="it-IT"/>
              </w:rPr>
              <w:t>BID +3TC+EFV</w:t>
            </w:r>
          </w:p>
          <w:p w14:paraId="5FFFC922" w14:textId="77777777" w:rsidR="001023CC" w:rsidRPr="00C03451" w:rsidRDefault="001023CC" w:rsidP="00510CCC">
            <w:pPr>
              <w:keepNext/>
              <w:rPr>
                <w:b/>
                <w:lang w:val="it-IT"/>
              </w:rPr>
            </w:pPr>
            <w:r w:rsidRPr="00C03451">
              <w:rPr>
                <w:b/>
                <w:bCs/>
                <w:lang w:val="it-IT"/>
              </w:rPr>
              <w:t>(</w:t>
            </w:r>
            <w:r w:rsidRPr="00C03451">
              <w:rPr>
                <w:b/>
                <w:bCs/>
                <w:szCs w:val="22"/>
                <w:lang w:val="it-IT"/>
              </w:rPr>
              <w:t>n=</w:t>
            </w:r>
            <w:r w:rsidRPr="00C03451">
              <w:rPr>
                <w:b/>
                <w:szCs w:val="22"/>
                <w:lang w:val="it-IT"/>
              </w:rPr>
              <w:t>386</w:t>
            </w:r>
            <w:r w:rsidRPr="00C03451">
              <w:rPr>
                <w:b/>
                <w:bCs/>
                <w:lang w:val="it-IT"/>
              </w:rPr>
              <w:t>)</w:t>
            </w:r>
          </w:p>
        </w:tc>
      </w:tr>
      <w:tr w:rsidR="001023CC" w:rsidRPr="00C9575C" w14:paraId="2D50FF04" w14:textId="77777777" w:rsidTr="00300FCD">
        <w:trPr>
          <w:trHeight w:val="873"/>
        </w:trPr>
        <w:tc>
          <w:tcPr>
            <w:tcW w:w="3260" w:type="dxa"/>
          </w:tcPr>
          <w:p w14:paraId="4CDDD502" w14:textId="77777777" w:rsidR="001023CC" w:rsidRPr="00C9575C" w:rsidRDefault="001023CC" w:rsidP="00510CCC">
            <w:pPr>
              <w:keepNext/>
              <w:rPr>
                <w:b/>
                <w:bCs/>
                <w:lang w:val="it-IT"/>
              </w:rPr>
            </w:pPr>
            <w:r w:rsidRPr="00C9575C">
              <w:rPr>
                <w:b/>
                <w:bCs/>
                <w:lang w:val="it-IT"/>
              </w:rPr>
              <w:t>Popolazi</w:t>
            </w:r>
            <w:r w:rsidR="00B362EC" w:rsidRPr="00C9575C">
              <w:rPr>
                <w:b/>
                <w:bCs/>
                <w:lang w:val="it-IT"/>
              </w:rPr>
              <w:t>o</w:t>
            </w:r>
            <w:r w:rsidRPr="00C9575C">
              <w:rPr>
                <w:b/>
                <w:bCs/>
                <w:lang w:val="it-IT"/>
              </w:rPr>
              <w:t>ne ITT-E</w:t>
            </w:r>
          </w:p>
          <w:p w14:paraId="75419D4B" w14:textId="77777777" w:rsidR="001023CC" w:rsidRPr="00C9575C" w:rsidRDefault="00CD4BB6" w:rsidP="00510CCC">
            <w:pPr>
              <w:keepNext/>
              <w:rPr>
                <w:b/>
                <w:bCs/>
                <w:lang w:val="it-IT"/>
              </w:rPr>
            </w:pPr>
            <w:r w:rsidRPr="00C9575C">
              <w:rPr>
                <w:b/>
                <w:bCs/>
                <w:lang w:val="it-IT"/>
              </w:rPr>
              <w:t>TLOVR analisi</w:t>
            </w:r>
          </w:p>
        </w:tc>
        <w:tc>
          <w:tcPr>
            <w:tcW w:w="4820" w:type="dxa"/>
            <w:gridSpan w:val="2"/>
          </w:tcPr>
          <w:p w14:paraId="713C31D7" w14:textId="77F70B84" w:rsidR="001023CC" w:rsidRPr="00C9575C" w:rsidRDefault="00714477" w:rsidP="00714477">
            <w:pPr>
              <w:keepNext/>
              <w:rPr>
                <w:bCs/>
                <w:lang w:val="it-IT"/>
              </w:rPr>
            </w:pPr>
            <w:r w:rsidRPr="00C9575C">
              <w:rPr>
                <w:bCs/>
                <w:lang w:val="it-IT"/>
              </w:rPr>
              <w:t>Percentuale con HIV-1 RNA &lt;</w:t>
            </w:r>
            <w:r w:rsidR="00376768">
              <w:rPr>
                <w:bCs/>
                <w:lang w:val="it-IT"/>
              </w:rPr>
              <w:t> </w:t>
            </w:r>
            <w:r w:rsidRPr="00C9575C">
              <w:rPr>
                <w:bCs/>
                <w:lang w:val="it-IT"/>
              </w:rPr>
              <w:t>50 copie</w:t>
            </w:r>
            <w:r w:rsidR="001023CC" w:rsidRPr="00C9575C">
              <w:rPr>
                <w:bCs/>
                <w:lang w:val="it-IT"/>
              </w:rPr>
              <w:t>/ml</w:t>
            </w:r>
          </w:p>
        </w:tc>
      </w:tr>
      <w:tr w:rsidR="001023CC" w:rsidRPr="00C9575C" w14:paraId="48821267" w14:textId="77777777" w:rsidTr="00300FCD">
        <w:trPr>
          <w:trHeight w:val="542"/>
        </w:trPr>
        <w:tc>
          <w:tcPr>
            <w:tcW w:w="3260" w:type="dxa"/>
          </w:tcPr>
          <w:p w14:paraId="17540450" w14:textId="77777777" w:rsidR="001023CC" w:rsidRPr="00C9575C" w:rsidRDefault="00714477" w:rsidP="00510CCC">
            <w:pPr>
              <w:keepNext/>
              <w:rPr>
                <w:b/>
                <w:lang w:val="it-IT"/>
              </w:rPr>
            </w:pPr>
            <w:r w:rsidRPr="00C9575C">
              <w:rPr>
                <w:b/>
                <w:bCs/>
                <w:lang w:val="it-IT"/>
              </w:rPr>
              <w:t>Tutti i soggetti</w:t>
            </w:r>
          </w:p>
        </w:tc>
        <w:tc>
          <w:tcPr>
            <w:tcW w:w="2268" w:type="dxa"/>
          </w:tcPr>
          <w:p w14:paraId="0D362BF6" w14:textId="77777777" w:rsidR="001023CC" w:rsidRPr="00C9575C" w:rsidRDefault="001023CC" w:rsidP="00510CCC">
            <w:pPr>
              <w:keepNext/>
              <w:rPr>
                <w:lang w:val="it-IT"/>
              </w:rPr>
            </w:pPr>
            <w:r w:rsidRPr="00C9575C">
              <w:rPr>
                <w:lang w:val="it-IT"/>
              </w:rPr>
              <w:t>253/384 (66%)</w:t>
            </w:r>
            <w:r w:rsidRPr="00C9575C">
              <w:rPr>
                <w:bCs/>
                <w:lang w:val="it-IT"/>
              </w:rPr>
              <w:t xml:space="preserve">   </w:t>
            </w:r>
          </w:p>
        </w:tc>
        <w:tc>
          <w:tcPr>
            <w:tcW w:w="2552" w:type="dxa"/>
          </w:tcPr>
          <w:p w14:paraId="72412700" w14:textId="629A5485" w:rsidR="001023CC" w:rsidRPr="00C9575C" w:rsidRDefault="001023CC" w:rsidP="00510CCC">
            <w:pPr>
              <w:keepNext/>
              <w:rPr>
                <w:lang w:val="it-IT"/>
              </w:rPr>
            </w:pPr>
            <w:r w:rsidRPr="00C9575C">
              <w:rPr>
                <w:lang w:val="it-IT"/>
              </w:rPr>
              <w:t>261/386 (68%)</w:t>
            </w:r>
          </w:p>
        </w:tc>
      </w:tr>
      <w:tr w:rsidR="001023CC" w:rsidRPr="00C9575C" w14:paraId="0AB7A21E" w14:textId="77777777" w:rsidTr="00300FCD">
        <w:trPr>
          <w:trHeight w:val="664"/>
        </w:trPr>
        <w:tc>
          <w:tcPr>
            <w:tcW w:w="3260" w:type="dxa"/>
          </w:tcPr>
          <w:p w14:paraId="4108C65F" w14:textId="5B81AEF4" w:rsidR="001023CC" w:rsidRPr="00C9575C" w:rsidRDefault="00714477" w:rsidP="00714477">
            <w:pPr>
              <w:keepNext/>
              <w:rPr>
                <w:b/>
                <w:bCs/>
                <w:lang w:val="it-IT"/>
              </w:rPr>
            </w:pPr>
            <w:r w:rsidRPr="00C9575C">
              <w:rPr>
                <w:b/>
                <w:bCs/>
                <w:lang w:val="it-IT"/>
              </w:rPr>
              <w:t xml:space="preserve">Categoria </w:t>
            </w:r>
            <w:r w:rsidR="001023CC" w:rsidRPr="00C9575C">
              <w:rPr>
                <w:b/>
                <w:bCs/>
                <w:lang w:val="it-IT"/>
              </w:rPr>
              <w:t>RNA</w:t>
            </w:r>
            <w:r w:rsidR="00417A6B" w:rsidRPr="00C9575C">
              <w:rPr>
                <w:b/>
                <w:bCs/>
                <w:lang w:val="it-IT"/>
              </w:rPr>
              <w:t xml:space="preserve"> &lt;</w:t>
            </w:r>
            <w:r w:rsidR="00376768">
              <w:rPr>
                <w:b/>
                <w:bCs/>
                <w:lang w:val="it-IT"/>
              </w:rPr>
              <w:t> </w:t>
            </w:r>
            <w:r w:rsidR="00417A6B" w:rsidRPr="00C9575C">
              <w:rPr>
                <w:b/>
                <w:bCs/>
                <w:lang w:val="it-IT"/>
              </w:rPr>
              <w:t>100.</w:t>
            </w:r>
            <w:r w:rsidRPr="00C9575C">
              <w:rPr>
                <w:b/>
                <w:bCs/>
                <w:lang w:val="it-IT"/>
              </w:rPr>
              <w:t>000 c</w:t>
            </w:r>
            <w:r w:rsidR="00064462" w:rsidRPr="00C9575C">
              <w:rPr>
                <w:b/>
                <w:bCs/>
                <w:lang w:val="it-IT"/>
              </w:rPr>
              <w:t>opie/m</w:t>
            </w:r>
            <w:r w:rsidR="006F341F" w:rsidRPr="00C9575C">
              <w:rPr>
                <w:b/>
                <w:bCs/>
                <w:lang w:val="it-IT"/>
              </w:rPr>
              <w:t>L</w:t>
            </w:r>
            <w:r w:rsidRPr="00C9575C">
              <w:rPr>
                <w:b/>
                <w:bCs/>
                <w:lang w:val="it-IT"/>
              </w:rPr>
              <w:t xml:space="preserve"> al </w:t>
            </w:r>
            <w:r w:rsidR="004E52D8" w:rsidRPr="00C9575C">
              <w:rPr>
                <w:b/>
                <w:bCs/>
                <w:lang w:val="it-IT"/>
              </w:rPr>
              <w:t>basale</w:t>
            </w:r>
          </w:p>
        </w:tc>
        <w:tc>
          <w:tcPr>
            <w:tcW w:w="2268" w:type="dxa"/>
          </w:tcPr>
          <w:p w14:paraId="08AEF2E5" w14:textId="77777777" w:rsidR="001023CC" w:rsidRPr="00C9575C" w:rsidRDefault="001023CC" w:rsidP="00510CCC">
            <w:pPr>
              <w:keepNext/>
              <w:rPr>
                <w:bCs/>
                <w:lang w:val="it-IT"/>
              </w:rPr>
            </w:pPr>
            <w:r w:rsidRPr="00C9575C">
              <w:rPr>
                <w:bCs/>
                <w:lang w:val="it-IT"/>
              </w:rPr>
              <w:t xml:space="preserve">141/217 (65%)   </w:t>
            </w:r>
          </w:p>
        </w:tc>
        <w:tc>
          <w:tcPr>
            <w:tcW w:w="2552" w:type="dxa"/>
          </w:tcPr>
          <w:p w14:paraId="3AA90080" w14:textId="55A96FD2" w:rsidR="001023CC" w:rsidRPr="00C9575C" w:rsidRDefault="001023CC" w:rsidP="00510CCC">
            <w:pPr>
              <w:keepNext/>
              <w:rPr>
                <w:bCs/>
                <w:lang w:val="it-IT"/>
              </w:rPr>
            </w:pPr>
            <w:r w:rsidRPr="00C9575C">
              <w:rPr>
                <w:bCs/>
                <w:lang w:val="it-IT"/>
              </w:rPr>
              <w:t>145/217 (67%)</w:t>
            </w:r>
          </w:p>
          <w:p w14:paraId="00850904" w14:textId="77777777" w:rsidR="001023CC" w:rsidRPr="00C9575C" w:rsidRDefault="001023CC" w:rsidP="00510CCC">
            <w:pPr>
              <w:keepNext/>
              <w:rPr>
                <w:bCs/>
                <w:lang w:val="it-IT"/>
              </w:rPr>
            </w:pPr>
          </w:p>
        </w:tc>
      </w:tr>
      <w:tr w:rsidR="001023CC" w:rsidRPr="00C9575C" w14:paraId="7798D9DB" w14:textId="77777777" w:rsidTr="00300FCD">
        <w:trPr>
          <w:trHeight w:val="846"/>
        </w:trPr>
        <w:tc>
          <w:tcPr>
            <w:tcW w:w="3260" w:type="dxa"/>
          </w:tcPr>
          <w:p w14:paraId="41D30D33" w14:textId="05EBDC42" w:rsidR="001023CC" w:rsidRPr="00C9575C" w:rsidRDefault="00714477" w:rsidP="00714477">
            <w:pPr>
              <w:keepNext/>
              <w:rPr>
                <w:b/>
                <w:bCs/>
                <w:lang w:val="it-IT"/>
              </w:rPr>
            </w:pPr>
            <w:r w:rsidRPr="00C9575C">
              <w:rPr>
                <w:b/>
                <w:bCs/>
                <w:lang w:val="it-IT"/>
              </w:rPr>
              <w:t xml:space="preserve">Categoria </w:t>
            </w:r>
            <w:r w:rsidR="00417A6B" w:rsidRPr="00C9575C">
              <w:rPr>
                <w:b/>
                <w:bCs/>
                <w:lang w:val="it-IT"/>
              </w:rPr>
              <w:t>RNA &gt;=100.</w:t>
            </w:r>
            <w:r w:rsidR="001023CC" w:rsidRPr="00C9575C">
              <w:rPr>
                <w:b/>
                <w:bCs/>
                <w:lang w:val="it-IT"/>
              </w:rPr>
              <w:t>00</w:t>
            </w:r>
            <w:r w:rsidRPr="00C9575C">
              <w:rPr>
                <w:b/>
                <w:bCs/>
                <w:lang w:val="it-IT"/>
              </w:rPr>
              <w:t>0 </w:t>
            </w:r>
            <w:r w:rsidR="00064462" w:rsidRPr="00C9575C">
              <w:rPr>
                <w:b/>
                <w:bCs/>
                <w:lang w:val="it-IT"/>
              </w:rPr>
              <w:t>copie/m</w:t>
            </w:r>
            <w:r w:rsidR="006F341F" w:rsidRPr="00C9575C">
              <w:rPr>
                <w:b/>
                <w:bCs/>
                <w:lang w:val="it-IT"/>
              </w:rPr>
              <w:t>L</w:t>
            </w:r>
            <w:r w:rsidRPr="00C9575C">
              <w:rPr>
                <w:b/>
                <w:bCs/>
                <w:lang w:val="it-IT"/>
              </w:rPr>
              <w:t xml:space="preserve"> al </w:t>
            </w:r>
            <w:r w:rsidR="004E52D8" w:rsidRPr="00C9575C">
              <w:rPr>
                <w:b/>
                <w:bCs/>
                <w:lang w:val="it-IT"/>
              </w:rPr>
              <w:t xml:space="preserve">basale </w:t>
            </w:r>
          </w:p>
        </w:tc>
        <w:tc>
          <w:tcPr>
            <w:tcW w:w="2268" w:type="dxa"/>
          </w:tcPr>
          <w:p w14:paraId="58AE3AA0" w14:textId="6033AEA4" w:rsidR="001023CC" w:rsidRPr="00C9575C" w:rsidRDefault="001023CC" w:rsidP="00510CCC">
            <w:pPr>
              <w:keepNext/>
              <w:rPr>
                <w:bCs/>
                <w:lang w:val="it-IT"/>
              </w:rPr>
            </w:pPr>
            <w:r w:rsidRPr="00C9575C">
              <w:rPr>
                <w:bCs/>
                <w:lang w:val="it-IT"/>
              </w:rPr>
              <w:t xml:space="preserve">112/167 (67%)    </w:t>
            </w:r>
          </w:p>
        </w:tc>
        <w:tc>
          <w:tcPr>
            <w:tcW w:w="2552" w:type="dxa"/>
          </w:tcPr>
          <w:p w14:paraId="2F0BED3C" w14:textId="53E40C7F" w:rsidR="001023CC" w:rsidRPr="00C9575C" w:rsidRDefault="001023CC" w:rsidP="00510CCC">
            <w:pPr>
              <w:keepNext/>
              <w:rPr>
                <w:bCs/>
                <w:lang w:val="it-IT"/>
              </w:rPr>
            </w:pPr>
            <w:r w:rsidRPr="00C9575C">
              <w:rPr>
                <w:bCs/>
                <w:lang w:val="it-IT"/>
              </w:rPr>
              <w:t>116/169 (69%)</w:t>
            </w:r>
          </w:p>
        </w:tc>
      </w:tr>
      <w:tr w:rsidR="001023CC" w:rsidRPr="00C9575C" w14:paraId="786F6C87" w14:textId="77777777" w:rsidTr="00300FCD">
        <w:trPr>
          <w:trHeight w:val="764"/>
        </w:trPr>
        <w:tc>
          <w:tcPr>
            <w:tcW w:w="3260" w:type="dxa"/>
          </w:tcPr>
          <w:p w14:paraId="3DEA9634" w14:textId="1921A4FA" w:rsidR="001023CC" w:rsidRPr="00C9575C" w:rsidRDefault="00714477" w:rsidP="00B362EC">
            <w:pPr>
              <w:keepNext/>
              <w:rPr>
                <w:b/>
                <w:bCs/>
                <w:lang w:val="it-IT"/>
              </w:rPr>
            </w:pPr>
            <w:r w:rsidRPr="00C9575C">
              <w:rPr>
                <w:b/>
                <w:bCs/>
                <w:lang w:val="it-IT"/>
              </w:rPr>
              <w:t>Categoria</w:t>
            </w:r>
            <w:r w:rsidR="001023CC" w:rsidRPr="00C9575C">
              <w:rPr>
                <w:b/>
                <w:bCs/>
                <w:lang w:val="it-IT"/>
              </w:rPr>
              <w:t xml:space="preserve"> CD4 &lt;</w:t>
            </w:r>
            <w:r w:rsidR="00376768">
              <w:rPr>
                <w:b/>
                <w:bCs/>
                <w:lang w:val="it-IT"/>
              </w:rPr>
              <w:t> </w:t>
            </w:r>
            <w:r w:rsidR="001023CC" w:rsidRPr="00C9575C">
              <w:rPr>
                <w:b/>
                <w:bCs/>
                <w:lang w:val="it-IT"/>
              </w:rPr>
              <w:t>50</w:t>
            </w:r>
            <w:r w:rsidR="00B362EC" w:rsidRPr="00C9575C">
              <w:rPr>
                <w:b/>
                <w:bCs/>
                <w:lang w:val="it-IT"/>
              </w:rPr>
              <w:t xml:space="preserve"> al </w:t>
            </w:r>
            <w:r w:rsidR="004E52D8" w:rsidRPr="00C9575C">
              <w:rPr>
                <w:b/>
                <w:bCs/>
                <w:lang w:val="it-IT"/>
              </w:rPr>
              <w:t>basale</w:t>
            </w:r>
          </w:p>
        </w:tc>
        <w:tc>
          <w:tcPr>
            <w:tcW w:w="2268" w:type="dxa"/>
          </w:tcPr>
          <w:p w14:paraId="6B91153D" w14:textId="77777777" w:rsidR="001023CC" w:rsidRPr="00C9575C" w:rsidRDefault="001023CC" w:rsidP="00510CCC">
            <w:pPr>
              <w:keepNext/>
              <w:rPr>
                <w:bCs/>
                <w:lang w:val="it-IT"/>
              </w:rPr>
            </w:pPr>
            <w:r w:rsidRPr="00C9575C">
              <w:rPr>
                <w:bCs/>
                <w:lang w:val="it-IT"/>
              </w:rPr>
              <w:t xml:space="preserve">3/6 (50%)     </w:t>
            </w:r>
          </w:p>
        </w:tc>
        <w:tc>
          <w:tcPr>
            <w:tcW w:w="2552" w:type="dxa"/>
          </w:tcPr>
          <w:p w14:paraId="37E8C8E3" w14:textId="67E4E9A3" w:rsidR="001023CC" w:rsidRPr="00C9575C" w:rsidRDefault="001023CC" w:rsidP="00714477">
            <w:pPr>
              <w:keepNext/>
              <w:rPr>
                <w:bCs/>
                <w:lang w:val="it-IT"/>
              </w:rPr>
            </w:pPr>
            <w:r w:rsidRPr="00C9575C">
              <w:rPr>
                <w:bCs/>
                <w:lang w:val="it-IT"/>
              </w:rPr>
              <w:t>4/6 (67%)</w:t>
            </w:r>
          </w:p>
        </w:tc>
      </w:tr>
      <w:tr w:rsidR="001023CC" w:rsidRPr="00C9575C" w14:paraId="0795C33A" w14:textId="77777777" w:rsidTr="00300FCD">
        <w:trPr>
          <w:trHeight w:val="516"/>
        </w:trPr>
        <w:tc>
          <w:tcPr>
            <w:tcW w:w="3260" w:type="dxa"/>
          </w:tcPr>
          <w:p w14:paraId="65A35C7E" w14:textId="77777777" w:rsidR="001023CC" w:rsidRPr="00C9575C" w:rsidRDefault="00714477" w:rsidP="00714477">
            <w:pPr>
              <w:keepNext/>
              <w:rPr>
                <w:b/>
                <w:bCs/>
                <w:lang w:val="it-IT"/>
              </w:rPr>
            </w:pPr>
            <w:r w:rsidRPr="00C9575C">
              <w:rPr>
                <w:b/>
                <w:bCs/>
                <w:lang w:val="it-IT"/>
              </w:rPr>
              <w:t>Categoria</w:t>
            </w:r>
            <w:r w:rsidR="001023CC" w:rsidRPr="00C9575C">
              <w:rPr>
                <w:b/>
                <w:bCs/>
                <w:lang w:val="it-IT"/>
              </w:rPr>
              <w:t xml:space="preserve"> CD4 </w:t>
            </w:r>
            <w:r w:rsidR="00417A6B" w:rsidRPr="00C9575C">
              <w:rPr>
                <w:b/>
                <w:bCs/>
                <w:lang w:val="it-IT"/>
              </w:rPr>
              <w:t xml:space="preserve"> </w:t>
            </w:r>
            <w:r w:rsidR="001023CC" w:rsidRPr="00C9575C">
              <w:rPr>
                <w:b/>
                <w:bCs/>
                <w:lang w:val="it-IT"/>
              </w:rPr>
              <w:t>50-100</w:t>
            </w:r>
            <w:r w:rsidRPr="00C9575C">
              <w:rPr>
                <w:b/>
                <w:bCs/>
                <w:lang w:val="it-IT"/>
              </w:rPr>
              <w:t xml:space="preserve"> al </w:t>
            </w:r>
            <w:r w:rsidR="004E52D8" w:rsidRPr="00C9575C">
              <w:rPr>
                <w:b/>
                <w:bCs/>
                <w:lang w:val="it-IT"/>
              </w:rPr>
              <w:t>basale</w:t>
            </w:r>
          </w:p>
        </w:tc>
        <w:tc>
          <w:tcPr>
            <w:tcW w:w="2268" w:type="dxa"/>
          </w:tcPr>
          <w:p w14:paraId="47204BE1" w14:textId="77777777" w:rsidR="001023CC" w:rsidRPr="00C9575C" w:rsidRDefault="001023CC" w:rsidP="00510CCC">
            <w:pPr>
              <w:keepNext/>
              <w:rPr>
                <w:bCs/>
                <w:lang w:val="it-IT"/>
              </w:rPr>
            </w:pPr>
            <w:r w:rsidRPr="00C9575C">
              <w:rPr>
                <w:bCs/>
                <w:lang w:val="it-IT"/>
              </w:rPr>
              <w:t xml:space="preserve">21/ 40 (53%)    </w:t>
            </w:r>
          </w:p>
        </w:tc>
        <w:tc>
          <w:tcPr>
            <w:tcW w:w="2552" w:type="dxa"/>
          </w:tcPr>
          <w:p w14:paraId="3D0BC51D" w14:textId="09825433" w:rsidR="001023CC" w:rsidRPr="00C9575C" w:rsidRDefault="001023CC" w:rsidP="00510CCC">
            <w:pPr>
              <w:keepNext/>
              <w:rPr>
                <w:bCs/>
                <w:lang w:val="it-IT"/>
              </w:rPr>
            </w:pPr>
            <w:r w:rsidRPr="00C9575C">
              <w:rPr>
                <w:bCs/>
                <w:lang w:val="it-IT"/>
              </w:rPr>
              <w:t>23/37 (62%)</w:t>
            </w:r>
          </w:p>
        </w:tc>
      </w:tr>
      <w:tr w:rsidR="001023CC" w:rsidRPr="00C9575C" w14:paraId="21F2C156" w14:textId="77777777" w:rsidTr="00300FCD">
        <w:trPr>
          <w:trHeight w:val="516"/>
        </w:trPr>
        <w:tc>
          <w:tcPr>
            <w:tcW w:w="3260" w:type="dxa"/>
          </w:tcPr>
          <w:p w14:paraId="176F4BCF" w14:textId="77777777" w:rsidR="001023CC" w:rsidRPr="00C9575C" w:rsidRDefault="00714477" w:rsidP="00714477">
            <w:pPr>
              <w:keepNext/>
              <w:ind w:right="-108"/>
              <w:rPr>
                <w:b/>
                <w:bCs/>
                <w:lang w:val="it-IT"/>
              </w:rPr>
            </w:pPr>
            <w:r w:rsidRPr="00C9575C">
              <w:rPr>
                <w:b/>
                <w:bCs/>
                <w:lang w:val="it-IT"/>
              </w:rPr>
              <w:t xml:space="preserve">Categoria CD4 </w:t>
            </w:r>
            <w:r w:rsidR="00417A6B" w:rsidRPr="00C9575C">
              <w:rPr>
                <w:b/>
                <w:bCs/>
                <w:lang w:val="it-IT"/>
              </w:rPr>
              <w:t xml:space="preserve"> </w:t>
            </w:r>
            <w:r w:rsidRPr="00C9575C">
              <w:rPr>
                <w:b/>
                <w:bCs/>
                <w:lang w:val="it-IT"/>
              </w:rPr>
              <w:t xml:space="preserve">101-200 al </w:t>
            </w:r>
            <w:r w:rsidR="004E52D8" w:rsidRPr="00C9575C">
              <w:rPr>
                <w:b/>
                <w:bCs/>
                <w:lang w:val="it-IT"/>
              </w:rPr>
              <w:t>basale</w:t>
            </w:r>
          </w:p>
        </w:tc>
        <w:tc>
          <w:tcPr>
            <w:tcW w:w="2268" w:type="dxa"/>
          </w:tcPr>
          <w:p w14:paraId="23BBFF78" w14:textId="77777777" w:rsidR="001023CC" w:rsidRPr="00C9575C" w:rsidRDefault="001023CC" w:rsidP="00510CCC">
            <w:pPr>
              <w:keepNext/>
              <w:rPr>
                <w:bCs/>
                <w:lang w:val="it-IT"/>
              </w:rPr>
            </w:pPr>
            <w:r w:rsidRPr="00C9575C">
              <w:rPr>
                <w:bCs/>
                <w:lang w:val="it-IT"/>
              </w:rPr>
              <w:t xml:space="preserve">57/ 85 (67%)    </w:t>
            </w:r>
          </w:p>
        </w:tc>
        <w:tc>
          <w:tcPr>
            <w:tcW w:w="2552" w:type="dxa"/>
          </w:tcPr>
          <w:p w14:paraId="7E446C11" w14:textId="39BFC43D" w:rsidR="001023CC" w:rsidRPr="00C9575C" w:rsidRDefault="001023CC" w:rsidP="00510CCC">
            <w:pPr>
              <w:keepNext/>
              <w:rPr>
                <w:bCs/>
                <w:lang w:val="it-IT"/>
              </w:rPr>
            </w:pPr>
            <w:r w:rsidRPr="00C9575C">
              <w:rPr>
                <w:bCs/>
                <w:lang w:val="it-IT"/>
              </w:rPr>
              <w:t>43/67 (64%)</w:t>
            </w:r>
          </w:p>
        </w:tc>
      </w:tr>
      <w:tr w:rsidR="001023CC" w:rsidRPr="00C9575C" w14:paraId="5A48F8F8" w14:textId="77777777" w:rsidTr="00300FCD">
        <w:trPr>
          <w:trHeight w:val="457"/>
        </w:trPr>
        <w:tc>
          <w:tcPr>
            <w:tcW w:w="3260" w:type="dxa"/>
          </w:tcPr>
          <w:p w14:paraId="78EFCF23" w14:textId="77777777" w:rsidR="001023CC" w:rsidRPr="00C9575C" w:rsidRDefault="00714477" w:rsidP="00714477">
            <w:pPr>
              <w:keepNext/>
              <w:ind w:right="-108"/>
              <w:rPr>
                <w:b/>
                <w:bCs/>
                <w:lang w:val="it-IT"/>
              </w:rPr>
            </w:pPr>
            <w:r w:rsidRPr="00C9575C">
              <w:rPr>
                <w:b/>
                <w:bCs/>
                <w:lang w:val="it-IT"/>
              </w:rPr>
              <w:t>Categoria CD4</w:t>
            </w:r>
            <w:r w:rsidR="00417A6B" w:rsidRPr="00C9575C">
              <w:rPr>
                <w:b/>
                <w:bCs/>
                <w:lang w:val="it-IT"/>
              </w:rPr>
              <w:t xml:space="preserve"> </w:t>
            </w:r>
            <w:r w:rsidRPr="00C9575C">
              <w:rPr>
                <w:b/>
                <w:bCs/>
                <w:lang w:val="it-IT"/>
              </w:rPr>
              <w:t xml:space="preserve"> 201-350 al </w:t>
            </w:r>
            <w:r w:rsidR="004E52D8" w:rsidRPr="00C9575C">
              <w:rPr>
                <w:b/>
                <w:bCs/>
                <w:lang w:val="it-IT"/>
              </w:rPr>
              <w:t>basale</w:t>
            </w:r>
          </w:p>
        </w:tc>
        <w:tc>
          <w:tcPr>
            <w:tcW w:w="2268" w:type="dxa"/>
          </w:tcPr>
          <w:p w14:paraId="22EA7C2F" w14:textId="77777777" w:rsidR="001023CC" w:rsidRPr="00C9575C" w:rsidRDefault="001023CC" w:rsidP="00510CCC">
            <w:pPr>
              <w:keepNext/>
              <w:rPr>
                <w:bCs/>
                <w:lang w:val="it-IT"/>
              </w:rPr>
            </w:pPr>
            <w:r w:rsidRPr="00C9575C">
              <w:rPr>
                <w:bCs/>
                <w:lang w:val="it-IT"/>
              </w:rPr>
              <w:t xml:space="preserve">101/143 (71%)   </w:t>
            </w:r>
          </w:p>
        </w:tc>
        <w:tc>
          <w:tcPr>
            <w:tcW w:w="2552" w:type="dxa"/>
          </w:tcPr>
          <w:p w14:paraId="18AAE454" w14:textId="24B687BE" w:rsidR="001023CC" w:rsidRPr="00C9575C" w:rsidRDefault="001023CC" w:rsidP="00510CCC">
            <w:pPr>
              <w:keepNext/>
              <w:rPr>
                <w:bCs/>
                <w:lang w:val="it-IT"/>
              </w:rPr>
            </w:pPr>
            <w:r w:rsidRPr="00C9575C">
              <w:rPr>
                <w:bCs/>
                <w:lang w:val="it-IT"/>
              </w:rPr>
              <w:t>114/170 (67%)</w:t>
            </w:r>
          </w:p>
          <w:p w14:paraId="6F062867" w14:textId="77777777" w:rsidR="001023CC" w:rsidRPr="00C9575C" w:rsidRDefault="001023CC" w:rsidP="00510CCC">
            <w:pPr>
              <w:keepNext/>
              <w:rPr>
                <w:bCs/>
                <w:lang w:val="it-IT"/>
              </w:rPr>
            </w:pPr>
          </w:p>
        </w:tc>
      </w:tr>
      <w:tr w:rsidR="001023CC" w:rsidRPr="00C9575C" w14:paraId="53A582E3" w14:textId="77777777" w:rsidTr="00300FCD">
        <w:trPr>
          <w:trHeight w:val="516"/>
        </w:trPr>
        <w:tc>
          <w:tcPr>
            <w:tcW w:w="3260" w:type="dxa"/>
          </w:tcPr>
          <w:p w14:paraId="3C841E2E" w14:textId="5FFC2DE3" w:rsidR="001023CC" w:rsidRPr="00C9575C" w:rsidRDefault="00714477" w:rsidP="00714477">
            <w:pPr>
              <w:keepNext/>
              <w:rPr>
                <w:b/>
                <w:bCs/>
                <w:lang w:val="it-IT"/>
              </w:rPr>
            </w:pPr>
            <w:r w:rsidRPr="00C9575C">
              <w:rPr>
                <w:b/>
                <w:bCs/>
                <w:lang w:val="it-IT"/>
              </w:rPr>
              <w:t>Categoria</w:t>
            </w:r>
            <w:r w:rsidR="001023CC" w:rsidRPr="00C9575C">
              <w:rPr>
                <w:b/>
                <w:bCs/>
                <w:lang w:val="it-IT"/>
              </w:rPr>
              <w:t xml:space="preserve"> CD4 &gt;</w:t>
            </w:r>
            <w:r w:rsidR="00376768">
              <w:rPr>
                <w:b/>
                <w:bCs/>
                <w:lang w:val="it-IT"/>
              </w:rPr>
              <w:t> </w:t>
            </w:r>
            <w:r w:rsidR="001023CC" w:rsidRPr="00C9575C">
              <w:rPr>
                <w:b/>
                <w:bCs/>
                <w:lang w:val="it-IT"/>
              </w:rPr>
              <w:t>3</w:t>
            </w:r>
            <w:r w:rsidRPr="00C9575C">
              <w:rPr>
                <w:b/>
                <w:bCs/>
                <w:lang w:val="it-IT"/>
              </w:rPr>
              <w:t xml:space="preserve">50 al </w:t>
            </w:r>
            <w:r w:rsidR="004E52D8" w:rsidRPr="00C9575C">
              <w:rPr>
                <w:b/>
                <w:bCs/>
                <w:lang w:val="it-IT"/>
              </w:rPr>
              <w:t>basale</w:t>
            </w:r>
          </w:p>
        </w:tc>
        <w:tc>
          <w:tcPr>
            <w:tcW w:w="2268" w:type="dxa"/>
          </w:tcPr>
          <w:p w14:paraId="3386AD9E" w14:textId="77777777" w:rsidR="001023CC" w:rsidRPr="00C9575C" w:rsidRDefault="001023CC" w:rsidP="00510CCC">
            <w:pPr>
              <w:keepNext/>
              <w:rPr>
                <w:bCs/>
                <w:lang w:val="it-IT"/>
              </w:rPr>
            </w:pPr>
            <w:r w:rsidRPr="00C9575C">
              <w:rPr>
                <w:bCs/>
                <w:lang w:val="it-IT"/>
              </w:rPr>
              <w:t xml:space="preserve">71/109 (65%)    </w:t>
            </w:r>
          </w:p>
        </w:tc>
        <w:tc>
          <w:tcPr>
            <w:tcW w:w="2552" w:type="dxa"/>
          </w:tcPr>
          <w:p w14:paraId="50BF573F" w14:textId="19E98944" w:rsidR="001023CC" w:rsidRPr="00C9575C" w:rsidRDefault="001023CC" w:rsidP="00510CCC">
            <w:pPr>
              <w:keepNext/>
              <w:rPr>
                <w:bCs/>
                <w:lang w:val="it-IT"/>
              </w:rPr>
            </w:pPr>
            <w:r w:rsidRPr="00C9575C">
              <w:rPr>
                <w:bCs/>
                <w:lang w:val="it-IT"/>
              </w:rPr>
              <w:t>76/105 (72%)</w:t>
            </w:r>
          </w:p>
          <w:p w14:paraId="5782E55A" w14:textId="77777777" w:rsidR="001023CC" w:rsidRPr="00C9575C" w:rsidRDefault="001023CC" w:rsidP="00510CCC">
            <w:pPr>
              <w:keepNext/>
              <w:rPr>
                <w:bCs/>
                <w:lang w:val="it-IT"/>
              </w:rPr>
            </w:pPr>
          </w:p>
        </w:tc>
      </w:tr>
      <w:tr w:rsidR="001023CC" w:rsidRPr="00C9575C" w14:paraId="1C430B0D" w14:textId="77777777" w:rsidTr="00300FCD">
        <w:trPr>
          <w:trHeight w:val="516"/>
        </w:trPr>
        <w:tc>
          <w:tcPr>
            <w:tcW w:w="3260" w:type="dxa"/>
          </w:tcPr>
          <w:p w14:paraId="0F9B2C76" w14:textId="6879422B" w:rsidR="001023CC" w:rsidRPr="00C9575C" w:rsidRDefault="00714477" w:rsidP="00510CCC">
            <w:pPr>
              <w:keepNext/>
              <w:rPr>
                <w:b/>
                <w:bCs/>
                <w:lang w:val="it-IT"/>
              </w:rPr>
            </w:pPr>
            <w:r w:rsidRPr="00C9575C">
              <w:rPr>
                <w:b/>
                <w:bCs/>
                <w:lang w:val="it-IT"/>
              </w:rPr>
              <w:t xml:space="preserve">Riduzione </w:t>
            </w:r>
            <w:r w:rsidR="001023CC" w:rsidRPr="00C9575C">
              <w:rPr>
                <w:b/>
                <w:bCs/>
                <w:lang w:val="it-IT"/>
              </w:rPr>
              <w:t xml:space="preserve">&gt;1 log </w:t>
            </w:r>
            <w:r w:rsidR="00216C71" w:rsidRPr="00C9575C">
              <w:rPr>
                <w:b/>
                <w:bCs/>
                <w:lang w:val="it-IT"/>
              </w:rPr>
              <w:t xml:space="preserve">nell’HIV RNA </w:t>
            </w:r>
            <w:r w:rsidRPr="00C9575C">
              <w:rPr>
                <w:b/>
                <w:bCs/>
                <w:lang w:val="it-IT"/>
              </w:rPr>
              <w:t>o</w:t>
            </w:r>
            <w:r w:rsidR="00064462" w:rsidRPr="00C9575C">
              <w:rPr>
                <w:b/>
                <w:bCs/>
                <w:lang w:val="it-IT"/>
              </w:rPr>
              <w:t xml:space="preserve"> &lt;</w:t>
            </w:r>
            <w:r w:rsidR="00376768">
              <w:rPr>
                <w:b/>
                <w:bCs/>
                <w:lang w:val="it-IT"/>
              </w:rPr>
              <w:t> </w:t>
            </w:r>
            <w:r w:rsidR="00064462" w:rsidRPr="00C9575C">
              <w:rPr>
                <w:b/>
                <w:bCs/>
                <w:lang w:val="it-IT"/>
              </w:rPr>
              <w:t>50 copie/m</w:t>
            </w:r>
            <w:r w:rsidR="006F341F" w:rsidRPr="00C9575C">
              <w:rPr>
                <w:b/>
                <w:bCs/>
                <w:lang w:val="it-IT"/>
              </w:rPr>
              <w:t>L</w:t>
            </w:r>
          </w:p>
          <w:p w14:paraId="4F057738" w14:textId="7F92A800" w:rsidR="001023CC" w:rsidRPr="00C9575C" w:rsidRDefault="00714477" w:rsidP="00714477">
            <w:pPr>
              <w:keepNext/>
              <w:rPr>
                <w:b/>
                <w:bCs/>
                <w:lang w:val="it-IT"/>
              </w:rPr>
            </w:pPr>
            <w:r w:rsidRPr="00C9575C">
              <w:rPr>
                <w:b/>
                <w:bCs/>
                <w:lang w:val="it-IT"/>
              </w:rPr>
              <w:t>Tutti i pazienti</w:t>
            </w:r>
          </w:p>
        </w:tc>
        <w:tc>
          <w:tcPr>
            <w:tcW w:w="2268" w:type="dxa"/>
          </w:tcPr>
          <w:p w14:paraId="1FBB7CB5" w14:textId="38440668" w:rsidR="001023CC" w:rsidRPr="00C9575C" w:rsidRDefault="001023CC" w:rsidP="00510CCC">
            <w:pPr>
              <w:keepNext/>
              <w:rPr>
                <w:bCs/>
                <w:lang w:val="it-IT"/>
              </w:rPr>
            </w:pPr>
            <w:r w:rsidRPr="00C9575C">
              <w:rPr>
                <w:bCs/>
                <w:lang w:val="it-IT"/>
              </w:rPr>
              <w:t xml:space="preserve">372/384 (97%)  </w:t>
            </w:r>
          </w:p>
        </w:tc>
        <w:tc>
          <w:tcPr>
            <w:tcW w:w="2552" w:type="dxa"/>
          </w:tcPr>
          <w:p w14:paraId="76ABEBAA" w14:textId="0EEC4A42" w:rsidR="001023CC" w:rsidRPr="00C9575C" w:rsidRDefault="001023CC" w:rsidP="00510CCC">
            <w:pPr>
              <w:keepNext/>
              <w:rPr>
                <w:bCs/>
                <w:lang w:val="it-IT"/>
              </w:rPr>
            </w:pPr>
            <w:r w:rsidRPr="00C9575C">
              <w:rPr>
                <w:bCs/>
                <w:lang w:val="it-IT"/>
              </w:rPr>
              <w:t>373/386</w:t>
            </w:r>
            <w:r w:rsidR="00100311" w:rsidRPr="00C9575C">
              <w:rPr>
                <w:bCs/>
                <w:lang w:val="it-IT"/>
              </w:rPr>
              <w:t xml:space="preserve"> </w:t>
            </w:r>
            <w:r w:rsidRPr="00C9575C">
              <w:rPr>
                <w:bCs/>
                <w:lang w:val="it-IT"/>
              </w:rPr>
              <w:t>(97%)</w:t>
            </w:r>
          </w:p>
          <w:p w14:paraId="3C7CD6A3" w14:textId="77777777" w:rsidR="001023CC" w:rsidRPr="00C9575C" w:rsidRDefault="001023CC" w:rsidP="00510CCC">
            <w:pPr>
              <w:keepNext/>
              <w:rPr>
                <w:bCs/>
                <w:lang w:val="it-IT"/>
              </w:rPr>
            </w:pPr>
          </w:p>
        </w:tc>
      </w:tr>
    </w:tbl>
    <w:p w14:paraId="530BB169" w14:textId="77777777" w:rsidR="00E40303" w:rsidRPr="00C9575C" w:rsidRDefault="00E40303">
      <w:pPr>
        <w:widowControl w:val="0"/>
        <w:tabs>
          <w:tab w:val="left" w:pos="567"/>
        </w:tabs>
        <w:rPr>
          <w:szCs w:val="22"/>
          <w:lang w:val="it-IT"/>
        </w:rPr>
      </w:pPr>
    </w:p>
    <w:p w14:paraId="02A1F220" w14:textId="77777777" w:rsidR="0084378B" w:rsidRPr="00C9575C" w:rsidRDefault="0084378B">
      <w:pPr>
        <w:widowControl w:val="0"/>
        <w:tabs>
          <w:tab w:val="left" w:pos="567"/>
        </w:tabs>
        <w:rPr>
          <w:szCs w:val="22"/>
          <w:lang w:val="it-IT"/>
        </w:rPr>
      </w:pPr>
      <w:r w:rsidRPr="00C9575C">
        <w:rPr>
          <w:szCs w:val="22"/>
          <w:lang w:val="it-IT"/>
        </w:rPr>
        <w:t>In entrambi i regimi è stato osservato un successo clinico simile (stima puntuale della</w:t>
      </w:r>
      <w:r w:rsidR="006E40B1" w:rsidRPr="00C9575C">
        <w:rPr>
          <w:szCs w:val="22"/>
          <w:lang w:val="it-IT"/>
        </w:rPr>
        <w:t xml:space="preserve"> differenza dei trattamenti: -1,7, 95 % CI -8,</w:t>
      </w:r>
      <w:r w:rsidR="00E75129" w:rsidRPr="00C9575C">
        <w:rPr>
          <w:szCs w:val="22"/>
          <w:lang w:val="it-IT"/>
        </w:rPr>
        <w:t xml:space="preserve">4, 4.9). </w:t>
      </w:r>
      <w:r w:rsidRPr="00C9575C">
        <w:rPr>
          <w:szCs w:val="22"/>
          <w:lang w:val="it-IT"/>
        </w:rPr>
        <w:t>Da questi risultati, con un intervallo di confidenza del 95%, si può concludere che la differenza reale non sia maggiore di 8,4% a favore del regime posologico due volte al giorno. Questa potenziale differenza è sufficientemente piccola per condurre ad una conclusione finale di non inferiorità del regime abacavir una volta al giorno rispetto al regime abacavir due volte al giorno.</w:t>
      </w:r>
    </w:p>
    <w:p w14:paraId="19D25519" w14:textId="77777777" w:rsidR="00A619DC" w:rsidRPr="00C9575C" w:rsidRDefault="00A619DC">
      <w:pPr>
        <w:widowControl w:val="0"/>
        <w:tabs>
          <w:tab w:val="left" w:pos="567"/>
        </w:tabs>
        <w:rPr>
          <w:rStyle w:val="PageNumber"/>
          <w:szCs w:val="22"/>
          <w:lang w:val="it-IT"/>
        </w:rPr>
      </w:pPr>
    </w:p>
    <w:p w14:paraId="35175EA7" w14:textId="305ECA54" w:rsidR="0084378B" w:rsidRPr="00C9575C" w:rsidRDefault="0084378B">
      <w:pPr>
        <w:widowControl w:val="0"/>
        <w:tabs>
          <w:tab w:val="left" w:pos="567"/>
        </w:tabs>
        <w:rPr>
          <w:rStyle w:val="PageNumber"/>
          <w:szCs w:val="22"/>
          <w:lang w:val="it-IT"/>
        </w:rPr>
      </w:pPr>
      <w:r w:rsidRPr="00C9575C">
        <w:rPr>
          <w:rStyle w:val="PageNumber"/>
          <w:szCs w:val="22"/>
          <w:lang w:val="it-IT"/>
        </w:rPr>
        <w:t>L’incidenza del fallimento virologico (carica virale &gt;50</w:t>
      </w:r>
      <w:r w:rsidR="00376768">
        <w:rPr>
          <w:rStyle w:val="PageNumber"/>
          <w:szCs w:val="22"/>
          <w:lang w:val="it-IT"/>
        </w:rPr>
        <w:t> </w:t>
      </w:r>
      <w:r w:rsidRPr="00C9575C">
        <w:rPr>
          <w:rStyle w:val="PageNumber"/>
          <w:szCs w:val="22"/>
          <w:lang w:val="it-IT"/>
        </w:rPr>
        <w:t>copie/m</w:t>
      </w:r>
      <w:r w:rsidR="006F341F" w:rsidRPr="00C9575C">
        <w:rPr>
          <w:rStyle w:val="PageNumber"/>
          <w:szCs w:val="22"/>
          <w:lang w:val="it-IT"/>
        </w:rPr>
        <w:t>L</w:t>
      </w:r>
      <w:r w:rsidRPr="00C9575C">
        <w:rPr>
          <w:rStyle w:val="PageNumber"/>
          <w:szCs w:val="22"/>
          <w:lang w:val="it-IT"/>
        </w:rPr>
        <w:t xml:space="preserve">) è risultata bassa e, nel complesso, simile in entrambi i gruppi di trattamento, al regime posologico una volta al giorno e due volte al giorno (10 % e 8 % rispettivamente). In un campione di piccole dimensioni per l’analisi genotipica, </w:t>
      </w:r>
    </w:p>
    <w:p w14:paraId="5C96EA7B" w14:textId="77777777" w:rsidR="00E40303" w:rsidRPr="00C9575C" w:rsidRDefault="0084378B" w:rsidP="008015AC">
      <w:pPr>
        <w:widowControl w:val="0"/>
        <w:tabs>
          <w:tab w:val="left" w:pos="567"/>
        </w:tabs>
        <w:rPr>
          <w:lang w:val="it-IT"/>
        </w:rPr>
      </w:pPr>
      <w:r w:rsidRPr="00C9575C">
        <w:rPr>
          <w:rStyle w:val="PageNumber"/>
          <w:szCs w:val="22"/>
          <w:lang w:val="it-IT"/>
        </w:rPr>
        <w:t>è emersa una tendenza verso un tasso maggiore di mutazioni associate agli NRTI nel gruppo abacavir al regime una volta al giorno, rispetto al gruppo abacavir al regime due volte al giorno.</w:t>
      </w:r>
      <w:r w:rsidR="008015AC" w:rsidRPr="00C9575C">
        <w:rPr>
          <w:rStyle w:val="PageNumber"/>
          <w:szCs w:val="22"/>
          <w:lang w:val="it-IT"/>
        </w:rPr>
        <w:t xml:space="preserve"> </w:t>
      </w:r>
      <w:r w:rsidRPr="00C9575C">
        <w:rPr>
          <w:rStyle w:val="PageNumber"/>
          <w:szCs w:val="22"/>
          <w:lang w:val="it-IT"/>
        </w:rPr>
        <w:t xml:space="preserve">Non può essere tratta alcuna conclusione definitiva, dal momento che i dati provenienti da questo studio sono limitati. </w:t>
      </w:r>
    </w:p>
    <w:p w14:paraId="24AE6B45" w14:textId="77777777" w:rsidR="00310C8F" w:rsidRPr="00C9575C" w:rsidRDefault="00310C8F" w:rsidP="00E40303">
      <w:pPr>
        <w:rPr>
          <w:lang w:val="it-IT"/>
        </w:rPr>
      </w:pPr>
    </w:p>
    <w:p w14:paraId="5255EFD6" w14:textId="77777777" w:rsidR="00E40303" w:rsidRPr="00C9575C" w:rsidRDefault="007472F3" w:rsidP="00E40303">
      <w:pPr>
        <w:rPr>
          <w:lang w:val="it-IT"/>
        </w:rPr>
      </w:pPr>
      <w:r w:rsidRPr="00C9575C">
        <w:rPr>
          <w:lang w:val="it-IT"/>
        </w:rPr>
        <w:t>Ci sono dati discordanti in alcuni studi di confronto con Kivexa</w:t>
      </w:r>
      <w:r w:rsidR="00B362EC" w:rsidRPr="00C9575C">
        <w:rPr>
          <w:lang w:val="it-IT"/>
        </w:rPr>
        <w:t xml:space="preserve"> come, HEAT, ACTG5202 e ASSERT</w:t>
      </w:r>
      <w:r w:rsidRPr="00C9575C">
        <w:rPr>
          <w:lang w:val="it-IT"/>
        </w:rPr>
        <w:t>:</w:t>
      </w:r>
    </w:p>
    <w:p w14:paraId="45DEC04E" w14:textId="77777777" w:rsidR="00E75129" w:rsidRPr="00C9575C" w:rsidRDefault="00E75129" w:rsidP="00E40303">
      <w:pPr>
        <w:rPr>
          <w:lang w:val="it-IT"/>
        </w:rPr>
      </w:pPr>
    </w:p>
    <w:p w14:paraId="0D8448D4" w14:textId="77777777" w:rsidR="00E40303" w:rsidRPr="00C9575C" w:rsidRDefault="007472F3" w:rsidP="00E40303">
      <w:pPr>
        <w:rPr>
          <w:lang w:val="it-IT"/>
        </w:rPr>
      </w:pPr>
      <w:r w:rsidRPr="00C9575C">
        <w:rPr>
          <w:lang w:val="it-IT"/>
        </w:rPr>
        <w:t>EPZ104057 (studio HEAT) era uno studio randomizzato, in doppio cieco, confrontato con placebo, di 96 settimane, multicentrico con l’obiet</w:t>
      </w:r>
      <w:r w:rsidR="00483C24" w:rsidRPr="00C9575C">
        <w:rPr>
          <w:lang w:val="it-IT"/>
        </w:rPr>
        <w:t>t</w:t>
      </w:r>
      <w:r w:rsidRPr="00C9575C">
        <w:rPr>
          <w:lang w:val="it-IT"/>
        </w:rPr>
        <w:t>ivo primario di valutare l’efficacia relativa di</w:t>
      </w:r>
      <w:r w:rsidR="0077199F" w:rsidRPr="00C9575C">
        <w:rPr>
          <w:lang w:val="it-IT"/>
        </w:rPr>
        <w:t xml:space="preserve"> </w:t>
      </w:r>
      <w:r w:rsidRPr="00C9575C">
        <w:rPr>
          <w:lang w:val="it-IT"/>
        </w:rPr>
        <w:t>abacavir/lamivudina (ABC/3TC, 600</w:t>
      </w:r>
      <w:r w:rsidR="00C4431A" w:rsidRPr="00C9575C">
        <w:rPr>
          <w:lang w:val="it-IT"/>
        </w:rPr>
        <w:t> </w:t>
      </w:r>
      <w:r w:rsidRPr="00C9575C">
        <w:rPr>
          <w:lang w:val="it-IT"/>
        </w:rPr>
        <w:t>mg/300</w:t>
      </w:r>
      <w:r w:rsidR="00C4431A" w:rsidRPr="00C9575C">
        <w:rPr>
          <w:lang w:val="it-IT"/>
        </w:rPr>
        <w:t> </w:t>
      </w:r>
      <w:r w:rsidRPr="00C9575C">
        <w:rPr>
          <w:lang w:val="it-IT"/>
        </w:rPr>
        <w:t>mg) e tenofovir /emtricitabina (TDF/FTC, 300</w:t>
      </w:r>
      <w:r w:rsidR="00C4431A" w:rsidRPr="00C9575C">
        <w:rPr>
          <w:lang w:val="it-IT"/>
        </w:rPr>
        <w:t> </w:t>
      </w:r>
      <w:r w:rsidRPr="00C9575C">
        <w:rPr>
          <w:lang w:val="it-IT"/>
        </w:rPr>
        <w:t>mg/200</w:t>
      </w:r>
      <w:r w:rsidR="00C4431A" w:rsidRPr="00C9575C">
        <w:rPr>
          <w:lang w:val="it-IT"/>
        </w:rPr>
        <w:t> </w:t>
      </w:r>
      <w:r w:rsidRPr="00C9575C">
        <w:rPr>
          <w:lang w:val="it-IT"/>
        </w:rPr>
        <w:t>mg), ciascuno somministrato una volta al giorno in combinazione con lopinavir/ritonavir (LPV/r, 800</w:t>
      </w:r>
      <w:r w:rsidR="00C4431A" w:rsidRPr="00C9575C">
        <w:rPr>
          <w:lang w:val="it-IT"/>
        </w:rPr>
        <w:t> </w:t>
      </w:r>
      <w:r w:rsidRPr="00C9575C">
        <w:rPr>
          <w:lang w:val="it-IT"/>
        </w:rPr>
        <w:t>mg/200</w:t>
      </w:r>
      <w:r w:rsidR="00C4431A" w:rsidRPr="00C9575C">
        <w:rPr>
          <w:lang w:val="it-IT"/>
        </w:rPr>
        <w:t> </w:t>
      </w:r>
      <w:r w:rsidRPr="00C9575C">
        <w:rPr>
          <w:lang w:val="it-IT"/>
        </w:rPr>
        <w:t xml:space="preserve">mg) nei pazienti adulti con infezione da HIV </w:t>
      </w:r>
      <w:r w:rsidRPr="00C9575C">
        <w:rPr>
          <w:i/>
          <w:lang w:val="it-IT"/>
        </w:rPr>
        <w:t>naive</w:t>
      </w:r>
      <w:r w:rsidRPr="00C9575C">
        <w:rPr>
          <w:lang w:val="it-IT"/>
        </w:rPr>
        <w:t xml:space="preserve"> alla terapia. L’analisi di </w:t>
      </w:r>
      <w:r w:rsidRPr="00C9575C">
        <w:rPr>
          <w:lang w:val="it-IT"/>
        </w:rPr>
        <w:lastRenderedPageBreak/>
        <w:t xml:space="preserve">efficacia primaria è stata condotta alla settimana 48 con il proseguimento dello studio </w:t>
      </w:r>
      <w:r w:rsidR="00E459E8" w:rsidRPr="00C9575C">
        <w:rPr>
          <w:lang w:val="it-IT"/>
        </w:rPr>
        <w:t xml:space="preserve">fino </w:t>
      </w:r>
      <w:r w:rsidRPr="00C9575C">
        <w:rPr>
          <w:lang w:val="it-IT"/>
        </w:rPr>
        <w:t xml:space="preserve">alla settimana 96 e </w:t>
      </w:r>
      <w:r w:rsidR="00E459E8" w:rsidRPr="00C9575C">
        <w:rPr>
          <w:lang w:val="it-IT"/>
        </w:rPr>
        <w:t xml:space="preserve">ha </w:t>
      </w:r>
      <w:r w:rsidRPr="00C9575C">
        <w:rPr>
          <w:lang w:val="it-IT"/>
        </w:rPr>
        <w:t>dimostrat</w:t>
      </w:r>
      <w:r w:rsidR="00E459E8" w:rsidRPr="00C9575C">
        <w:rPr>
          <w:lang w:val="it-IT"/>
        </w:rPr>
        <w:t>o</w:t>
      </w:r>
      <w:r w:rsidRPr="00C9575C">
        <w:rPr>
          <w:lang w:val="it-IT"/>
        </w:rPr>
        <w:t xml:space="preserve"> </w:t>
      </w:r>
      <w:r w:rsidR="00E459E8" w:rsidRPr="00C9575C">
        <w:rPr>
          <w:lang w:val="it-IT"/>
        </w:rPr>
        <w:t xml:space="preserve">la </w:t>
      </w:r>
      <w:r w:rsidRPr="00C9575C">
        <w:rPr>
          <w:lang w:val="it-IT"/>
        </w:rPr>
        <w:t>non inferiorità. Questi risultati sono riassunti di seguito</w:t>
      </w:r>
      <w:r w:rsidR="00CF56E2" w:rsidRPr="00C9575C">
        <w:rPr>
          <w:lang w:val="it-IT"/>
        </w:rPr>
        <w:t>.</w:t>
      </w:r>
    </w:p>
    <w:p w14:paraId="26EAB459" w14:textId="77777777" w:rsidR="00CF56E2" w:rsidRPr="00C9575C" w:rsidRDefault="00CF56E2" w:rsidP="00E40303">
      <w:pPr>
        <w:rPr>
          <w:lang w:val="it-IT"/>
        </w:rPr>
      </w:pPr>
    </w:p>
    <w:p w14:paraId="1515912D" w14:textId="3F6365C8" w:rsidR="00E40303" w:rsidRPr="00C9575C" w:rsidRDefault="00CC0BC2" w:rsidP="00E40303">
      <w:pPr>
        <w:pStyle w:val="captiontable"/>
        <w:keepNext w:val="0"/>
        <w:widowControl w:val="0"/>
        <w:tabs>
          <w:tab w:val="left" w:pos="2835"/>
        </w:tabs>
        <w:spacing w:after="0"/>
        <w:ind w:left="2694" w:hanging="2694"/>
        <w:jc w:val="center"/>
        <w:rPr>
          <w:rFonts w:ascii="Times New Roman" w:hAnsi="Times New Roman"/>
          <w:szCs w:val="22"/>
          <w:lang w:val="it-IT"/>
        </w:rPr>
      </w:pPr>
      <w:r w:rsidRPr="00C9575C">
        <w:rPr>
          <w:rFonts w:ascii="Times New Roman" w:hAnsi="Times New Roman"/>
          <w:szCs w:val="22"/>
          <w:lang w:val="it-IT"/>
        </w:rPr>
        <w:t>Risposta Virologica basata sull’HIV-1 RNA plasmatico &lt; 50 copie/m</w:t>
      </w:r>
      <w:r w:rsidR="006F341F" w:rsidRPr="00C9575C">
        <w:rPr>
          <w:rFonts w:ascii="Times New Roman" w:hAnsi="Times New Roman"/>
          <w:szCs w:val="22"/>
          <w:lang w:val="it-IT"/>
        </w:rPr>
        <w:t>L</w:t>
      </w:r>
      <w:r w:rsidRPr="00C9575C">
        <w:rPr>
          <w:rFonts w:ascii="Times New Roman" w:hAnsi="Times New Roman"/>
          <w:szCs w:val="22"/>
          <w:lang w:val="it-IT"/>
        </w:rPr>
        <w:t xml:space="preserve"> </w:t>
      </w:r>
    </w:p>
    <w:p w14:paraId="776F32D4" w14:textId="77777777" w:rsidR="00E40303" w:rsidRPr="00C9575C" w:rsidRDefault="00CC0BC2" w:rsidP="00E40303">
      <w:pPr>
        <w:pStyle w:val="captiontable"/>
        <w:keepNext w:val="0"/>
        <w:widowControl w:val="0"/>
        <w:tabs>
          <w:tab w:val="left" w:pos="2835"/>
        </w:tabs>
        <w:spacing w:after="0"/>
        <w:ind w:left="2694" w:hanging="2694"/>
        <w:jc w:val="center"/>
        <w:rPr>
          <w:rFonts w:ascii="Times New Roman" w:hAnsi="Times New Roman"/>
          <w:szCs w:val="22"/>
          <w:lang w:val="it-IT"/>
        </w:rPr>
      </w:pPr>
      <w:r w:rsidRPr="00C9575C">
        <w:rPr>
          <w:rFonts w:ascii="Times New Roman" w:hAnsi="Times New Roman"/>
          <w:szCs w:val="22"/>
          <w:lang w:val="it-IT"/>
        </w:rPr>
        <w:t>Popolazione esposta-ITT M=F switch incluso</w:t>
      </w:r>
    </w:p>
    <w:p w14:paraId="7FFDD3CA" w14:textId="77777777" w:rsidR="00E40303" w:rsidRPr="00C9575C" w:rsidRDefault="00E40303" w:rsidP="00E40303">
      <w:pPr>
        <w:rPr>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1"/>
        <w:gridCol w:w="1334"/>
        <w:gridCol w:w="1333"/>
        <w:gridCol w:w="1333"/>
        <w:gridCol w:w="1333"/>
      </w:tblGrid>
      <w:tr w:rsidR="00E40303" w:rsidRPr="00C9575C" w14:paraId="3D714675" w14:textId="77777777" w:rsidTr="00D23EB5">
        <w:trPr>
          <w:cantSplit/>
        </w:trPr>
        <w:tc>
          <w:tcPr>
            <w:tcW w:w="3620" w:type="dxa"/>
            <w:vMerge w:val="restart"/>
            <w:vAlign w:val="center"/>
          </w:tcPr>
          <w:p w14:paraId="47B2F86C" w14:textId="77777777" w:rsidR="00E40303" w:rsidRPr="00C9575C" w:rsidRDefault="00CC0BC2" w:rsidP="00C4431A">
            <w:pPr>
              <w:autoSpaceDE w:val="0"/>
              <w:autoSpaceDN w:val="0"/>
              <w:adjustRightInd w:val="0"/>
              <w:jc w:val="center"/>
              <w:rPr>
                <w:b/>
                <w:lang w:val="it-IT"/>
              </w:rPr>
            </w:pPr>
            <w:r w:rsidRPr="00C9575C">
              <w:rPr>
                <w:b/>
                <w:lang w:val="it-IT"/>
              </w:rPr>
              <w:t>Risposta virologica</w:t>
            </w:r>
          </w:p>
        </w:tc>
        <w:tc>
          <w:tcPr>
            <w:tcW w:w="0" w:type="auto"/>
            <w:gridSpan w:val="2"/>
            <w:vAlign w:val="center"/>
          </w:tcPr>
          <w:p w14:paraId="37F133CE" w14:textId="77777777" w:rsidR="00E40303" w:rsidRPr="00C03451" w:rsidRDefault="00CC0BC2" w:rsidP="00C4431A">
            <w:pPr>
              <w:autoSpaceDE w:val="0"/>
              <w:autoSpaceDN w:val="0"/>
              <w:adjustRightInd w:val="0"/>
              <w:jc w:val="center"/>
              <w:rPr>
                <w:b/>
                <w:lang w:val="it-IT"/>
              </w:rPr>
            </w:pPr>
            <w:r w:rsidRPr="00C03451">
              <w:rPr>
                <w:b/>
                <w:lang w:val="it-IT"/>
              </w:rPr>
              <w:t xml:space="preserve">ABC/3TC +LPV/r </w:t>
            </w:r>
          </w:p>
          <w:p w14:paraId="3B5D473E" w14:textId="77777777" w:rsidR="00E40303" w:rsidRPr="00C03451" w:rsidRDefault="00CC0BC2" w:rsidP="00C4431A">
            <w:pPr>
              <w:autoSpaceDE w:val="0"/>
              <w:autoSpaceDN w:val="0"/>
              <w:adjustRightInd w:val="0"/>
              <w:jc w:val="center"/>
              <w:rPr>
                <w:b/>
                <w:lang w:val="it-IT"/>
              </w:rPr>
            </w:pPr>
            <w:r w:rsidRPr="00C03451">
              <w:rPr>
                <w:b/>
                <w:lang w:val="it-IT"/>
              </w:rPr>
              <w:t>(N = 343)</w:t>
            </w:r>
          </w:p>
        </w:tc>
        <w:tc>
          <w:tcPr>
            <w:tcW w:w="0" w:type="auto"/>
            <w:gridSpan w:val="2"/>
            <w:vAlign w:val="center"/>
          </w:tcPr>
          <w:p w14:paraId="0482F476" w14:textId="77777777" w:rsidR="00E40303" w:rsidRPr="00C03451" w:rsidRDefault="00CC0BC2" w:rsidP="00C4431A">
            <w:pPr>
              <w:autoSpaceDE w:val="0"/>
              <w:autoSpaceDN w:val="0"/>
              <w:adjustRightInd w:val="0"/>
              <w:jc w:val="center"/>
              <w:rPr>
                <w:b/>
                <w:lang w:val="it-IT"/>
              </w:rPr>
            </w:pPr>
            <w:r w:rsidRPr="00C03451">
              <w:rPr>
                <w:b/>
                <w:lang w:val="it-IT"/>
              </w:rPr>
              <w:t>TDF/FTC + LPV/r</w:t>
            </w:r>
          </w:p>
          <w:p w14:paraId="2EE90BAA" w14:textId="77777777" w:rsidR="00E40303" w:rsidRPr="00C03451" w:rsidRDefault="00CC0BC2" w:rsidP="00C4431A">
            <w:pPr>
              <w:autoSpaceDE w:val="0"/>
              <w:autoSpaceDN w:val="0"/>
              <w:adjustRightInd w:val="0"/>
              <w:jc w:val="center"/>
              <w:rPr>
                <w:b/>
                <w:lang w:val="it-IT"/>
              </w:rPr>
            </w:pPr>
            <w:r w:rsidRPr="00C03451">
              <w:rPr>
                <w:b/>
                <w:lang w:val="it-IT"/>
              </w:rPr>
              <w:t>(N = 345)</w:t>
            </w:r>
          </w:p>
        </w:tc>
      </w:tr>
      <w:tr w:rsidR="00E40303" w:rsidRPr="00C9575C" w14:paraId="315BD02B" w14:textId="77777777" w:rsidTr="00D23EB5">
        <w:trPr>
          <w:cantSplit/>
        </w:trPr>
        <w:tc>
          <w:tcPr>
            <w:tcW w:w="3620" w:type="dxa"/>
            <w:vMerge/>
          </w:tcPr>
          <w:p w14:paraId="3DA8DE35" w14:textId="77777777" w:rsidR="00E40303" w:rsidRPr="00C03451" w:rsidRDefault="00E40303" w:rsidP="00C4431A">
            <w:pPr>
              <w:autoSpaceDE w:val="0"/>
              <w:autoSpaceDN w:val="0"/>
              <w:adjustRightInd w:val="0"/>
              <w:jc w:val="center"/>
              <w:rPr>
                <w:lang w:val="it-IT"/>
              </w:rPr>
            </w:pPr>
          </w:p>
        </w:tc>
        <w:tc>
          <w:tcPr>
            <w:tcW w:w="0" w:type="auto"/>
          </w:tcPr>
          <w:p w14:paraId="126159B8" w14:textId="77777777" w:rsidR="00E40303" w:rsidRPr="00C9575C" w:rsidRDefault="00CC0BC2" w:rsidP="00C4431A">
            <w:pPr>
              <w:autoSpaceDE w:val="0"/>
              <w:autoSpaceDN w:val="0"/>
              <w:adjustRightInd w:val="0"/>
              <w:jc w:val="center"/>
              <w:rPr>
                <w:b/>
                <w:lang w:val="it-IT"/>
              </w:rPr>
            </w:pPr>
            <w:r w:rsidRPr="00C9575C">
              <w:rPr>
                <w:b/>
                <w:lang w:val="it-IT"/>
              </w:rPr>
              <w:t>Settimana 48</w:t>
            </w:r>
          </w:p>
        </w:tc>
        <w:tc>
          <w:tcPr>
            <w:tcW w:w="0" w:type="auto"/>
          </w:tcPr>
          <w:p w14:paraId="3BBB9FBE" w14:textId="77777777" w:rsidR="00E40303" w:rsidRPr="00C9575C" w:rsidRDefault="00CC0BC2" w:rsidP="00C4431A">
            <w:pPr>
              <w:autoSpaceDE w:val="0"/>
              <w:autoSpaceDN w:val="0"/>
              <w:adjustRightInd w:val="0"/>
              <w:jc w:val="center"/>
              <w:rPr>
                <w:b/>
                <w:lang w:val="it-IT"/>
              </w:rPr>
            </w:pPr>
            <w:r w:rsidRPr="00C9575C">
              <w:rPr>
                <w:b/>
                <w:lang w:val="it-IT"/>
              </w:rPr>
              <w:t>Settimana 96</w:t>
            </w:r>
          </w:p>
        </w:tc>
        <w:tc>
          <w:tcPr>
            <w:tcW w:w="0" w:type="auto"/>
          </w:tcPr>
          <w:p w14:paraId="27EC02D5" w14:textId="77777777" w:rsidR="00E40303" w:rsidRPr="00C9575C" w:rsidRDefault="00CC0BC2" w:rsidP="00C4431A">
            <w:pPr>
              <w:autoSpaceDE w:val="0"/>
              <w:autoSpaceDN w:val="0"/>
              <w:adjustRightInd w:val="0"/>
              <w:jc w:val="center"/>
              <w:rPr>
                <w:b/>
                <w:lang w:val="it-IT"/>
              </w:rPr>
            </w:pPr>
            <w:r w:rsidRPr="00C9575C">
              <w:rPr>
                <w:b/>
                <w:lang w:val="it-IT"/>
              </w:rPr>
              <w:t>Settimana 48</w:t>
            </w:r>
          </w:p>
        </w:tc>
        <w:tc>
          <w:tcPr>
            <w:tcW w:w="0" w:type="auto"/>
          </w:tcPr>
          <w:p w14:paraId="243571CF" w14:textId="77777777" w:rsidR="00E40303" w:rsidRPr="00C9575C" w:rsidRDefault="00CC0BC2" w:rsidP="00C4431A">
            <w:pPr>
              <w:autoSpaceDE w:val="0"/>
              <w:autoSpaceDN w:val="0"/>
              <w:adjustRightInd w:val="0"/>
              <w:jc w:val="center"/>
              <w:rPr>
                <w:b/>
                <w:lang w:val="it-IT"/>
              </w:rPr>
            </w:pPr>
            <w:r w:rsidRPr="00C9575C">
              <w:rPr>
                <w:b/>
                <w:lang w:val="it-IT"/>
              </w:rPr>
              <w:t>Settimana 96</w:t>
            </w:r>
          </w:p>
        </w:tc>
      </w:tr>
      <w:tr w:rsidR="00E40303" w:rsidRPr="00C9575C" w14:paraId="6C9FFBC3" w14:textId="77777777" w:rsidTr="00D23EB5">
        <w:tc>
          <w:tcPr>
            <w:tcW w:w="3620" w:type="dxa"/>
          </w:tcPr>
          <w:p w14:paraId="2A4DBD6A" w14:textId="77777777" w:rsidR="00E40303" w:rsidRPr="00C9575C" w:rsidRDefault="00CC0BC2" w:rsidP="00E75129">
            <w:pPr>
              <w:autoSpaceDE w:val="0"/>
              <w:autoSpaceDN w:val="0"/>
              <w:adjustRightInd w:val="0"/>
              <w:jc w:val="center"/>
              <w:rPr>
                <w:b/>
                <w:lang w:val="it-IT"/>
              </w:rPr>
            </w:pPr>
            <w:r w:rsidRPr="00C9575C">
              <w:rPr>
                <w:b/>
                <w:lang w:val="it-IT"/>
              </w:rPr>
              <w:t>Risposta complessiva (stratificata dal basale HIV-1 RNA)</w:t>
            </w:r>
          </w:p>
        </w:tc>
        <w:tc>
          <w:tcPr>
            <w:tcW w:w="0" w:type="auto"/>
          </w:tcPr>
          <w:p w14:paraId="03686367" w14:textId="77777777" w:rsidR="00E40303" w:rsidRPr="00C9575C" w:rsidRDefault="00E40303" w:rsidP="00C4431A">
            <w:pPr>
              <w:autoSpaceDE w:val="0"/>
              <w:autoSpaceDN w:val="0"/>
              <w:adjustRightInd w:val="0"/>
              <w:jc w:val="center"/>
              <w:rPr>
                <w:lang w:val="it-IT"/>
              </w:rPr>
            </w:pPr>
            <w:r w:rsidRPr="00C9575C">
              <w:rPr>
                <w:lang w:val="it-IT"/>
              </w:rPr>
              <w:t>231/343 (68%)</w:t>
            </w:r>
          </w:p>
        </w:tc>
        <w:tc>
          <w:tcPr>
            <w:tcW w:w="0" w:type="auto"/>
          </w:tcPr>
          <w:p w14:paraId="56BA1C5E" w14:textId="77777777" w:rsidR="00E40303" w:rsidRPr="00C9575C" w:rsidRDefault="00E40303" w:rsidP="00C4431A">
            <w:pPr>
              <w:autoSpaceDE w:val="0"/>
              <w:autoSpaceDN w:val="0"/>
              <w:adjustRightInd w:val="0"/>
              <w:jc w:val="center"/>
              <w:rPr>
                <w:lang w:val="it-IT"/>
              </w:rPr>
            </w:pPr>
            <w:r w:rsidRPr="00C9575C">
              <w:rPr>
                <w:lang w:val="it-IT"/>
              </w:rPr>
              <w:t>205/343 (60%)</w:t>
            </w:r>
          </w:p>
        </w:tc>
        <w:tc>
          <w:tcPr>
            <w:tcW w:w="0" w:type="auto"/>
          </w:tcPr>
          <w:p w14:paraId="3CDF1399" w14:textId="77777777" w:rsidR="00E40303" w:rsidRPr="00C9575C" w:rsidRDefault="00E40303" w:rsidP="00C4431A">
            <w:pPr>
              <w:autoSpaceDE w:val="0"/>
              <w:autoSpaceDN w:val="0"/>
              <w:adjustRightInd w:val="0"/>
              <w:jc w:val="center"/>
              <w:rPr>
                <w:lang w:val="it-IT"/>
              </w:rPr>
            </w:pPr>
            <w:r w:rsidRPr="00C9575C">
              <w:rPr>
                <w:lang w:val="it-IT"/>
              </w:rPr>
              <w:t>232/345 (67%)</w:t>
            </w:r>
          </w:p>
        </w:tc>
        <w:tc>
          <w:tcPr>
            <w:tcW w:w="0" w:type="auto"/>
          </w:tcPr>
          <w:p w14:paraId="54FF9911" w14:textId="77777777" w:rsidR="00E40303" w:rsidRPr="00C9575C" w:rsidRDefault="00E40303" w:rsidP="00C4431A">
            <w:pPr>
              <w:autoSpaceDE w:val="0"/>
              <w:autoSpaceDN w:val="0"/>
              <w:adjustRightInd w:val="0"/>
              <w:jc w:val="center"/>
              <w:rPr>
                <w:lang w:val="it-IT"/>
              </w:rPr>
            </w:pPr>
            <w:r w:rsidRPr="00C9575C">
              <w:rPr>
                <w:lang w:val="it-IT"/>
              </w:rPr>
              <w:t>200/345 (58%)</w:t>
            </w:r>
          </w:p>
        </w:tc>
      </w:tr>
      <w:tr w:rsidR="00E40303" w:rsidRPr="00C9575C" w14:paraId="2B494D2F" w14:textId="77777777" w:rsidTr="00D23EB5">
        <w:tc>
          <w:tcPr>
            <w:tcW w:w="3620" w:type="dxa"/>
          </w:tcPr>
          <w:p w14:paraId="508A58D5" w14:textId="3F84C0BF" w:rsidR="00E40303" w:rsidRPr="00C9575C" w:rsidRDefault="00CC0BC2" w:rsidP="00E75129">
            <w:pPr>
              <w:autoSpaceDE w:val="0"/>
              <w:autoSpaceDN w:val="0"/>
              <w:adjustRightInd w:val="0"/>
              <w:jc w:val="center"/>
              <w:rPr>
                <w:b/>
                <w:lang w:val="it-IT"/>
              </w:rPr>
            </w:pPr>
            <w:r w:rsidRPr="00C9575C">
              <w:rPr>
                <w:b/>
                <w:lang w:val="it-IT"/>
              </w:rPr>
              <w:t>Risposta dal basale HIV-</w:t>
            </w:r>
            <w:r w:rsidR="00300FCD" w:rsidRPr="00C9575C">
              <w:rPr>
                <w:b/>
                <w:lang w:val="it-IT"/>
              </w:rPr>
              <w:t>1 RNA &lt;</w:t>
            </w:r>
            <w:r w:rsidR="00376768">
              <w:rPr>
                <w:b/>
                <w:lang w:val="it-IT"/>
              </w:rPr>
              <w:t> </w:t>
            </w:r>
            <w:r w:rsidR="00300FCD" w:rsidRPr="00C9575C">
              <w:rPr>
                <w:b/>
                <w:lang w:val="it-IT"/>
              </w:rPr>
              <w:t>100.</w:t>
            </w:r>
            <w:r w:rsidRPr="00C9575C">
              <w:rPr>
                <w:b/>
                <w:lang w:val="it-IT"/>
              </w:rPr>
              <w:t>000 c/m</w:t>
            </w:r>
            <w:r w:rsidR="006F341F" w:rsidRPr="00C9575C">
              <w:rPr>
                <w:b/>
                <w:lang w:val="it-IT"/>
              </w:rPr>
              <w:t>L</w:t>
            </w:r>
          </w:p>
        </w:tc>
        <w:tc>
          <w:tcPr>
            <w:tcW w:w="0" w:type="auto"/>
          </w:tcPr>
          <w:p w14:paraId="667EB9EB" w14:textId="77777777" w:rsidR="00E40303" w:rsidRPr="00C9575C" w:rsidRDefault="00E40303" w:rsidP="00C4431A">
            <w:pPr>
              <w:autoSpaceDE w:val="0"/>
              <w:autoSpaceDN w:val="0"/>
              <w:adjustRightInd w:val="0"/>
              <w:jc w:val="center"/>
              <w:rPr>
                <w:lang w:val="it-IT"/>
              </w:rPr>
            </w:pPr>
            <w:r w:rsidRPr="00C9575C">
              <w:rPr>
                <w:lang w:val="it-IT"/>
              </w:rPr>
              <w:t>134/188 (71%)</w:t>
            </w:r>
          </w:p>
        </w:tc>
        <w:tc>
          <w:tcPr>
            <w:tcW w:w="0" w:type="auto"/>
          </w:tcPr>
          <w:p w14:paraId="26AF64B5" w14:textId="77777777" w:rsidR="00E40303" w:rsidRPr="00C9575C" w:rsidRDefault="00E40303" w:rsidP="00C4431A">
            <w:pPr>
              <w:autoSpaceDE w:val="0"/>
              <w:autoSpaceDN w:val="0"/>
              <w:adjustRightInd w:val="0"/>
              <w:jc w:val="center"/>
              <w:rPr>
                <w:lang w:val="it-IT"/>
              </w:rPr>
            </w:pPr>
            <w:r w:rsidRPr="00C9575C">
              <w:rPr>
                <w:lang w:val="it-IT"/>
              </w:rPr>
              <w:t>118/188 (63%)</w:t>
            </w:r>
          </w:p>
        </w:tc>
        <w:tc>
          <w:tcPr>
            <w:tcW w:w="0" w:type="auto"/>
          </w:tcPr>
          <w:p w14:paraId="31B742A8" w14:textId="77777777" w:rsidR="00E40303" w:rsidRPr="00C9575C" w:rsidRDefault="00E40303" w:rsidP="00C4431A">
            <w:pPr>
              <w:autoSpaceDE w:val="0"/>
              <w:autoSpaceDN w:val="0"/>
              <w:adjustRightInd w:val="0"/>
              <w:jc w:val="center"/>
              <w:rPr>
                <w:lang w:val="it-IT"/>
              </w:rPr>
            </w:pPr>
            <w:r w:rsidRPr="00C9575C">
              <w:rPr>
                <w:lang w:val="it-IT"/>
              </w:rPr>
              <w:t>141/205 (69%)</w:t>
            </w:r>
          </w:p>
        </w:tc>
        <w:tc>
          <w:tcPr>
            <w:tcW w:w="0" w:type="auto"/>
          </w:tcPr>
          <w:p w14:paraId="5E84E4C5" w14:textId="77777777" w:rsidR="00E40303" w:rsidRPr="00C9575C" w:rsidRDefault="00E40303" w:rsidP="00C4431A">
            <w:pPr>
              <w:autoSpaceDE w:val="0"/>
              <w:autoSpaceDN w:val="0"/>
              <w:adjustRightInd w:val="0"/>
              <w:jc w:val="center"/>
              <w:rPr>
                <w:lang w:val="it-IT"/>
              </w:rPr>
            </w:pPr>
            <w:r w:rsidRPr="00C9575C">
              <w:rPr>
                <w:lang w:val="it-IT"/>
              </w:rPr>
              <w:t>119/205 (58%)</w:t>
            </w:r>
          </w:p>
        </w:tc>
      </w:tr>
      <w:tr w:rsidR="00E40303" w:rsidRPr="00C9575C" w14:paraId="58A7C289" w14:textId="77777777" w:rsidTr="00D23EB5">
        <w:tc>
          <w:tcPr>
            <w:tcW w:w="3620" w:type="dxa"/>
          </w:tcPr>
          <w:p w14:paraId="3622C1F7" w14:textId="62E33D1F" w:rsidR="00E40303" w:rsidRPr="00C9575C" w:rsidRDefault="00CC0BC2" w:rsidP="00300FCD">
            <w:pPr>
              <w:autoSpaceDE w:val="0"/>
              <w:autoSpaceDN w:val="0"/>
              <w:adjustRightInd w:val="0"/>
              <w:jc w:val="center"/>
              <w:rPr>
                <w:b/>
                <w:lang w:val="it-IT"/>
              </w:rPr>
            </w:pPr>
            <w:r w:rsidRPr="00C9575C">
              <w:rPr>
                <w:b/>
                <w:lang w:val="it-IT"/>
              </w:rPr>
              <w:t xml:space="preserve">Risposta dal basale HIV-1 RNA </w:t>
            </w:r>
            <w:r w:rsidRPr="00C9575C">
              <w:rPr>
                <w:b/>
                <w:lang w:val="it-IT"/>
              </w:rPr>
              <w:sym w:font="Symbol" w:char="F0B3"/>
            </w:r>
            <w:r w:rsidR="00376768">
              <w:rPr>
                <w:b/>
                <w:lang w:val="it-IT"/>
              </w:rPr>
              <w:t> </w:t>
            </w:r>
            <w:r w:rsidRPr="00C9575C">
              <w:rPr>
                <w:b/>
                <w:lang w:val="it-IT"/>
              </w:rPr>
              <w:t>100</w:t>
            </w:r>
            <w:r w:rsidR="00300FCD" w:rsidRPr="00C9575C">
              <w:rPr>
                <w:b/>
                <w:lang w:val="it-IT"/>
              </w:rPr>
              <w:t>.</w:t>
            </w:r>
            <w:r w:rsidRPr="00C9575C">
              <w:rPr>
                <w:b/>
                <w:lang w:val="it-IT"/>
              </w:rPr>
              <w:t>000 c/m</w:t>
            </w:r>
            <w:r w:rsidR="006F341F" w:rsidRPr="00C9575C">
              <w:rPr>
                <w:b/>
                <w:lang w:val="it-IT"/>
              </w:rPr>
              <w:t>L</w:t>
            </w:r>
          </w:p>
        </w:tc>
        <w:tc>
          <w:tcPr>
            <w:tcW w:w="0" w:type="auto"/>
          </w:tcPr>
          <w:p w14:paraId="6E77FBEA" w14:textId="77777777" w:rsidR="00E40303" w:rsidRPr="00C9575C" w:rsidRDefault="00E40303" w:rsidP="00C4431A">
            <w:pPr>
              <w:autoSpaceDE w:val="0"/>
              <w:autoSpaceDN w:val="0"/>
              <w:adjustRightInd w:val="0"/>
              <w:jc w:val="center"/>
              <w:rPr>
                <w:lang w:val="it-IT"/>
              </w:rPr>
            </w:pPr>
            <w:r w:rsidRPr="00C9575C">
              <w:rPr>
                <w:lang w:val="it-IT"/>
              </w:rPr>
              <w:t>97/155 (63%)</w:t>
            </w:r>
          </w:p>
        </w:tc>
        <w:tc>
          <w:tcPr>
            <w:tcW w:w="0" w:type="auto"/>
          </w:tcPr>
          <w:p w14:paraId="0C084263" w14:textId="77777777" w:rsidR="00E40303" w:rsidRPr="00C9575C" w:rsidRDefault="00E40303" w:rsidP="00C4431A">
            <w:pPr>
              <w:autoSpaceDE w:val="0"/>
              <w:autoSpaceDN w:val="0"/>
              <w:adjustRightInd w:val="0"/>
              <w:jc w:val="center"/>
              <w:rPr>
                <w:lang w:val="it-IT"/>
              </w:rPr>
            </w:pPr>
            <w:r w:rsidRPr="00C9575C">
              <w:rPr>
                <w:lang w:val="it-IT"/>
              </w:rPr>
              <w:t>87/155 (56%)</w:t>
            </w:r>
          </w:p>
        </w:tc>
        <w:tc>
          <w:tcPr>
            <w:tcW w:w="0" w:type="auto"/>
          </w:tcPr>
          <w:p w14:paraId="33E7858A" w14:textId="77777777" w:rsidR="00E40303" w:rsidRPr="00C9575C" w:rsidRDefault="00E40303" w:rsidP="00C4431A">
            <w:pPr>
              <w:autoSpaceDE w:val="0"/>
              <w:autoSpaceDN w:val="0"/>
              <w:adjustRightInd w:val="0"/>
              <w:jc w:val="center"/>
              <w:rPr>
                <w:lang w:val="it-IT"/>
              </w:rPr>
            </w:pPr>
            <w:r w:rsidRPr="00C9575C">
              <w:rPr>
                <w:lang w:val="it-IT"/>
              </w:rPr>
              <w:t>91/140 (65%)</w:t>
            </w:r>
          </w:p>
        </w:tc>
        <w:tc>
          <w:tcPr>
            <w:tcW w:w="0" w:type="auto"/>
          </w:tcPr>
          <w:p w14:paraId="53FAD41A" w14:textId="77777777" w:rsidR="00E40303" w:rsidRPr="00C9575C" w:rsidRDefault="00E40303" w:rsidP="00C4431A">
            <w:pPr>
              <w:autoSpaceDE w:val="0"/>
              <w:autoSpaceDN w:val="0"/>
              <w:adjustRightInd w:val="0"/>
              <w:jc w:val="center"/>
              <w:rPr>
                <w:lang w:val="it-IT"/>
              </w:rPr>
            </w:pPr>
            <w:r w:rsidRPr="00C9575C">
              <w:rPr>
                <w:lang w:val="it-IT"/>
              </w:rPr>
              <w:t>81/140 (58%)</w:t>
            </w:r>
          </w:p>
        </w:tc>
      </w:tr>
    </w:tbl>
    <w:p w14:paraId="36DEDA7C" w14:textId="77777777" w:rsidR="00E40303" w:rsidRPr="00C9575C" w:rsidRDefault="00E40303" w:rsidP="00E40303">
      <w:pPr>
        <w:autoSpaceDE w:val="0"/>
        <w:autoSpaceDN w:val="0"/>
        <w:adjustRightInd w:val="0"/>
        <w:rPr>
          <w:lang w:val="it-IT"/>
        </w:rPr>
      </w:pPr>
    </w:p>
    <w:p w14:paraId="1E70A349" w14:textId="77777777" w:rsidR="00E40303" w:rsidRPr="00C9575C" w:rsidRDefault="007472F3" w:rsidP="00E40303">
      <w:pPr>
        <w:autoSpaceDE w:val="0"/>
        <w:autoSpaceDN w:val="0"/>
        <w:adjustRightInd w:val="0"/>
        <w:rPr>
          <w:b/>
          <w:i/>
          <w:strike/>
          <w:lang w:val="it-IT"/>
        </w:rPr>
      </w:pPr>
      <w:r w:rsidRPr="00C9575C">
        <w:rPr>
          <w:lang w:val="it-IT"/>
        </w:rPr>
        <w:t xml:space="preserve">Una risposta virologica simile è stata osservata per entrambi i regimi terapeutici (punto di stima per la differenza di trattamento alla </w:t>
      </w:r>
      <w:r w:rsidR="00742480" w:rsidRPr="00C9575C">
        <w:rPr>
          <w:lang w:val="it-IT"/>
        </w:rPr>
        <w:t>settimana 48: 0,</w:t>
      </w:r>
      <w:r w:rsidRPr="00C9575C">
        <w:rPr>
          <w:lang w:val="it-IT"/>
        </w:rPr>
        <w:t>39%, 95% CI</w:t>
      </w:r>
      <w:r w:rsidRPr="00C9575C">
        <w:rPr>
          <w:b/>
          <w:i/>
          <w:lang w:val="it-IT"/>
        </w:rPr>
        <w:t>:</w:t>
      </w:r>
      <w:r w:rsidR="00742480" w:rsidRPr="00C9575C">
        <w:rPr>
          <w:lang w:val="it-IT"/>
        </w:rPr>
        <w:t xml:space="preserve"> -6,63, 7,</w:t>
      </w:r>
      <w:r w:rsidRPr="00C9575C">
        <w:rPr>
          <w:lang w:val="it-IT"/>
        </w:rPr>
        <w:t>40).</w:t>
      </w:r>
    </w:p>
    <w:p w14:paraId="6234F1FF" w14:textId="77777777" w:rsidR="00E40303" w:rsidRPr="00C9575C" w:rsidRDefault="00E40303" w:rsidP="00E40303">
      <w:pPr>
        <w:rPr>
          <w:lang w:val="it-IT"/>
        </w:rPr>
      </w:pPr>
    </w:p>
    <w:p w14:paraId="2434B29C" w14:textId="77777777" w:rsidR="00B362EC" w:rsidRPr="00C9575C" w:rsidRDefault="007472F3" w:rsidP="00E40303">
      <w:pPr>
        <w:rPr>
          <w:lang w:val="it-IT"/>
        </w:rPr>
      </w:pPr>
      <w:r w:rsidRPr="00C9575C">
        <w:rPr>
          <w:lang w:val="it-IT"/>
        </w:rPr>
        <w:t xml:space="preserve">Lo studio </w:t>
      </w:r>
      <w:r w:rsidR="006C4C7B" w:rsidRPr="00C9575C">
        <w:rPr>
          <w:lang w:val="it-IT"/>
        </w:rPr>
        <w:t>AGTG</w:t>
      </w:r>
      <w:r w:rsidR="00742480" w:rsidRPr="00C9575C">
        <w:rPr>
          <w:lang w:val="it-IT"/>
        </w:rPr>
        <w:t>5202</w:t>
      </w:r>
      <w:r w:rsidRPr="00C9575C">
        <w:rPr>
          <w:lang w:val="it-IT"/>
        </w:rPr>
        <w:t xml:space="preserve"> era uno studio randomizzato, in doppio cieco, multicentrico, di confronto abacavir/lamivudina o emtricitabina/tenofovir in combinazione con efavirenz in aperto o atazanavir/ritonavir nei pazienti con infezione da HIV-1, </w:t>
      </w:r>
      <w:r w:rsidRPr="00C9575C">
        <w:rPr>
          <w:i/>
          <w:lang w:val="it-IT"/>
        </w:rPr>
        <w:t>naive</w:t>
      </w:r>
      <w:r w:rsidRPr="00C9575C">
        <w:rPr>
          <w:lang w:val="it-IT"/>
        </w:rPr>
        <w:t xml:space="preserve"> al trattamento. I pazienti erano stati stratificati allo screening sulla base dei livelli </w:t>
      </w:r>
      <w:r w:rsidR="00E459E8" w:rsidRPr="00C9575C">
        <w:rPr>
          <w:lang w:val="it-IT"/>
        </w:rPr>
        <w:t xml:space="preserve">plasmatici </w:t>
      </w:r>
      <w:r w:rsidRPr="00C9575C">
        <w:rPr>
          <w:lang w:val="it-IT"/>
        </w:rPr>
        <w:t>di HIV-1 RNA &lt; 100</w:t>
      </w:r>
      <w:r w:rsidR="00642AE0" w:rsidRPr="00C9575C">
        <w:rPr>
          <w:lang w:val="it-IT"/>
        </w:rPr>
        <w:t>.</w:t>
      </w:r>
      <w:r w:rsidRPr="00C9575C">
        <w:rPr>
          <w:lang w:val="it-IT"/>
        </w:rPr>
        <w:t>000 e</w:t>
      </w:r>
    </w:p>
    <w:p w14:paraId="14B4BE86" w14:textId="23B56BAF" w:rsidR="00B362EC" w:rsidRPr="00C9575C" w:rsidRDefault="007472F3" w:rsidP="00E40303">
      <w:pPr>
        <w:rPr>
          <w:lang w:val="it-IT"/>
        </w:rPr>
      </w:pPr>
      <w:r w:rsidRPr="00C9575C">
        <w:rPr>
          <w:lang w:val="it-IT"/>
        </w:rPr>
        <w:t>≥ 100</w:t>
      </w:r>
      <w:r w:rsidR="00642AE0" w:rsidRPr="00C9575C">
        <w:rPr>
          <w:lang w:val="it-IT"/>
        </w:rPr>
        <w:t>.</w:t>
      </w:r>
      <w:r w:rsidRPr="00C9575C">
        <w:rPr>
          <w:lang w:val="it-IT"/>
        </w:rPr>
        <w:t>000</w:t>
      </w:r>
      <w:r w:rsidR="00B362EC" w:rsidRPr="00C9575C">
        <w:rPr>
          <w:lang w:val="it-IT"/>
        </w:rPr>
        <w:t> </w:t>
      </w:r>
      <w:r w:rsidRPr="00C9575C">
        <w:rPr>
          <w:lang w:val="it-IT"/>
        </w:rPr>
        <w:t>copie/m</w:t>
      </w:r>
      <w:r w:rsidR="006F341F" w:rsidRPr="00C9575C">
        <w:rPr>
          <w:lang w:val="it-IT"/>
        </w:rPr>
        <w:t>L</w:t>
      </w:r>
      <w:r w:rsidRPr="00C9575C">
        <w:rPr>
          <w:lang w:val="it-IT"/>
        </w:rPr>
        <w:t xml:space="preserve">. </w:t>
      </w:r>
    </w:p>
    <w:p w14:paraId="74FDE8D4" w14:textId="77777777" w:rsidR="00B362EC" w:rsidRPr="00C9575C" w:rsidRDefault="00B362EC" w:rsidP="00E40303">
      <w:pPr>
        <w:rPr>
          <w:lang w:val="it-IT"/>
        </w:rPr>
      </w:pPr>
    </w:p>
    <w:p w14:paraId="4BD9F82A" w14:textId="65DBC6F0" w:rsidR="00E40303" w:rsidRPr="00C9575C" w:rsidRDefault="00216C71" w:rsidP="00E40303">
      <w:pPr>
        <w:rPr>
          <w:lang w:val="it-IT"/>
        </w:rPr>
      </w:pPr>
      <w:r w:rsidRPr="00C9575C">
        <w:rPr>
          <w:lang w:val="it-IT"/>
        </w:rPr>
        <w:t>Un’</w:t>
      </w:r>
      <w:r w:rsidR="007472F3" w:rsidRPr="00C9575C">
        <w:rPr>
          <w:lang w:val="it-IT"/>
        </w:rPr>
        <w:t>anali</w:t>
      </w:r>
      <w:r w:rsidR="006C4C7B" w:rsidRPr="00C9575C">
        <w:rPr>
          <w:lang w:val="it-IT"/>
        </w:rPr>
        <w:t>si ad interim dallo studio ACTG</w:t>
      </w:r>
      <w:r w:rsidR="007472F3" w:rsidRPr="00C9575C">
        <w:rPr>
          <w:lang w:val="it-IT"/>
        </w:rPr>
        <w:t>5202 ha rivelato che abacavir/lamivudina era associato con un rischio maggiore di fallimento virologico clinicamente significativo in confronto a emtricitabina/tenofovir (definito come carica virale &gt;</w:t>
      </w:r>
      <w:r w:rsidR="00376768">
        <w:rPr>
          <w:lang w:val="it-IT"/>
        </w:rPr>
        <w:t> </w:t>
      </w:r>
      <w:r w:rsidR="007472F3" w:rsidRPr="00C9575C">
        <w:rPr>
          <w:lang w:val="it-IT"/>
        </w:rPr>
        <w:t>1000</w:t>
      </w:r>
      <w:r w:rsidR="00B362EC" w:rsidRPr="00C9575C">
        <w:rPr>
          <w:lang w:val="it-IT"/>
        </w:rPr>
        <w:t> </w:t>
      </w:r>
      <w:r w:rsidR="007472F3" w:rsidRPr="00C9575C">
        <w:rPr>
          <w:lang w:val="it-IT"/>
        </w:rPr>
        <w:t>copie/m</w:t>
      </w:r>
      <w:r w:rsidR="006F341F" w:rsidRPr="00C9575C">
        <w:rPr>
          <w:lang w:val="it-IT"/>
        </w:rPr>
        <w:t>L</w:t>
      </w:r>
      <w:r w:rsidR="007472F3" w:rsidRPr="00C9575C">
        <w:rPr>
          <w:lang w:val="it-IT"/>
        </w:rPr>
        <w:t xml:space="preserve"> a o </w:t>
      </w:r>
      <w:r w:rsidR="0077199F" w:rsidRPr="00C9575C">
        <w:rPr>
          <w:lang w:val="it-IT"/>
        </w:rPr>
        <w:t>dopo 16 settimane e prima di 24 </w:t>
      </w:r>
      <w:r w:rsidR="007472F3" w:rsidRPr="00C9575C">
        <w:rPr>
          <w:lang w:val="it-IT"/>
        </w:rPr>
        <w:t>settim</w:t>
      </w:r>
      <w:r w:rsidR="00B362EC" w:rsidRPr="00C9575C">
        <w:rPr>
          <w:lang w:val="it-IT"/>
        </w:rPr>
        <w:t>ane, o livelli di HIV-RNA &gt;</w:t>
      </w:r>
      <w:r w:rsidR="00376768">
        <w:rPr>
          <w:lang w:val="it-IT"/>
        </w:rPr>
        <w:t> </w:t>
      </w:r>
      <w:r w:rsidR="00B362EC" w:rsidRPr="00C9575C">
        <w:rPr>
          <w:lang w:val="it-IT"/>
        </w:rPr>
        <w:t xml:space="preserve">200 </w:t>
      </w:r>
      <w:r w:rsidR="007472F3" w:rsidRPr="00C9575C">
        <w:rPr>
          <w:lang w:val="it-IT"/>
        </w:rPr>
        <w:t>copie/m</w:t>
      </w:r>
      <w:r w:rsidR="006F341F" w:rsidRPr="00C9575C">
        <w:rPr>
          <w:lang w:val="it-IT"/>
        </w:rPr>
        <w:t>L</w:t>
      </w:r>
      <w:r w:rsidR="007472F3" w:rsidRPr="00C9575C">
        <w:rPr>
          <w:lang w:val="it-IT"/>
        </w:rPr>
        <w:t xml:space="preserve"> a o dopo 24</w:t>
      </w:r>
      <w:r w:rsidR="00376768">
        <w:rPr>
          <w:lang w:val="it-IT"/>
        </w:rPr>
        <w:t> </w:t>
      </w:r>
      <w:r w:rsidR="007472F3" w:rsidRPr="00C9575C">
        <w:rPr>
          <w:lang w:val="it-IT"/>
        </w:rPr>
        <w:t>settimane) nei soggetti con ca</w:t>
      </w:r>
      <w:r w:rsidR="00D45656" w:rsidRPr="00C9575C">
        <w:rPr>
          <w:lang w:val="it-IT"/>
        </w:rPr>
        <w:t>rica virale allo screening ≥</w:t>
      </w:r>
      <w:r w:rsidR="00376768">
        <w:rPr>
          <w:lang w:val="it-IT"/>
        </w:rPr>
        <w:t> </w:t>
      </w:r>
      <w:r w:rsidR="00D45656" w:rsidRPr="00C9575C">
        <w:rPr>
          <w:lang w:val="it-IT"/>
        </w:rPr>
        <w:t>100.</w:t>
      </w:r>
      <w:r w:rsidR="007472F3" w:rsidRPr="00C9575C">
        <w:rPr>
          <w:lang w:val="it-IT"/>
        </w:rPr>
        <w:t>000 copie/m</w:t>
      </w:r>
      <w:r w:rsidR="006F341F" w:rsidRPr="00C9575C">
        <w:rPr>
          <w:lang w:val="it-IT"/>
        </w:rPr>
        <w:t>L</w:t>
      </w:r>
      <w:r w:rsidR="007472F3" w:rsidRPr="00C9575C">
        <w:rPr>
          <w:lang w:val="it-IT"/>
        </w:rPr>
        <w:t xml:space="preserve"> (</w:t>
      </w:r>
      <w:r w:rsidR="007472F3" w:rsidRPr="00C9575C">
        <w:rPr>
          <w:i/>
          <w:lang w:val="it-IT"/>
        </w:rPr>
        <w:t>hazard ratio</w:t>
      </w:r>
      <w:r w:rsidR="00D45656" w:rsidRPr="00C9575C">
        <w:rPr>
          <w:lang w:val="it-IT"/>
        </w:rPr>
        <w:t xml:space="preserve"> stimato: 2,</w:t>
      </w:r>
      <w:r w:rsidR="007472F3" w:rsidRPr="00C9575C">
        <w:rPr>
          <w:lang w:val="it-IT"/>
        </w:rPr>
        <w:t>33, 95% CI: 1</w:t>
      </w:r>
      <w:r w:rsidR="00D45656" w:rsidRPr="00C9575C">
        <w:rPr>
          <w:lang w:val="it-IT"/>
        </w:rPr>
        <w:t>,</w:t>
      </w:r>
      <w:r w:rsidR="007472F3" w:rsidRPr="00C9575C">
        <w:rPr>
          <w:lang w:val="it-IT"/>
        </w:rPr>
        <w:t>46, 3</w:t>
      </w:r>
      <w:r w:rsidR="00D45656" w:rsidRPr="00C9575C">
        <w:rPr>
          <w:lang w:val="it-IT"/>
        </w:rPr>
        <w:t>,</w:t>
      </w:r>
      <w:r w:rsidR="007472F3" w:rsidRPr="00C9575C">
        <w:rPr>
          <w:lang w:val="it-IT"/>
        </w:rPr>
        <w:t>72, p=0.0003). Il Data Safety Monitoring Board (DSMB) ha raccomandato di prendere in considerazione il cambiamento nella gestione terapeutica di tutti i soggetti appartenenti allo st</w:t>
      </w:r>
      <w:r w:rsidR="00836DE3" w:rsidRPr="00C9575C">
        <w:rPr>
          <w:lang w:val="it-IT"/>
        </w:rPr>
        <w:t xml:space="preserve">rato con carica virale elevata </w:t>
      </w:r>
      <w:r w:rsidR="007472F3" w:rsidRPr="00C9575C">
        <w:rPr>
          <w:lang w:val="it-IT"/>
        </w:rPr>
        <w:t>a causa delle differenze dell’efficacia osservate. I soggetti appartenenti allo strato con carica virale bassa sono rimasti nello studio in cieco.</w:t>
      </w:r>
    </w:p>
    <w:p w14:paraId="04123383" w14:textId="77777777" w:rsidR="003273B5" w:rsidRPr="00C9575C" w:rsidRDefault="003273B5" w:rsidP="00E40303">
      <w:pPr>
        <w:rPr>
          <w:lang w:val="it-IT"/>
        </w:rPr>
      </w:pPr>
    </w:p>
    <w:p w14:paraId="494ECA4F" w14:textId="77777777" w:rsidR="00E40303" w:rsidRPr="00C9575C" w:rsidRDefault="007472F3" w:rsidP="00E40303">
      <w:pPr>
        <w:rPr>
          <w:lang w:val="it-IT"/>
        </w:rPr>
      </w:pPr>
      <w:r w:rsidRPr="00C9575C">
        <w:rPr>
          <w:lang w:val="it-IT"/>
        </w:rPr>
        <w:t>L’analisi dei dati provenienti dai soggetti nello strato con bassa carica virale non hanno evidenziato alcuna differenza dimostrabil</w:t>
      </w:r>
      <w:r w:rsidR="00E459E8" w:rsidRPr="00C9575C">
        <w:rPr>
          <w:lang w:val="it-IT"/>
        </w:rPr>
        <w:t>e</w:t>
      </w:r>
      <w:r w:rsidR="00D45656" w:rsidRPr="00C9575C">
        <w:rPr>
          <w:lang w:val="it-IT"/>
        </w:rPr>
        <w:t xml:space="preserve"> tra i </w:t>
      </w:r>
      <w:r w:rsidR="00D45656" w:rsidRPr="00C9575C">
        <w:rPr>
          <w:i/>
          <w:lang w:val="it-IT"/>
        </w:rPr>
        <w:t>backbone</w:t>
      </w:r>
      <w:r w:rsidRPr="00C9575C">
        <w:rPr>
          <w:lang w:val="it-IT"/>
        </w:rPr>
        <w:t xml:space="preserve"> nucl</w:t>
      </w:r>
      <w:r w:rsidR="00310C8F" w:rsidRPr="00C9575C">
        <w:rPr>
          <w:lang w:val="it-IT"/>
        </w:rPr>
        <w:t>e</w:t>
      </w:r>
      <w:r w:rsidRPr="00C9575C">
        <w:rPr>
          <w:lang w:val="it-IT"/>
        </w:rPr>
        <w:t>osidici nella percentuale di pazienti liberi dal fallimento virologico alla settimana 96</w:t>
      </w:r>
      <w:r w:rsidR="00C4431A" w:rsidRPr="00C9575C">
        <w:rPr>
          <w:lang w:val="it-IT"/>
        </w:rPr>
        <w:t xml:space="preserve">. </w:t>
      </w:r>
      <w:r w:rsidRPr="00C9575C">
        <w:rPr>
          <w:lang w:val="it-IT"/>
        </w:rPr>
        <w:t>I risultati sono presentati di seguito:</w:t>
      </w:r>
    </w:p>
    <w:p w14:paraId="6EB4087F" w14:textId="77777777" w:rsidR="00E40303" w:rsidRPr="00C9575C" w:rsidRDefault="00D45656" w:rsidP="00E40303">
      <w:pPr>
        <w:pStyle w:val="ListParagraph"/>
        <w:spacing w:before="100" w:beforeAutospacing="1" w:after="100" w:afterAutospacing="1" w:line="240" w:lineRule="auto"/>
        <w:ind w:left="360"/>
        <w:rPr>
          <w:rFonts w:ascii="Times New Roman" w:eastAsia="Times New Roman" w:hAnsi="Times New Roman"/>
          <w:lang w:val="it-IT"/>
        </w:rPr>
      </w:pPr>
      <w:r w:rsidRPr="00C9575C">
        <w:rPr>
          <w:rFonts w:ascii="Times New Roman" w:eastAsia="Times New Roman" w:hAnsi="Times New Roman"/>
          <w:lang w:val="it-IT"/>
        </w:rPr>
        <w:t>-88,3% con ABC/3TC vs 90,</w:t>
      </w:r>
      <w:r w:rsidR="00E40303" w:rsidRPr="00C9575C">
        <w:rPr>
          <w:rFonts w:ascii="Times New Roman" w:eastAsia="Times New Roman" w:hAnsi="Times New Roman"/>
          <w:lang w:val="it-IT"/>
        </w:rPr>
        <w:t>3% con TDF/FTC quando assunti con atazanavir/ritonovir come terzo farmac</w:t>
      </w:r>
      <w:r w:rsidRPr="00C9575C">
        <w:rPr>
          <w:rFonts w:ascii="Times New Roman" w:eastAsia="Times New Roman" w:hAnsi="Times New Roman"/>
          <w:lang w:val="it-IT"/>
        </w:rPr>
        <w:t>o, differenza di trattamento -2,</w:t>
      </w:r>
      <w:r w:rsidR="00E40303" w:rsidRPr="00C9575C">
        <w:rPr>
          <w:rFonts w:ascii="Times New Roman" w:eastAsia="Times New Roman" w:hAnsi="Times New Roman"/>
          <w:lang w:val="it-IT"/>
        </w:rPr>
        <w:t>0% (95% CI -7</w:t>
      </w:r>
      <w:r w:rsidRPr="00C9575C">
        <w:rPr>
          <w:rFonts w:ascii="Times New Roman" w:eastAsia="Times New Roman" w:hAnsi="Times New Roman"/>
          <w:lang w:val="it-IT"/>
        </w:rPr>
        <w:t>,5%, 3,</w:t>
      </w:r>
      <w:r w:rsidR="00E40303" w:rsidRPr="00C9575C">
        <w:rPr>
          <w:rFonts w:ascii="Times New Roman" w:eastAsia="Times New Roman" w:hAnsi="Times New Roman"/>
          <w:lang w:val="it-IT"/>
        </w:rPr>
        <w:t>4%),</w:t>
      </w:r>
    </w:p>
    <w:p w14:paraId="0BB6DB23" w14:textId="77777777" w:rsidR="00E40303" w:rsidRPr="00C9575C" w:rsidRDefault="00D45656" w:rsidP="00E40303">
      <w:pPr>
        <w:pStyle w:val="ListParagraph"/>
        <w:spacing w:before="100" w:beforeAutospacing="1" w:after="100" w:afterAutospacing="1" w:line="240" w:lineRule="auto"/>
        <w:ind w:left="360"/>
        <w:rPr>
          <w:rFonts w:ascii="Times New Roman" w:eastAsia="Times New Roman" w:hAnsi="Times New Roman"/>
          <w:lang w:val="it-IT"/>
        </w:rPr>
      </w:pPr>
      <w:r w:rsidRPr="00C9575C">
        <w:rPr>
          <w:rFonts w:ascii="Times New Roman" w:eastAsia="Times New Roman" w:hAnsi="Times New Roman"/>
          <w:lang w:val="it-IT"/>
        </w:rPr>
        <w:t>- 87,</w:t>
      </w:r>
      <w:r w:rsidR="00E40303" w:rsidRPr="00C9575C">
        <w:rPr>
          <w:rFonts w:ascii="Times New Roman" w:eastAsia="Times New Roman" w:hAnsi="Times New Roman"/>
          <w:lang w:val="it-IT"/>
        </w:rPr>
        <w:t>4% con ABC/3TC vs 89</w:t>
      </w:r>
      <w:r w:rsidRPr="00C9575C">
        <w:rPr>
          <w:rFonts w:ascii="Times New Roman" w:eastAsia="Times New Roman" w:hAnsi="Times New Roman"/>
          <w:lang w:val="it-IT"/>
        </w:rPr>
        <w:t>,</w:t>
      </w:r>
      <w:r w:rsidR="00E40303" w:rsidRPr="00C9575C">
        <w:rPr>
          <w:rFonts w:ascii="Times New Roman" w:eastAsia="Times New Roman" w:hAnsi="Times New Roman"/>
          <w:lang w:val="it-IT"/>
        </w:rPr>
        <w:t>2% con TDF/FTC, quando assunti con efavirenz come terzo farmac</w:t>
      </w:r>
      <w:r w:rsidRPr="00C9575C">
        <w:rPr>
          <w:rFonts w:ascii="Times New Roman" w:eastAsia="Times New Roman" w:hAnsi="Times New Roman"/>
          <w:lang w:val="it-IT"/>
        </w:rPr>
        <w:t>o, differenza di trattamento -1,8% (95% CI -7,5%, 3,</w:t>
      </w:r>
      <w:r w:rsidR="00E40303" w:rsidRPr="00C9575C">
        <w:rPr>
          <w:rFonts w:ascii="Times New Roman" w:eastAsia="Times New Roman" w:hAnsi="Times New Roman"/>
          <w:lang w:val="it-IT"/>
        </w:rPr>
        <w:t>9%).</w:t>
      </w:r>
    </w:p>
    <w:p w14:paraId="01018FE1" w14:textId="77777777" w:rsidR="00E40303" w:rsidRPr="00C9575C" w:rsidRDefault="007472F3" w:rsidP="00E40303">
      <w:pPr>
        <w:widowControl w:val="0"/>
        <w:rPr>
          <w:lang w:val="it-IT"/>
        </w:rPr>
      </w:pPr>
      <w:r w:rsidRPr="00C9575C">
        <w:rPr>
          <w:lang w:val="it-IT"/>
        </w:rPr>
        <w:t>CNA109586 (studio ASSERT), era uno studio multicentrico, in aperto, randomizzato di abacavir/lamivudina (ABC/3TC, 600</w:t>
      </w:r>
      <w:r w:rsidR="00C4431A" w:rsidRPr="00C9575C">
        <w:rPr>
          <w:lang w:val="it-IT"/>
        </w:rPr>
        <w:t> </w:t>
      </w:r>
      <w:r w:rsidRPr="00C9575C">
        <w:rPr>
          <w:lang w:val="it-IT"/>
        </w:rPr>
        <w:t>mg/300</w:t>
      </w:r>
      <w:r w:rsidR="00C4431A" w:rsidRPr="00C9575C">
        <w:rPr>
          <w:lang w:val="it-IT"/>
        </w:rPr>
        <w:t> </w:t>
      </w:r>
      <w:r w:rsidRPr="00C9575C">
        <w:rPr>
          <w:lang w:val="it-IT"/>
        </w:rPr>
        <w:t>mg) e tenofovir/emtricitabina (TDF/FTC, 300</w:t>
      </w:r>
      <w:r w:rsidR="00C4431A" w:rsidRPr="00C9575C">
        <w:rPr>
          <w:lang w:val="it-IT"/>
        </w:rPr>
        <w:t> </w:t>
      </w:r>
      <w:r w:rsidRPr="00C9575C">
        <w:rPr>
          <w:lang w:val="it-IT"/>
        </w:rPr>
        <w:t>mg/200</w:t>
      </w:r>
      <w:r w:rsidR="00C4431A" w:rsidRPr="00C9575C">
        <w:rPr>
          <w:lang w:val="it-IT"/>
        </w:rPr>
        <w:t> </w:t>
      </w:r>
      <w:r w:rsidRPr="00C9575C">
        <w:rPr>
          <w:lang w:val="it-IT"/>
        </w:rPr>
        <w:t>mg), ognuno somministrato una volta al giorno, con efavirenz (EFV, 600</w:t>
      </w:r>
      <w:r w:rsidR="00C4431A" w:rsidRPr="00C9575C">
        <w:rPr>
          <w:lang w:val="it-IT"/>
        </w:rPr>
        <w:t> </w:t>
      </w:r>
      <w:r w:rsidRPr="00C9575C">
        <w:rPr>
          <w:lang w:val="it-IT"/>
        </w:rPr>
        <w:t xml:space="preserve">mg) negli adulti con infezione da HIV-1, </w:t>
      </w:r>
      <w:r w:rsidRPr="00C9575C">
        <w:rPr>
          <w:i/>
          <w:lang w:val="it-IT"/>
        </w:rPr>
        <w:t>naïve</w:t>
      </w:r>
      <w:r w:rsidRPr="00C9575C">
        <w:rPr>
          <w:lang w:val="it-IT"/>
        </w:rPr>
        <w:t xml:space="preserve"> alla ART, HLA-B*5701 negativi. I risultati virologici sono ria</w:t>
      </w:r>
      <w:r w:rsidR="00D45656" w:rsidRPr="00C9575C">
        <w:rPr>
          <w:lang w:val="it-IT"/>
        </w:rPr>
        <w:t>ssunti nella tabella di seguito.</w:t>
      </w:r>
    </w:p>
    <w:p w14:paraId="33F96D20" w14:textId="77777777" w:rsidR="00E40303" w:rsidRPr="00C9575C" w:rsidRDefault="00E40303" w:rsidP="00E40303">
      <w:pPr>
        <w:widowControl w:val="0"/>
        <w:rPr>
          <w:u w:val="single"/>
          <w:lang w:val="it-IT"/>
        </w:rPr>
      </w:pPr>
    </w:p>
    <w:p w14:paraId="02DC3BEC" w14:textId="35435F64" w:rsidR="00E40303" w:rsidRPr="00C9575C" w:rsidRDefault="007472F3" w:rsidP="002F1985">
      <w:pPr>
        <w:keepNext/>
        <w:widowControl w:val="0"/>
        <w:spacing w:after="120"/>
        <w:rPr>
          <w:b/>
          <w:lang w:val="it-IT"/>
        </w:rPr>
      </w:pPr>
      <w:r w:rsidRPr="00C9575C">
        <w:rPr>
          <w:b/>
          <w:lang w:val="it-IT"/>
        </w:rPr>
        <w:lastRenderedPageBreak/>
        <w:t xml:space="preserve">Risposta virologica alla settimana </w:t>
      </w:r>
      <w:r w:rsidR="00300FCD" w:rsidRPr="00C9575C">
        <w:rPr>
          <w:b/>
          <w:lang w:val="it-IT"/>
        </w:rPr>
        <w:t>48 Popolazione esposta-ITT &lt;</w:t>
      </w:r>
      <w:r w:rsidR="00376768">
        <w:rPr>
          <w:b/>
          <w:lang w:val="it-IT"/>
        </w:rPr>
        <w:t> </w:t>
      </w:r>
      <w:r w:rsidR="00300FCD" w:rsidRPr="00C9575C">
        <w:rPr>
          <w:b/>
          <w:lang w:val="it-IT"/>
        </w:rPr>
        <w:t>50 </w:t>
      </w:r>
      <w:r w:rsidRPr="00C9575C">
        <w:rPr>
          <w:b/>
          <w:lang w:val="it-IT"/>
        </w:rPr>
        <w:t>copie/m</w:t>
      </w:r>
      <w:r w:rsidR="006F341F" w:rsidRPr="00C9575C">
        <w:rPr>
          <w:b/>
          <w:lang w:val="it-IT"/>
        </w:rPr>
        <w:t>L</w:t>
      </w:r>
      <w:r w:rsidRPr="00C9575C">
        <w:rPr>
          <w:b/>
          <w:lang w:val="it-IT"/>
        </w:rPr>
        <w:t xml:space="preserve"> TLOVR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694"/>
        <w:gridCol w:w="2318"/>
      </w:tblGrid>
      <w:tr w:rsidR="00E40303" w:rsidRPr="00C9575C" w14:paraId="4DE344AF" w14:textId="77777777" w:rsidTr="00D23EB5">
        <w:trPr>
          <w:trHeight w:val="700"/>
        </w:trPr>
        <w:tc>
          <w:tcPr>
            <w:tcW w:w="3260" w:type="dxa"/>
            <w:vAlign w:val="center"/>
          </w:tcPr>
          <w:p w14:paraId="55F37CCD" w14:textId="77777777" w:rsidR="00E40303" w:rsidRPr="00C9575C" w:rsidRDefault="00E40303" w:rsidP="002F1985">
            <w:pPr>
              <w:keepNext/>
              <w:rPr>
                <w:lang w:val="it-IT"/>
              </w:rPr>
            </w:pPr>
          </w:p>
        </w:tc>
        <w:tc>
          <w:tcPr>
            <w:tcW w:w="2694" w:type="dxa"/>
            <w:vAlign w:val="center"/>
          </w:tcPr>
          <w:p w14:paraId="79079F2C" w14:textId="77777777" w:rsidR="00E40303" w:rsidRPr="00C9575C" w:rsidRDefault="00E40303" w:rsidP="002F1985">
            <w:pPr>
              <w:keepNext/>
              <w:jc w:val="center"/>
              <w:rPr>
                <w:b/>
                <w:lang w:val="it-IT"/>
              </w:rPr>
            </w:pPr>
            <w:r w:rsidRPr="00C9575C">
              <w:rPr>
                <w:b/>
                <w:lang w:val="it-IT"/>
              </w:rPr>
              <w:t>ABC/3TC + EFV</w:t>
            </w:r>
          </w:p>
          <w:p w14:paraId="34725A37" w14:textId="77777777" w:rsidR="00E40303" w:rsidRPr="00C9575C" w:rsidRDefault="00E40303" w:rsidP="002F1985">
            <w:pPr>
              <w:keepNext/>
              <w:jc w:val="center"/>
              <w:rPr>
                <w:b/>
                <w:lang w:val="it-IT"/>
              </w:rPr>
            </w:pPr>
            <w:r w:rsidRPr="00C9575C">
              <w:rPr>
                <w:b/>
                <w:lang w:val="it-IT"/>
              </w:rPr>
              <w:t>(N =192)</w:t>
            </w:r>
          </w:p>
        </w:tc>
        <w:tc>
          <w:tcPr>
            <w:tcW w:w="2318" w:type="dxa"/>
            <w:vAlign w:val="center"/>
          </w:tcPr>
          <w:p w14:paraId="21FBB3F1" w14:textId="77777777" w:rsidR="00E40303" w:rsidRPr="00C9575C" w:rsidRDefault="00E40303" w:rsidP="002F1985">
            <w:pPr>
              <w:keepNext/>
              <w:jc w:val="center"/>
              <w:rPr>
                <w:b/>
                <w:lang w:val="it-IT"/>
              </w:rPr>
            </w:pPr>
            <w:r w:rsidRPr="00C9575C">
              <w:rPr>
                <w:b/>
                <w:lang w:val="it-IT"/>
              </w:rPr>
              <w:t>TDF/FTC + EFV</w:t>
            </w:r>
          </w:p>
          <w:p w14:paraId="5032F4B9" w14:textId="77777777" w:rsidR="00E40303" w:rsidRPr="00C9575C" w:rsidRDefault="00E40303" w:rsidP="002F1985">
            <w:pPr>
              <w:keepNext/>
              <w:jc w:val="center"/>
              <w:rPr>
                <w:b/>
                <w:lang w:val="it-IT"/>
              </w:rPr>
            </w:pPr>
            <w:r w:rsidRPr="00C9575C">
              <w:rPr>
                <w:b/>
                <w:lang w:val="it-IT"/>
              </w:rPr>
              <w:t>(N =193)</w:t>
            </w:r>
          </w:p>
        </w:tc>
      </w:tr>
      <w:tr w:rsidR="00E40303" w:rsidRPr="00C9575C" w14:paraId="6A46984F" w14:textId="77777777" w:rsidTr="00D23EB5">
        <w:tc>
          <w:tcPr>
            <w:tcW w:w="3260" w:type="dxa"/>
          </w:tcPr>
          <w:p w14:paraId="22CEC17F" w14:textId="77777777" w:rsidR="00E40303" w:rsidRPr="00C9575C" w:rsidRDefault="00E40303" w:rsidP="002F1985">
            <w:pPr>
              <w:keepNext/>
              <w:rPr>
                <w:b/>
                <w:lang w:val="it-IT"/>
              </w:rPr>
            </w:pPr>
            <w:r w:rsidRPr="00C9575C">
              <w:rPr>
                <w:b/>
                <w:lang w:val="it-IT"/>
              </w:rPr>
              <w:t>Risposta complessiva</w:t>
            </w:r>
          </w:p>
        </w:tc>
        <w:tc>
          <w:tcPr>
            <w:tcW w:w="2694" w:type="dxa"/>
          </w:tcPr>
          <w:p w14:paraId="70E1E965" w14:textId="77777777" w:rsidR="00E40303" w:rsidRPr="00C9575C" w:rsidRDefault="00E40303" w:rsidP="002F1985">
            <w:pPr>
              <w:keepNext/>
              <w:jc w:val="center"/>
              <w:rPr>
                <w:lang w:val="it-IT"/>
              </w:rPr>
            </w:pPr>
            <w:r w:rsidRPr="00C9575C">
              <w:rPr>
                <w:lang w:val="it-IT"/>
              </w:rPr>
              <w:t>114/192</w:t>
            </w:r>
          </w:p>
          <w:p w14:paraId="25C3B3BD" w14:textId="77777777" w:rsidR="00E40303" w:rsidRPr="00C9575C" w:rsidRDefault="00E40303" w:rsidP="002F1985">
            <w:pPr>
              <w:keepNext/>
              <w:jc w:val="center"/>
              <w:rPr>
                <w:lang w:val="it-IT"/>
              </w:rPr>
            </w:pPr>
            <w:r w:rsidRPr="00C9575C">
              <w:rPr>
                <w:lang w:val="it-IT"/>
              </w:rPr>
              <w:t>(59%)</w:t>
            </w:r>
          </w:p>
        </w:tc>
        <w:tc>
          <w:tcPr>
            <w:tcW w:w="2318" w:type="dxa"/>
          </w:tcPr>
          <w:p w14:paraId="5FD330CD" w14:textId="77777777" w:rsidR="00E40303" w:rsidRPr="00C9575C" w:rsidRDefault="00E40303" w:rsidP="002F1985">
            <w:pPr>
              <w:keepNext/>
              <w:jc w:val="center"/>
              <w:rPr>
                <w:lang w:val="it-IT"/>
              </w:rPr>
            </w:pPr>
            <w:r w:rsidRPr="00C9575C">
              <w:rPr>
                <w:lang w:val="it-IT"/>
              </w:rPr>
              <w:t>137/193</w:t>
            </w:r>
          </w:p>
          <w:p w14:paraId="44040BD4" w14:textId="77777777" w:rsidR="00E40303" w:rsidRPr="00C9575C" w:rsidRDefault="00E40303" w:rsidP="002F1985">
            <w:pPr>
              <w:keepNext/>
              <w:jc w:val="center"/>
              <w:rPr>
                <w:lang w:val="it-IT"/>
              </w:rPr>
            </w:pPr>
            <w:r w:rsidRPr="00C9575C">
              <w:rPr>
                <w:lang w:val="it-IT"/>
              </w:rPr>
              <w:t>(71%)</w:t>
            </w:r>
          </w:p>
        </w:tc>
      </w:tr>
      <w:tr w:rsidR="00E40303" w:rsidRPr="00C9575C" w14:paraId="5FC1E591" w14:textId="77777777" w:rsidTr="00D23EB5">
        <w:tc>
          <w:tcPr>
            <w:tcW w:w="3260" w:type="dxa"/>
          </w:tcPr>
          <w:p w14:paraId="314DF5CD" w14:textId="74AF3EB7" w:rsidR="00E40303" w:rsidRPr="00C9575C" w:rsidRDefault="007472F3" w:rsidP="00300FCD">
            <w:pPr>
              <w:keepNext/>
              <w:ind w:right="-108"/>
              <w:rPr>
                <w:b/>
                <w:lang w:val="it-IT"/>
              </w:rPr>
            </w:pPr>
            <w:r w:rsidRPr="00C9575C">
              <w:rPr>
                <w:b/>
                <w:lang w:val="it-IT"/>
              </w:rPr>
              <w:t xml:space="preserve">Risposta dal </w:t>
            </w:r>
            <w:r w:rsidR="00300FCD" w:rsidRPr="00C9575C">
              <w:rPr>
                <w:b/>
                <w:lang w:val="it-IT"/>
              </w:rPr>
              <w:t>basale</w:t>
            </w:r>
            <w:r w:rsidRPr="00C9575C">
              <w:rPr>
                <w:b/>
                <w:lang w:val="it-IT"/>
              </w:rPr>
              <w:t xml:space="preserve"> HIV-1 RNA &lt;</w:t>
            </w:r>
            <w:r w:rsidR="00376768">
              <w:rPr>
                <w:b/>
                <w:lang w:val="it-IT"/>
              </w:rPr>
              <w:t> </w:t>
            </w:r>
            <w:r w:rsidRPr="00C9575C">
              <w:rPr>
                <w:b/>
                <w:lang w:val="it-IT"/>
              </w:rPr>
              <w:t>100</w:t>
            </w:r>
            <w:r w:rsidR="00300FCD" w:rsidRPr="00C9575C">
              <w:rPr>
                <w:b/>
                <w:lang w:val="it-IT"/>
              </w:rPr>
              <w:t>.</w:t>
            </w:r>
            <w:r w:rsidRPr="00C9575C">
              <w:rPr>
                <w:b/>
                <w:lang w:val="it-IT"/>
              </w:rPr>
              <w:t>000 c/m</w:t>
            </w:r>
            <w:r w:rsidR="006F341F" w:rsidRPr="00C9575C">
              <w:rPr>
                <w:b/>
                <w:lang w:val="it-IT"/>
              </w:rPr>
              <w:t>L</w:t>
            </w:r>
          </w:p>
        </w:tc>
        <w:tc>
          <w:tcPr>
            <w:tcW w:w="2694" w:type="dxa"/>
          </w:tcPr>
          <w:p w14:paraId="16DB90EB" w14:textId="77777777" w:rsidR="00E40303" w:rsidRPr="00C9575C" w:rsidRDefault="00E40303" w:rsidP="002F1985">
            <w:pPr>
              <w:keepNext/>
              <w:jc w:val="center"/>
              <w:rPr>
                <w:lang w:val="it-IT"/>
              </w:rPr>
            </w:pPr>
            <w:r w:rsidRPr="00C9575C">
              <w:rPr>
                <w:lang w:val="it-IT"/>
              </w:rPr>
              <w:t>61/95</w:t>
            </w:r>
          </w:p>
          <w:p w14:paraId="005339E1" w14:textId="77777777" w:rsidR="00E40303" w:rsidRPr="00C9575C" w:rsidRDefault="00E40303" w:rsidP="002F1985">
            <w:pPr>
              <w:keepNext/>
              <w:jc w:val="center"/>
              <w:rPr>
                <w:lang w:val="it-IT"/>
              </w:rPr>
            </w:pPr>
            <w:r w:rsidRPr="00C9575C">
              <w:rPr>
                <w:lang w:val="it-IT"/>
              </w:rPr>
              <w:t>(64%)</w:t>
            </w:r>
          </w:p>
        </w:tc>
        <w:tc>
          <w:tcPr>
            <w:tcW w:w="2318" w:type="dxa"/>
          </w:tcPr>
          <w:p w14:paraId="13E00A30" w14:textId="77777777" w:rsidR="00E40303" w:rsidRPr="00C9575C" w:rsidRDefault="00E40303" w:rsidP="002F1985">
            <w:pPr>
              <w:keepNext/>
              <w:jc w:val="center"/>
              <w:rPr>
                <w:lang w:val="it-IT"/>
              </w:rPr>
            </w:pPr>
            <w:r w:rsidRPr="00C9575C">
              <w:rPr>
                <w:lang w:val="it-IT"/>
              </w:rPr>
              <w:t>62/83</w:t>
            </w:r>
          </w:p>
          <w:p w14:paraId="14F395AE" w14:textId="77777777" w:rsidR="00E40303" w:rsidRPr="00C9575C" w:rsidRDefault="00E40303" w:rsidP="002F1985">
            <w:pPr>
              <w:keepNext/>
              <w:jc w:val="center"/>
              <w:rPr>
                <w:lang w:val="it-IT"/>
              </w:rPr>
            </w:pPr>
            <w:r w:rsidRPr="00C9575C">
              <w:rPr>
                <w:lang w:val="it-IT"/>
              </w:rPr>
              <w:t>(75%)</w:t>
            </w:r>
          </w:p>
        </w:tc>
      </w:tr>
      <w:tr w:rsidR="00E40303" w:rsidRPr="00C9575C" w14:paraId="5D1289C8" w14:textId="77777777" w:rsidTr="00D23EB5">
        <w:tc>
          <w:tcPr>
            <w:tcW w:w="3260" w:type="dxa"/>
          </w:tcPr>
          <w:p w14:paraId="2C90E844" w14:textId="0205E5F3" w:rsidR="00E40303" w:rsidRPr="00C9575C" w:rsidRDefault="007472F3" w:rsidP="00300FCD">
            <w:pPr>
              <w:keepNext/>
              <w:ind w:right="-108"/>
              <w:rPr>
                <w:b/>
                <w:lang w:val="it-IT"/>
              </w:rPr>
            </w:pPr>
            <w:r w:rsidRPr="00C9575C">
              <w:rPr>
                <w:b/>
                <w:lang w:val="it-IT"/>
              </w:rPr>
              <w:t xml:space="preserve">Risposta dal </w:t>
            </w:r>
            <w:r w:rsidR="00300FCD" w:rsidRPr="00C9575C">
              <w:rPr>
                <w:b/>
                <w:lang w:val="it-IT"/>
              </w:rPr>
              <w:t>basale</w:t>
            </w:r>
            <w:r w:rsidRPr="00C9575C">
              <w:rPr>
                <w:b/>
                <w:lang w:val="it-IT"/>
              </w:rPr>
              <w:t xml:space="preserve"> HIV-1 RNA </w:t>
            </w:r>
            <w:r w:rsidR="00E40303" w:rsidRPr="00C9575C">
              <w:rPr>
                <w:b/>
                <w:lang w:val="it-IT"/>
              </w:rPr>
              <w:sym w:font="Symbol" w:char="F0B3"/>
            </w:r>
            <w:r w:rsidR="00376768">
              <w:rPr>
                <w:b/>
                <w:lang w:val="it-IT"/>
              </w:rPr>
              <w:t> </w:t>
            </w:r>
            <w:r w:rsidR="00300FCD" w:rsidRPr="00C9575C">
              <w:rPr>
                <w:b/>
                <w:lang w:val="it-IT"/>
              </w:rPr>
              <w:t>100.</w:t>
            </w:r>
            <w:r w:rsidRPr="00C9575C">
              <w:rPr>
                <w:b/>
                <w:lang w:val="it-IT"/>
              </w:rPr>
              <w:t>000 c/m</w:t>
            </w:r>
            <w:r w:rsidR="006F341F" w:rsidRPr="00C9575C">
              <w:rPr>
                <w:b/>
                <w:lang w:val="it-IT"/>
              </w:rPr>
              <w:t>L</w:t>
            </w:r>
          </w:p>
        </w:tc>
        <w:tc>
          <w:tcPr>
            <w:tcW w:w="2694" w:type="dxa"/>
          </w:tcPr>
          <w:p w14:paraId="4E2B36AB" w14:textId="77777777" w:rsidR="00E40303" w:rsidRPr="00C9575C" w:rsidRDefault="00E40303" w:rsidP="002F1985">
            <w:pPr>
              <w:keepNext/>
              <w:jc w:val="center"/>
              <w:rPr>
                <w:lang w:val="it-IT"/>
              </w:rPr>
            </w:pPr>
            <w:r w:rsidRPr="00C9575C">
              <w:rPr>
                <w:lang w:val="it-IT"/>
              </w:rPr>
              <w:t>53/97</w:t>
            </w:r>
          </w:p>
          <w:p w14:paraId="6ADD2046" w14:textId="77777777" w:rsidR="00E40303" w:rsidRPr="00C9575C" w:rsidRDefault="00E40303" w:rsidP="002F1985">
            <w:pPr>
              <w:keepNext/>
              <w:jc w:val="center"/>
              <w:rPr>
                <w:lang w:val="it-IT"/>
              </w:rPr>
            </w:pPr>
            <w:r w:rsidRPr="00C9575C">
              <w:rPr>
                <w:lang w:val="it-IT"/>
              </w:rPr>
              <w:t>(55%)</w:t>
            </w:r>
          </w:p>
        </w:tc>
        <w:tc>
          <w:tcPr>
            <w:tcW w:w="2318" w:type="dxa"/>
          </w:tcPr>
          <w:p w14:paraId="402C1BAF" w14:textId="77777777" w:rsidR="00E40303" w:rsidRPr="00C9575C" w:rsidRDefault="00E40303" w:rsidP="002F1985">
            <w:pPr>
              <w:keepNext/>
              <w:jc w:val="center"/>
              <w:rPr>
                <w:lang w:val="it-IT"/>
              </w:rPr>
            </w:pPr>
            <w:r w:rsidRPr="00C9575C">
              <w:rPr>
                <w:lang w:val="it-IT"/>
              </w:rPr>
              <w:t>75/110</w:t>
            </w:r>
          </w:p>
          <w:p w14:paraId="772EE4F5" w14:textId="77777777" w:rsidR="00E40303" w:rsidRPr="00C9575C" w:rsidRDefault="00E40303" w:rsidP="002F1985">
            <w:pPr>
              <w:keepNext/>
              <w:jc w:val="center"/>
              <w:rPr>
                <w:lang w:val="it-IT"/>
              </w:rPr>
            </w:pPr>
            <w:r w:rsidRPr="00C9575C">
              <w:rPr>
                <w:lang w:val="it-IT"/>
              </w:rPr>
              <w:t>(68%)</w:t>
            </w:r>
          </w:p>
        </w:tc>
      </w:tr>
    </w:tbl>
    <w:p w14:paraId="2B3CA462" w14:textId="77777777" w:rsidR="002F1985" w:rsidRPr="00C9575C" w:rsidRDefault="002F1985" w:rsidP="00E40303">
      <w:pPr>
        <w:rPr>
          <w:lang w:val="it-IT"/>
        </w:rPr>
      </w:pPr>
    </w:p>
    <w:p w14:paraId="507B1E90" w14:textId="77777777" w:rsidR="00E40303" w:rsidRPr="00C9575C" w:rsidRDefault="007472F3" w:rsidP="00E40303">
      <w:pPr>
        <w:rPr>
          <w:lang w:val="it-IT"/>
        </w:rPr>
      </w:pPr>
      <w:r w:rsidRPr="00C9575C">
        <w:rPr>
          <w:lang w:val="it-IT"/>
        </w:rPr>
        <w:t>Alla settimana 48, è stato osservato un tasso inferiore di risposta virolog</w:t>
      </w:r>
      <w:r w:rsidR="00836DE3" w:rsidRPr="00C9575C">
        <w:rPr>
          <w:lang w:val="it-IT"/>
        </w:rPr>
        <w:t xml:space="preserve">ica per ABC/3TC in confronto a </w:t>
      </w:r>
      <w:r w:rsidRPr="00C9575C">
        <w:rPr>
          <w:lang w:val="it-IT"/>
        </w:rPr>
        <w:t>TDF/FTC (punto di stima per la differenza di tratta</w:t>
      </w:r>
      <w:r w:rsidR="00D45656" w:rsidRPr="00C9575C">
        <w:rPr>
          <w:lang w:val="it-IT"/>
        </w:rPr>
        <w:t>mento: 11,</w:t>
      </w:r>
      <w:r w:rsidRPr="00C9575C">
        <w:rPr>
          <w:lang w:val="it-IT"/>
        </w:rPr>
        <w:t>6%, 95% CI</w:t>
      </w:r>
      <w:r w:rsidRPr="00C9575C">
        <w:rPr>
          <w:b/>
          <w:i/>
          <w:lang w:val="it-IT"/>
        </w:rPr>
        <w:t>:</w:t>
      </w:r>
      <w:r w:rsidR="00D45656" w:rsidRPr="00C9575C">
        <w:rPr>
          <w:lang w:val="it-IT"/>
        </w:rPr>
        <w:t xml:space="preserve"> 2,2, 21,</w:t>
      </w:r>
      <w:r w:rsidRPr="00C9575C">
        <w:rPr>
          <w:lang w:val="it-IT"/>
        </w:rPr>
        <w:t>1).</w:t>
      </w:r>
    </w:p>
    <w:p w14:paraId="1E5067C9" w14:textId="77777777" w:rsidR="0084378B" w:rsidRPr="00C9575C" w:rsidRDefault="0084378B">
      <w:pPr>
        <w:widowControl w:val="0"/>
        <w:tabs>
          <w:tab w:val="left" w:pos="567"/>
        </w:tabs>
        <w:rPr>
          <w:rStyle w:val="PageNumber"/>
          <w:szCs w:val="22"/>
          <w:lang w:val="it-IT"/>
        </w:rPr>
      </w:pPr>
    </w:p>
    <w:p w14:paraId="0DAA4BF6" w14:textId="77777777" w:rsidR="0084378B" w:rsidRPr="00C9575C" w:rsidRDefault="00CC0BC2">
      <w:pPr>
        <w:widowControl w:val="0"/>
        <w:rPr>
          <w:szCs w:val="22"/>
          <w:u w:val="single"/>
          <w:lang w:val="it-IT"/>
        </w:rPr>
      </w:pPr>
      <w:r w:rsidRPr="00C9575C">
        <w:rPr>
          <w:szCs w:val="22"/>
          <w:u w:val="single"/>
          <w:lang w:val="it-IT"/>
        </w:rPr>
        <w:t xml:space="preserve">Pazienti precedentemente trattati </w:t>
      </w:r>
    </w:p>
    <w:p w14:paraId="5930C9D9" w14:textId="77777777" w:rsidR="00304AEC" w:rsidRPr="00C9575C" w:rsidRDefault="00304AEC" w:rsidP="00B362EC">
      <w:pPr>
        <w:widowControl w:val="0"/>
        <w:rPr>
          <w:szCs w:val="22"/>
          <w:lang w:val="it-IT"/>
        </w:rPr>
      </w:pPr>
    </w:p>
    <w:p w14:paraId="3FBC6D7D" w14:textId="77777777" w:rsidR="00B362EC" w:rsidRPr="00C9575C" w:rsidRDefault="00304AEC" w:rsidP="00B362EC">
      <w:pPr>
        <w:widowControl w:val="0"/>
        <w:rPr>
          <w:szCs w:val="22"/>
          <w:lang w:val="it-IT"/>
        </w:rPr>
      </w:pPr>
      <w:r w:rsidRPr="00C9575C">
        <w:rPr>
          <w:szCs w:val="22"/>
          <w:lang w:val="it-IT"/>
        </w:rPr>
        <w:t>I d</w:t>
      </w:r>
      <w:r w:rsidR="00B362EC" w:rsidRPr="00C9575C">
        <w:rPr>
          <w:szCs w:val="22"/>
          <w:lang w:val="it-IT"/>
        </w:rPr>
        <w:t>at</w:t>
      </w:r>
      <w:r w:rsidRPr="00C9575C">
        <w:rPr>
          <w:szCs w:val="22"/>
          <w:lang w:val="it-IT"/>
        </w:rPr>
        <w:t>i</w:t>
      </w:r>
      <w:r w:rsidR="00B362EC" w:rsidRPr="00C9575C">
        <w:rPr>
          <w:szCs w:val="22"/>
          <w:lang w:val="it-IT"/>
        </w:rPr>
        <w:t xml:space="preserve"> da</w:t>
      </w:r>
      <w:r w:rsidR="00CD4BB6" w:rsidRPr="00C9575C">
        <w:rPr>
          <w:szCs w:val="22"/>
          <w:lang w:val="it-IT"/>
        </w:rPr>
        <w:t>i</w:t>
      </w:r>
      <w:r w:rsidR="00B362EC" w:rsidRPr="00C9575C">
        <w:rPr>
          <w:szCs w:val="22"/>
          <w:lang w:val="it-IT"/>
        </w:rPr>
        <w:t xml:space="preserve"> due studi, CAL30001 e ESS30008 hanno dimostrato che Kivexa una volta al giorno, ha un’efficacia virologica simile ad abacavir 300 mg due volte al giorno più lamivudina 300 mg una volta al giorno </w:t>
      </w:r>
      <w:r w:rsidR="00CD4BB6" w:rsidRPr="00C9575C">
        <w:rPr>
          <w:szCs w:val="22"/>
          <w:lang w:val="it-IT"/>
        </w:rPr>
        <w:t>o 150 </w:t>
      </w:r>
      <w:r w:rsidR="00B362EC" w:rsidRPr="00C9575C">
        <w:rPr>
          <w:szCs w:val="22"/>
          <w:lang w:val="it-IT"/>
        </w:rPr>
        <w:t>mg due volte al giorno, in pazient</w:t>
      </w:r>
      <w:r w:rsidR="00742480" w:rsidRPr="00C9575C">
        <w:rPr>
          <w:szCs w:val="22"/>
          <w:lang w:val="it-IT"/>
        </w:rPr>
        <w:t>i</w:t>
      </w:r>
      <w:r w:rsidR="00B362EC" w:rsidRPr="00C9575C">
        <w:rPr>
          <w:szCs w:val="22"/>
          <w:lang w:val="it-IT"/>
        </w:rPr>
        <w:t xml:space="preserve"> già trattati.</w:t>
      </w:r>
    </w:p>
    <w:p w14:paraId="3AC11E37" w14:textId="77777777" w:rsidR="00B362EC" w:rsidRPr="00C9575C" w:rsidRDefault="00B362EC">
      <w:pPr>
        <w:widowControl w:val="0"/>
        <w:rPr>
          <w:rStyle w:val="PageNumber"/>
          <w:szCs w:val="22"/>
          <w:lang w:val="it-IT"/>
        </w:rPr>
      </w:pPr>
    </w:p>
    <w:p w14:paraId="1DB0FA9A" w14:textId="61239C56" w:rsidR="0084378B" w:rsidRPr="00C9575C" w:rsidRDefault="0084378B">
      <w:pPr>
        <w:widowControl w:val="0"/>
        <w:rPr>
          <w:rStyle w:val="PageNumber"/>
          <w:szCs w:val="22"/>
          <w:lang w:val="it-IT"/>
        </w:rPr>
      </w:pPr>
      <w:r w:rsidRPr="00C9575C">
        <w:rPr>
          <w:rStyle w:val="PageNumber"/>
          <w:szCs w:val="22"/>
          <w:lang w:val="it-IT"/>
        </w:rPr>
        <w:t xml:space="preserve">Nello studio CAL30001 182 pazienti </w:t>
      </w:r>
      <w:r w:rsidRPr="00C9575C">
        <w:rPr>
          <w:rStyle w:val="PageNumber"/>
          <w:i/>
          <w:szCs w:val="22"/>
          <w:lang w:val="it-IT"/>
        </w:rPr>
        <w:t>experienced</w:t>
      </w:r>
      <w:r w:rsidRPr="00C9575C">
        <w:rPr>
          <w:rStyle w:val="PageNumber"/>
          <w:szCs w:val="22"/>
          <w:lang w:val="it-IT"/>
        </w:rPr>
        <w:t xml:space="preserve"> al trattamento, in fallimento virologico, sono stati randomizzati e ricevevano un trattamento sia con Kivexa una volta al giorno o con </w:t>
      </w:r>
      <w:r w:rsidR="00EE0A45" w:rsidRPr="00C9575C">
        <w:rPr>
          <w:rStyle w:val="PageNumber"/>
          <w:szCs w:val="22"/>
          <w:lang w:val="it-IT"/>
        </w:rPr>
        <w:t>abacavir 300 </w:t>
      </w:r>
      <w:r w:rsidRPr="00C9575C">
        <w:rPr>
          <w:rStyle w:val="PageNumber"/>
          <w:szCs w:val="22"/>
          <w:lang w:val="it-IT"/>
        </w:rPr>
        <w:t xml:space="preserve">mg due volte al giorno </w:t>
      </w:r>
      <w:r w:rsidR="00EE0A45" w:rsidRPr="00C9575C">
        <w:rPr>
          <w:rStyle w:val="PageNumber"/>
          <w:szCs w:val="22"/>
          <w:lang w:val="it-IT"/>
        </w:rPr>
        <w:t>più lamivudina 300 </w:t>
      </w:r>
      <w:r w:rsidRPr="00C9575C">
        <w:rPr>
          <w:rStyle w:val="PageNumber"/>
          <w:szCs w:val="22"/>
          <w:lang w:val="it-IT"/>
        </w:rPr>
        <w:t>mg una volta al giorno, entrambi i gruppi in combinazione con tenofovir e un PI o un NNRTI</w:t>
      </w:r>
      <w:r w:rsidR="00EE0A45" w:rsidRPr="00C9575C">
        <w:rPr>
          <w:rStyle w:val="PageNumber"/>
          <w:szCs w:val="22"/>
          <w:lang w:val="it-IT"/>
        </w:rPr>
        <w:t xml:space="preserve"> per 48 settimane. </w:t>
      </w:r>
      <w:r w:rsidR="00230124" w:rsidRPr="00C9575C">
        <w:rPr>
          <w:rStyle w:val="PageNumber"/>
          <w:szCs w:val="22"/>
          <w:lang w:val="it-IT"/>
        </w:rPr>
        <w:t>Sono state osservate r</w:t>
      </w:r>
      <w:r w:rsidRPr="00C9575C">
        <w:rPr>
          <w:rStyle w:val="PageNumber"/>
          <w:szCs w:val="22"/>
          <w:lang w:val="it-IT"/>
        </w:rPr>
        <w:t>iduzioni simili dei livelli di HIV-1 RNA misurati come area media sotto la curva meno il basale</w:t>
      </w:r>
      <w:r w:rsidR="008476F6" w:rsidRPr="00C9575C">
        <w:rPr>
          <w:rStyle w:val="PageNumber"/>
          <w:szCs w:val="22"/>
          <w:lang w:val="it-IT"/>
        </w:rPr>
        <w:t>,</w:t>
      </w:r>
      <w:r w:rsidR="00230124" w:rsidRPr="00C9575C">
        <w:rPr>
          <w:rStyle w:val="PageNumber"/>
          <w:szCs w:val="22"/>
          <w:lang w:val="it-IT"/>
        </w:rPr>
        <w:t xml:space="preserve"> le quali indicano che il gruppo con Kivexa non è stato inferi</w:t>
      </w:r>
      <w:r w:rsidR="00742480" w:rsidRPr="00C9575C">
        <w:rPr>
          <w:rStyle w:val="PageNumber"/>
          <w:szCs w:val="22"/>
          <w:lang w:val="it-IT"/>
        </w:rPr>
        <w:t>o</w:t>
      </w:r>
      <w:r w:rsidR="00230124" w:rsidRPr="00C9575C">
        <w:rPr>
          <w:rStyle w:val="PageNumber"/>
          <w:szCs w:val="22"/>
          <w:lang w:val="it-IT"/>
        </w:rPr>
        <w:t xml:space="preserve">re al gruppo con abacavir più lamivudina due volte al giorno </w:t>
      </w:r>
      <w:r w:rsidRPr="00C9575C">
        <w:rPr>
          <w:rStyle w:val="PageNumber"/>
          <w:szCs w:val="22"/>
          <w:lang w:val="it-IT"/>
        </w:rPr>
        <w:t>(AAUCMB, -1,65 log</w:t>
      </w:r>
      <w:r w:rsidRPr="00C9575C">
        <w:rPr>
          <w:rStyle w:val="PageNumber"/>
          <w:szCs w:val="22"/>
          <w:vertAlign w:val="subscript"/>
          <w:lang w:val="it-IT"/>
        </w:rPr>
        <w:t>10</w:t>
      </w:r>
      <w:r w:rsidRPr="00C9575C">
        <w:rPr>
          <w:rStyle w:val="PageNumber"/>
          <w:szCs w:val="22"/>
          <w:lang w:val="it-IT"/>
        </w:rPr>
        <w:t xml:space="preserve"> copie/m</w:t>
      </w:r>
      <w:r w:rsidR="006F341F" w:rsidRPr="00C9575C">
        <w:rPr>
          <w:rStyle w:val="PageNumber"/>
          <w:szCs w:val="22"/>
          <w:lang w:val="it-IT"/>
        </w:rPr>
        <w:t>L</w:t>
      </w:r>
      <w:r w:rsidRPr="00C9575C">
        <w:rPr>
          <w:rStyle w:val="PageNumber"/>
          <w:szCs w:val="22"/>
          <w:lang w:val="it-IT"/>
        </w:rPr>
        <w:t xml:space="preserve"> verso -1,83 log</w:t>
      </w:r>
      <w:r w:rsidRPr="00C9575C">
        <w:rPr>
          <w:rStyle w:val="PageNumber"/>
          <w:szCs w:val="22"/>
          <w:vertAlign w:val="subscript"/>
          <w:lang w:val="it-IT"/>
        </w:rPr>
        <w:t>10</w:t>
      </w:r>
      <w:r w:rsidR="00EE0A45" w:rsidRPr="00C9575C">
        <w:rPr>
          <w:rStyle w:val="PageNumber"/>
          <w:szCs w:val="22"/>
          <w:lang w:val="it-IT"/>
        </w:rPr>
        <w:t xml:space="preserve"> copie/m</w:t>
      </w:r>
      <w:r w:rsidR="006F341F" w:rsidRPr="00C9575C">
        <w:rPr>
          <w:rStyle w:val="PageNumber"/>
          <w:szCs w:val="22"/>
          <w:lang w:val="it-IT"/>
        </w:rPr>
        <w:t>L</w:t>
      </w:r>
      <w:r w:rsidR="00EE0A45" w:rsidRPr="00C9575C">
        <w:rPr>
          <w:rStyle w:val="PageNumber"/>
          <w:szCs w:val="22"/>
          <w:lang w:val="it-IT"/>
        </w:rPr>
        <w:t xml:space="preserve"> </w:t>
      </w:r>
      <w:r w:rsidRPr="00C9575C">
        <w:rPr>
          <w:rStyle w:val="PageNumber"/>
          <w:szCs w:val="22"/>
          <w:lang w:val="it-IT"/>
        </w:rPr>
        <w:t>rispettivamente, 95 % CI -0,13, 0,38). Anche le percentuali con HIV-1 RNA &lt;</w:t>
      </w:r>
      <w:r w:rsidR="00376768">
        <w:rPr>
          <w:rStyle w:val="PageNumber"/>
          <w:szCs w:val="22"/>
          <w:lang w:val="it-IT"/>
        </w:rPr>
        <w:t> </w:t>
      </w:r>
      <w:r w:rsidRPr="00C9575C">
        <w:rPr>
          <w:rStyle w:val="PageNumber"/>
          <w:szCs w:val="22"/>
          <w:lang w:val="it-IT"/>
        </w:rPr>
        <w:t>50 copie/m</w:t>
      </w:r>
      <w:r w:rsidR="006F341F" w:rsidRPr="00C9575C">
        <w:rPr>
          <w:rStyle w:val="PageNumber"/>
          <w:szCs w:val="22"/>
          <w:lang w:val="it-IT"/>
        </w:rPr>
        <w:t>L</w:t>
      </w:r>
      <w:r w:rsidRPr="00C9575C">
        <w:rPr>
          <w:rStyle w:val="PageNumber"/>
          <w:szCs w:val="22"/>
          <w:lang w:val="it-IT"/>
        </w:rPr>
        <w:t xml:space="preserve"> (50 % verso 47 %) e &lt;</w:t>
      </w:r>
      <w:r w:rsidR="00376768">
        <w:rPr>
          <w:rStyle w:val="PageNumber"/>
          <w:szCs w:val="22"/>
          <w:lang w:val="it-IT"/>
        </w:rPr>
        <w:t> </w:t>
      </w:r>
      <w:r w:rsidRPr="00C9575C">
        <w:rPr>
          <w:rStyle w:val="PageNumber"/>
          <w:szCs w:val="22"/>
          <w:lang w:val="it-IT"/>
        </w:rPr>
        <w:t>400 copie/m</w:t>
      </w:r>
      <w:r w:rsidR="006F341F" w:rsidRPr="00C9575C">
        <w:rPr>
          <w:rStyle w:val="PageNumber"/>
          <w:szCs w:val="22"/>
          <w:lang w:val="it-IT"/>
        </w:rPr>
        <w:t>L</w:t>
      </w:r>
      <w:r w:rsidRPr="00C9575C">
        <w:rPr>
          <w:rStyle w:val="PageNumber"/>
          <w:szCs w:val="22"/>
          <w:lang w:val="it-IT"/>
        </w:rPr>
        <w:t xml:space="preserve"> (54 % verso 57 %)</w:t>
      </w:r>
      <w:r w:rsidR="00230124" w:rsidRPr="00C9575C">
        <w:rPr>
          <w:rStyle w:val="PageNumber"/>
          <w:szCs w:val="22"/>
          <w:lang w:val="it-IT"/>
        </w:rPr>
        <w:t xml:space="preserve"> alla settimana 48</w:t>
      </w:r>
      <w:r w:rsidRPr="00C9575C">
        <w:rPr>
          <w:rStyle w:val="PageNumber"/>
          <w:szCs w:val="22"/>
          <w:lang w:val="it-IT"/>
        </w:rPr>
        <w:t xml:space="preserve"> erano</w:t>
      </w:r>
      <w:r w:rsidRPr="00C9575C">
        <w:rPr>
          <w:rStyle w:val="PageNumber"/>
          <w:szCs w:val="22"/>
          <w:vertAlign w:val="superscript"/>
          <w:lang w:val="it-IT"/>
        </w:rPr>
        <w:t xml:space="preserve"> </w:t>
      </w:r>
      <w:r w:rsidRPr="00C9575C">
        <w:rPr>
          <w:rStyle w:val="PageNumber"/>
          <w:szCs w:val="22"/>
          <w:lang w:val="it-IT"/>
        </w:rPr>
        <w:t>simili in ciascun gruppo (popolazione ITT).</w:t>
      </w:r>
      <w:r w:rsidRPr="00C9575C">
        <w:rPr>
          <w:szCs w:val="22"/>
          <w:lang w:val="it-IT"/>
        </w:rPr>
        <w:t xml:space="preserve"> </w:t>
      </w:r>
      <w:r w:rsidRPr="00C9575C">
        <w:rPr>
          <w:rStyle w:val="PageNumber"/>
          <w:szCs w:val="22"/>
          <w:lang w:val="it-IT"/>
        </w:rPr>
        <w:t>Tuttavia dal momento che in questo studio sono stati inclusi pazienti solo moderatamente trattati in precedenza con uno squilibrio tra i gruppi nella carica virale al basale, questi risultati devono essere interpretati con cautela.</w:t>
      </w:r>
    </w:p>
    <w:p w14:paraId="298A9886" w14:textId="77777777" w:rsidR="0084378B" w:rsidRPr="00C9575C" w:rsidRDefault="0084378B">
      <w:pPr>
        <w:widowControl w:val="0"/>
        <w:rPr>
          <w:rStyle w:val="PageNumber"/>
          <w:szCs w:val="22"/>
          <w:vertAlign w:val="superscript"/>
          <w:lang w:val="it-IT"/>
        </w:rPr>
      </w:pPr>
    </w:p>
    <w:p w14:paraId="450A1775" w14:textId="6F4D4558" w:rsidR="0084378B" w:rsidRPr="00C9575C" w:rsidRDefault="0084378B">
      <w:pPr>
        <w:widowControl w:val="0"/>
        <w:tabs>
          <w:tab w:val="left" w:pos="567"/>
        </w:tabs>
        <w:rPr>
          <w:rStyle w:val="PageNumber"/>
          <w:szCs w:val="22"/>
          <w:lang w:val="it-IT"/>
        </w:rPr>
      </w:pPr>
      <w:r w:rsidRPr="00C9575C">
        <w:rPr>
          <w:rStyle w:val="PageNumber"/>
          <w:szCs w:val="22"/>
          <w:lang w:val="it-IT"/>
        </w:rPr>
        <w:t>Nello studio ESS30008, 260</w:t>
      </w:r>
      <w:r w:rsidR="00376768">
        <w:rPr>
          <w:rStyle w:val="PageNumber"/>
          <w:szCs w:val="22"/>
          <w:lang w:val="it-IT"/>
        </w:rPr>
        <w:t> </w:t>
      </w:r>
      <w:r w:rsidRPr="00C9575C">
        <w:rPr>
          <w:rStyle w:val="PageNumber"/>
          <w:szCs w:val="22"/>
          <w:lang w:val="it-IT"/>
        </w:rPr>
        <w:t>pazienti con soppressione virologica in prima linea di terapia con un regime contenente a</w:t>
      </w:r>
      <w:r w:rsidR="008476F6" w:rsidRPr="00C9575C">
        <w:rPr>
          <w:rStyle w:val="PageNumber"/>
          <w:szCs w:val="22"/>
          <w:lang w:val="it-IT"/>
        </w:rPr>
        <w:t>bacavir 300 mg più lamivudina 150 </w:t>
      </w:r>
      <w:r w:rsidRPr="00C9575C">
        <w:rPr>
          <w:rStyle w:val="PageNumber"/>
          <w:szCs w:val="22"/>
          <w:lang w:val="it-IT"/>
        </w:rPr>
        <w:t>mg, entrambi somministrati al dosaggio di due volte al giorno e un PI o un NNRTI, sono stati randomizzati per continuare questo regime di trattamento o a passare al regime contenente Kivexa più un PI o un NNRTI per 48</w:t>
      </w:r>
      <w:r w:rsidR="00376768">
        <w:rPr>
          <w:rStyle w:val="PageNumber"/>
          <w:szCs w:val="22"/>
          <w:lang w:val="it-IT"/>
        </w:rPr>
        <w:t> </w:t>
      </w:r>
      <w:r w:rsidRPr="00C9575C">
        <w:rPr>
          <w:rStyle w:val="PageNumber"/>
          <w:szCs w:val="22"/>
          <w:lang w:val="it-IT"/>
        </w:rPr>
        <w:t xml:space="preserve">settimane. I risultati </w:t>
      </w:r>
      <w:r w:rsidR="00CA2114" w:rsidRPr="00C9575C">
        <w:rPr>
          <w:rStyle w:val="PageNumber"/>
          <w:szCs w:val="22"/>
          <w:lang w:val="it-IT"/>
        </w:rPr>
        <w:t>a 48 </w:t>
      </w:r>
      <w:r w:rsidR="00304AEC" w:rsidRPr="00C9575C">
        <w:rPr>
          <w:rStyle w:val="PageNumber"/>
          <w:szCs w:val="22"/>
          <w:lang w:val="it-IT"/>
        </w:rPr>
        <w:t xml:space="preserve">settimane indicavano </w:t>
      </w:r>
      <w:r w:rsidRPr="00C9575C">
        <w:rPr>
          <w:rStyle w:val="PageNumber"/>
          <w:szCs w:val="22"/>
          <w:lang w:val="it-IT"/>
        </w:rPr>
        <w:t>che il gruppo contenente Kivexa ha ottenuto un risultato virologico simile (non inferiore) al gruppo trattato con abacavir più lamivudina, sulla base della percentuale</w:t>
      </w:r>
      <w:r w:rsidR="008476F6" w:rsidRPr="00C9575C">
        <w:rPr>
          <w:rStyle w:val="PageNumber"/>
          <w:szCs w:val="22"/>
          <w:lang w:val="it-IT"/>
        </w:rPr>
        <w:t xml:space="preserve"> di soggetti con HIV-1 RNA &lt;</w:t>
      </w:r>
      <w:r w:rsidR="00376768">
        <w:rPr>
          <w:rStyle w:val="PageNumber"/>
          <w:szCs w:val="22"/>
          <w:lang w:val="it-IT"/>
        </w:rPr>
        <w:t> </w:t>
      </w:r>
      <w:r w:rsidR="008476F6" w:rsidRPr="00C9575C">
        <w:rPr>
          <w:rStyle w:val="PageNumber"/>
          <w:szCs w:val="22"/>
          <w:lang w:val="it-IT"/>
        </w:rPr>
        <w:t>50 </w:t>
      </w:r>
      <w:r w:rsidRPr="00C9575C">
        <w:rPr>
          <w:rStyle w:val="PageNumber"/>
          <w:szCs w:val="22"/>
          <w:lang w:val="it-IT"/>
        </w:rPr>
        <w:t>copie/m</w:t>
      </w:r>
      <w:r w:rsidR="006F341F" w:rsidRPr="00C9575C">
        <w:rPr>
          <w:rStyle w:val="PageNumber"/>
          <w:szCs w:val="22"/>
          <w:lang w:val="it-IT"/>
        </w:rPr>
        <w:t>L</w:t>
      </w:r>
      <w:r w:rsidRPr="00C9575C">
        <w:rPr>
          <w:rStyle w:val="PageNumber"/>
          <w:szCs w:val="22"/>
          <w:lang w:val="it-IT"/>
        </w:rPr>
        <w:t xml:space="preserve"> (90 % e 85 % rispettivamente, 95 % CI -2,7, 13,5).</w:t>
      </w:r>
    </w:p>
    <w:p w14:paraId="2F32C7FC" w14:textId="77777777" w:rsidR="0084378B" w:rsidRPr="00C9575C" w:rsidRDefault="0084378B">
      <w:pPr>
        <w:widowControl w:val="0"/>
        <w:tabs>
          <w:tab w:val="left" w:pos="567"/>
        </w:tabs>
        <w:rPr>
          <w:rStyle w:val="PageNumber"/>
          <w:szCs w:val="22"/>
          <w:lang w:val="it-IT"/>
        </w:rPr>
      </w:pPr>
    </w:p>
    <w:p w14:paraId="4A2ED847" w14:textId="3C793E9A" w:rsidR="00E95057" w:rsidRPr="00C9575C" w:rsidRDefault="00230124">
      <w:pPr>
        <w:widowControl w:val="0"/>
        <w:tabs>
          <w:tab w:val="left" w:pos="567"/>
        </w:tabs>
        <w:rPr>
          <w:lang w:val="it-IT"/>
        </w:rPr>
      </w:pPr>
      <w:r w:rsidRPr="00C9575C">
        <w:rPr>
          <w:rStyle w:val="PageNumber"/>
          <w:szCs w:val="22"/>
          <w:lang w:val="it-IT"/>
        </w:rPr>
        <w:t>Il punteggio di sensibilità genotipica (</w:t>
      </w:r>
      <w:r w:rsidR="00DA2AD2" w:rsidRPr="00C9575C">
        <w:rPr>
          <w:i/>
          <w:lang w:val="it-IT"/>
        </w:rPr>
        <w:t>genotypic sensitivity score,</w:t>
      </w:r>
      <w:r w:rsidR="00DA2AD2" w:rsidRPr="00C9575C">
        <w:rPr>
          <w:rStyle w:val="PageNumber"/>
          <w:szCs w:val="22"/>
          <w:lang w:val="it-IT"/>
        </w:rPr>
        <w:t xml:space="preserve"> </w:t>
      </w:r>
      <w:r w:rsidRPr="00C9575C">
        <w:rPr>
          <w:rStyle w:val="PageNumber"/>
          <w:szCs w:val="22"/>
          <w:lang w:val="it-IT"/>
        </w:rPr>
        <w:t xml:space="preserve">GSS) non è stato stabilito dal titolare </w:t>
      </w:r>
      <w:r w:rsidR="005D1624" w:rsidRPr="00C9575C">
        <w:rPr>
          <w:rStyle w:val="PageNumber"/>
          <w:szCs w:val="22"/>
          <w:lang w:val="it-IT"/>
        </w:rPr>
        <w:t xml:space="preserve">dell’autorizzazione all’immissione in commercio </w:t>
      </w:r>
      <w:r w:rsidRPr="00C9575C">
        <w:rPr>
          <w:rStyle w:val="PageNumber"/>
          <w:szCs w:val="22"/>
          <w:lang w:val="it-IT"/>
        </w:rPr>
        <w:t>per l’associazione abacavir/lamivudina. L</w:t>
      </w:r>
      <w:r w:rsidR="00CD4BB6" w:rsidRPr="00C9575C">
        <w:rPr>
          <w:rStyle w:val="PageNumber"/>
          <w:szCs w:val="22"/>
          <w:lang w:val="it-IT"/>
        </w:rPr>
        <w:t>e</w:t>
      </w:r>
      <w:r w:rsidRPr="00C9575C">
        <w:rPr>
          <w:rStyle w:val="PageNumber"/>
          <w:szCs w:val="22"/>
          <w:lang w:val="it-IT"/>
        </w:rPr>
        <w:t xml:space="preserve"> percentual</w:t>
      </w:r>
      <w:r w:rsidR="00CD4BB6" w:rsidRPr="00C9575C">
        <w:rPr>
          <w:rStyle w:val="PageNumber"/>
          <w:szCs w:val="22"/>
          <w:lang w:val="it-IT"/>
        </w:rPr>
        <w:t>i</w:t>
      </w:r>
      <w:r w:rsidRPr="00C9575C">
        <w:rPr>
          <w:rStyle w:val="PageNumber"/>
          <w:szCs w:val="22"/>
          <w:lang w:val="it-IT"/>
        </w:rPr>
        <w:t xml:space="preserve"> di pazienti già trattati nello studio CAL30001 con </w:t>
      </w:r>
      <w:r w:rsidRPr="00C9575C">
        <w:rPr>
          <w:lang w:val="it-IT"/>
        </w:rPr>
        <w:t>HIV-RNA &lt;</w:t>
      </w:r>
      <w:r w:rsidR="00376768">
        <w:rPr>
          <w:lang w:val="it-IT"/>
        </w:rPr>
        <w:t> </w:t>
      </w:r>
      <w:r w:rsidRPr="00C9575C">
        <w:rPr>
          <w:lang w:val="it-IT"/>
        </w:rPr>
        <w:t>50 copie/m</w:t>
      </w:r>
      <w:r w:rsidR="006F341F" w:rsidRPr="00C9575C">
        <w:rPr>
          <w:lang w:val="it-IT"/>
        </w:rPr>
        <w:t>L</w:t>
      </w:r>
      <w:r w:rsidRPr="00C9575C">
        <w:rPr>
          <w:lang w:val="it-IT"/>
        </w:rPr>
        <w:t xml:space="preserve"> alla settimana 48 sono tabulate in base al punteggio di sensibilità genotipica nella terapia di base ottimizzata </w:t>
      </w:r>
      <w:r w:rsidR="00E90FF8" w:rsidRPr="00C9575C">
        <w:rPr>
          <w:lang w:val="it-IT"/>
        </w:rPr>
        <w:t>(</w:t>
      </w:r>
      <w:r w:rsidR="005C5C55" w:rsidRPr="00C9575C">
        <w:rPr>
          <w:i/>
          <w:lang w:val="it-IT"/>
        </w:rPr>
        <w:t>optimized background therapy</w:t>
      </w:r>
      <w:r w:rsidR="005C5C55" w:rsidRPr="00C9575C">
        <w:rPr>
          <w:lang w:val="it-IT"/>
        </w:rPr>
        <w:t xml:space="preserve">, </w:t>
      </w:r>
      <w:r w:rsidR="00E90FF8" w:rsidRPr="00C9575C">
        <w:rPr>
          <w:lang w:val="it-IT"/>
        </w:rPr>
        <w:t>OBT).</w:t>
      </w:r>
      <w:r w:rsidR="00CD4BB6" w:rsidRPr="00C9575C">
        <w:rPr>
          <w:lang w:val="it-IT"/>
        </w:rPr>
        <w:t xml:space="preserve"> </w:t>
      </w:r>
      <w:r w:rsidR="00265997" w:rsidRPr="00C9575C">
        <w:rPr>
          <w:lang w:val="it-IT"/>
        </w:rPr>
        <w:t>Sono stati valutati anche l</w:t>
      </w:r>
      <w:r w:rsidR="00E90FF8" w:rsidRPr="00C9575C">
        <w:rPr>
          <w:lang w:val="it-IT"/>
        </w:rPr>
        <w:t xml:space="preserve">’impatto delle mutazioni principali definite </w:t>
      </w:r>
      <w:r w:rsidR="00265997" w:rsidRPr="00C9575C">
        <w:rPr>
          <w:lang w:val="it-IT"/>
        </w:rPr>
        <w:t xml:space="preserve">dalla </w:t>
      </w:r>
      <w:r w:rsidR="00E90FF8" w:rsidRPr="00C9575C">
        <w:rPr>
          <w:lang w:val="it-IT"/>
        </w:rPr>
        <w:t>IAS-US</w:t>
      </w:r>
      <w:r w:rsidR="00836A93" w:rsidRPr="00C9575C">
        <w:rPr>
          <w:lang w:val="it-IT"/>
        </w:rPr>
        <w:t>A</w:t>
      </w:r>
      <w:r w:rsidR="00E90FF8" w:rsidRPr="00C9575C">
        <w:rPr>
          <w:lang w:val="it-IT"/>
        </w:rPr>
        <w:t xml:space="preserve"> per abacavir e lamivudina e </w:t>
      </w:r>
      <w:r w:rsidR="00265997" w:rsidRPr="00C9575C">
        <w:rPr>
          <w:lang w:val="it-IT"/>
        </w:rPr>
        <w:t xml:space="preserve">le </w:t>
      </w:r>
      <w:r w:rsidR="00E90FF8" w:rsidRPr="00C9575C">
        <w:rPr>
          <w:lang w:val="it-IT"/>
        </w:rPr>
        <w:t xml:space="preserve">mutazioni </w:t>
      </w:r>
      <w:r w:rsidR="00265997" w:rsidRPr="00C9575C">
        <w:rPr>
          <w:lang w:val="it-IT"/>
        </w:rPr>
        <w:t>al basale sulla risposta</w:t>
      </w:r>
      <w:r w:rsidR="007F72C3" w:rsidRPr="00C9575C">
        <w:rPr>
          <w:lang w:val="it-IT"/>
        </w:rPr>
        <w:t>,</w:t>
      </w:r>
      <w:r w:rsidR="00265997" w:rsidRPr="00C9575C">
        <w:rPr>
          <w:lang w:val="it-IT"/>
        </w:rPr>
        <w:t xml:space="preserve"> delle mutazioni </w:t>
      </w:r>
      <w:r w:rsidR="00E90FF8" w:rsidRPr="00C9575C">
        <w:rPr>
          <w:lang w:val="it-IT"/>
        </w:rPr>
        <w:t xml:space="preserve">associate alla </w:t>
      </w:r>
      <w:r w:rsidR="00265997" w:rsidRPr="00C9575C">
        <w:rPr>
          <w:lang w:val="it-IT"/>
        </w:rPr>
        <w:t>multi</w:t>
      </w:r>
      <w:r w:rsidR="00C96C6C" w:rsidRPr="00C9575C">
        <w:rPr>
          <w:lang w:val="it-IT"/>
        </w:rPr>
        <w:t>-</w:t>
      </w:r>
      <w:r w:rsidR="00E90FF8" w:rsidRPr="00C9575C">
        <w:rPr>
          <w:lang w:val="it-IT"/>
        </w:rPr>
        <w:t xml:space="preserve">resistenza </w:t>
      </w:r>
      <w:r w:rsidR="00265997" w:rsidRPr="00C9575C">
        <w:rPr>
          <w:lang w:val="it-IT"/>
        </w:rPr>
        <w:t xml:space="preserve">agli </w:t>
      </w:r>
      <w:r w:rsidR="00E90FF8" w:rsidRPr="00C9575C">
        <w:rPr>
          <w:lang w:val="it-IT"/>
        </w:rPr>
        <w:t>NRT</w:t>
      </w:r>
      <w:r w:rsidR="0060737E" w:rsidRPr="00C9575C">
        <w:rPr>
          <w:lang w:val="it-IT"/>
        </w:rPr>
        <w:t>I</w:t>
      </w:r>
      <w:r w:rsidR="00836A93" w:rsidRPr="00C9575C">
        <w:rPr>
          <w:lang w:val="it-IT"/>
        </w:rPr>
        <w:t>.</w:t>
      </w:r>
      <w:r w:rsidR="005B24CE" w:rsidRPr="00C9575C">
        <w:rPr>
          <w:lang w:val="it-IT"/>
        </w:rPr>
        <w:t xml:space="preserve"> </w:t>
      </w:r>
      <w:r w:rsidR="00E90FF8" w:rsidRPr="00C9575C">
        <w:rPr>
          <w:lang w:val="it-IT"/>
        </w:rPr>
        <w:t>Il GSS è stato ottenuto</w:t>
      </w:r>
      <w:r w:rsidR="00836A93" w:rsidRPr="00C9575C">
        <w:rPr>
          <w:lang w:val="it-IT"/>
        </w:rPr>
        <w:t xml:space="preserve"> </w:t>
      </w:r>
      <w:r w:rsidR="00C96C6C" w:rsidRPr="00C9575C">
        <w:rPr>
          <w:lang w:val="it-IT"/>
        </w:rPr>
        <w:t>dalle</w:t>
      </w:r>
      <w:r w:rsidR="00E90FF8" w:rsidRPr="00C9575C">
        <w:rPr>
          <w:lang w:val="it-IT"/>
        </w:rPr>
        <w:t xml:space="preserve"> </w:t>
      </w:r>
      <w:r w:rsidR="00C96C6C" w:rsidRPr="00C9575C">
        <w:rPr>
          <w:lang w:val="it-IT"/>
        </w:rPr>
        <w:t>rilevazioni Monogram</w:t>
      </w:r>
      <w:r w:rsidR="005B24CE" w:rsidRPr="00C9575C">
        <w:rPr>
          <w:lang w:val="it-IT"/>
        </w:rPr>
        <w:t>,</w:t>
      </w:r>
      <w:r w:rsidR="00C96C6C" w:rsidRPr="00C9575C">
        <w:rPr>
          <w:lang w:val="it-IT"/>
        </w:rPr>
        <w:t xml:space="preserve"> </w:t>
      </w:r>
      <w:r w:rsidR="00E90FF8" w:rsidRPr="00C9575C">
        <w:rPr>
          <w:lang w:val="it-IT"/>
        </w:rPr>
        <w:t>con virus sensibili</w:t>
      </w:r>
      <w:r w:rsidR="00836A93" w:rsidRPr="00C9575C">
        <w:rPr>
          <w:lang w:val="it-IT"/>
        </w:rPr>
        <w:t xml:space="preserve"> </w:t>
      </w:r>
      <w:r w:rsidR="005C5C55" w:rsidRPr="00C9575C">
        <w:rPr>
          <w:lang w:val="it-IT"/>
        </w:rPr>
        <w:t xml:space="preserve">cui </w:t>
      </w:r>
      <w:r w:rsidR="0031674A" w:rsidRPr="00C9575C">
        <w:rPr>
          <w:lang w:val="it-IT"/>
        </w:rPr>
        <w:t xml:space="preserve">attribuivano valori da </w:t>
      </w:r>
      <w:smartTag w:uri="urn:schemas-microsoft-com:office:smarttags" w:element="metricconverter">
        <w:smartTagPr>
          <w:attr w:name="ProductID" w:val="1 a"/>
        </w:smartTagPr>
        <w:r w:rsidR="00836A93" w:rsidRPr="00C9575C">
          <w:rPr>
            <w:lang w:val="it-IT"/>
          </w:rPr>
          <w:t>1 a</w:t>
        </w:r>
      </w:smartTag>
      <w:r w:rsidR="00836A93" w:rsidRPr="00C9575C">
        <w:rPr>
          <w:lang w:val="it-IT"/>
        </w:rPr>
        <w:t xml:space="preserve"> 4 </w:t>
      </w:r>
      <w:r w:rsidR="0031674A" w:rsidRPr="00C9575C">
        <w:rPr>
          <w:lang w:val="it-IT"/>
        </w:rPr>
        <w:t xml:space="preserve">sulla base del numero dei farmaci nel regime terapeutico e </w:t>
      </w:r>
      <w:r w:rsidR="005C5C55" w:rsidRPr="00C9575C">
        <w:rPr>
          <w:lang w:val="it-IT"/>
        </w:rPr>
        <w:t>attribuivano il valore ‘0’a</w:t>
      </w:r>
      <w:r w:rsidR="0031674A" w:rsidRPr="00C9575C">
        <w:rPr>
          <w:lang w:val="it-IT"/>
        </w:rPr>
        <w:t xml:space="preserve"> virus con ridotta sensibilità. I punteggi di sensibilità genotipica non sono stati ottenuti per tutti </w:t>
      </w:r>
      <w:r w:rsidR="00836A93" w:rsidRPr="00C9575C">
        <w:rPr>
          <w:lang w:val="it-IT"/>
        </w:rPr>
        <w:t>i</w:t>
      </w:r>
      <w:r w:rsidR="0031674A" w:rsidRPr="00C9575C">
        <w:rPr>
          <w:lang w:val="it-IT"/>
        </w:rPr>
        <w:t xml:space="preserve"> pazienti al bas</w:t>
      </w:r>
      <w:r w:rsidR="005C5C55" w:rsidRPr="00C9575C">
        <w:rPr>
          <w:lang w:val="it-IT"/>
        </w:rPr>
        <w:t>ale</w:t>
      </w:r>
      <w:r w:rsidR="0031674A" w:rsidRPr="00C9575C">
        <w:rPr>
          <w:lang w:val="it-IT"/>
        </w:rPr>
        <w:t>.</w:t>
      </w:r>
      <w:r w:rsidR="00C96C6C" w:rsidRPr="00C9575C">
        <w:rPr>
          <w:lang w:val="it-IT"/>
        </w:rPr>
        <w:t xml:space="preserve"> </w:t>
      </w:r>
      <w:r w:rsidR="006E2CDE" w:rsidRPr="00C9575C">
        <w:rPr>
          <w:lang w:val="it-IT"/>
        </w:rPr>
        <w:t>Percentuali</w:t>
      </w:r>
      <w:r w:rsidR="0031674A" w:rsidRPr="00C9575C">
        <w:rPr>
          <w:lang w:val="it-IT"/>
        </w:rPr>
        <w:t xml:space="preserve"> simili di pazienti nei gruppi in trattamento con abacavir una volta al giorno e due volte al giorno </w:t>
      </w:r>
      <w:r w:rsidR="00836A93" w:rsidRPr="00C9575C">
        <w:rPr>
          <w:lang w:val="it-IT"/>
        </w:rPr>
        <w:t xml:space="preserve">nello studio </w:t>
      </w:r>
      <w:r w:rsidR="0031674A" w:rsidRPr="00C9575C">
        <w:rPr>
          <w:lang w:val="it-IT"/>
        </w:rPr>
        <w:t xml:space="preserve">CAL30001 avevano un punteggio di </w:t>
      </w:r>
      <w:r w:rsidR="00836A93" w:rsidRPr="00C9575C">
        <w:rPr>
          <w:lang w:val="it-IT"/>
        </w:rPr>
        <w:t>GSS</w:t>
      </w:r>
      <w:r w:rsidR="0031674A" w:rsidRPr="00C9575C">
        <w:rPr>
          <w:lang w:val="it-IT"/>
        </w:rPr>
        <w:t xml:space="preserve"> &lt;</w:t>
      </w:r>
      <w:r w:rsidR="005E1C7A" w:rsidRPr="00C9575C">
        <w:rPr>
          <w:lang w:val="it-IT"/>
        </w:rPr>
        <w:t xml:space="preserve"> </w:t>
      </w:r>
      <w:r w:rsidR="0031674A" w:rsidRPr="00C9575C">
        <w:rPr>
          <w:lang w:val="it-IT"/>
        </w:rPr>
        <w:t xml:space="preserve">2 o </w:t>
      </w:r>
      <w:r w:rsidR="0031674A" w:rsidRPr="00C9575C">
        <w:rPr>
          <w:lang w:val="it-IT"/>
        </w:rPr>
        <w:sym w:font="Symbol" w:char="F0B3"/>
      </w:r>
      <w:r w:rsidR="0031674A" w:rsidRPr="00C9575C">
        <w:rPr>
          <w:lang w:val="it-IT"/>
        </w:rPr>
        <w:t xml:space="preserve"> 2 e</w:t>
      </w:r>
      <w:r w:rsidR="00836A93" w:rsidRPr="00C9575C">
        <w:rPr>
          <w:lang w:val="it-IT"/>
        </w:rPr>
        <w:t xml:space="preserve"> </w:t>
      </w:r>
      <w:r w:rsidR="00C96C6C" w:rsidRPr="00C9575C">
        <w:rPr>
          <w:lang w:val="it-IT"/>
        </w:rPr>
        <w:t>risultavano so</w:t>
      </w:r>
      <w:r w:rsidR="00236D8B" w:rsidRPr="00C9575C">
        <w:rPr>
          <w:lang w:val="it-IT"/>
        </w:rPr>
        <w:t>p</w:t>
      </w:r>
      <w:r w:rsidR="00C96C6C" w:rsidRPr="00C9575C">
        <w:rPr>
          <w:lang w:val="it-IT"/>
        </w:rPr>
        <w:t xml:space="preserve">presse con successo </w:t>
      </w:r>
      <w:r w:rsidR="008A38FA" w:rsidRPr="00C9575C">
        <w:rPr>
          <w:lang w:val="it-IT"/>
        </w:rPr>
        <w:t xml:space="preserve">a </w:t>
      </w:r>
      <w:r w:rsidR="00836A93" w:rsidRPr="00C9575C">
        <w:rPr>
          <w:lang w:val="it-IT"/>
        </w:rPr>
        <w:t>&lt;</w:t>
      </w:r>
      <w:r w:rsidR="00376768">
        <w:rPr>
          <w:lang w:val="it-IT"/>
        </w:rPr>
        <w:t> </w:t>
      </w:r>
      <w:r w:rsidR="00836A93" w:rsidRPr="00C9575C">
        <w:rPr>
          <w:lang w:val="it-IT"/>
        </w:rPr>
        <w:t>50 copie/</w:t>
      </w:r>
      <w:r w:rsidR="0031674A" w:rsidRPr="00C9575C">
        <w:rPr>
          <w:lang w:val="it-IT"/>
        </w:rPr>
        <w:t>m</w:t>
      </w:r>
      <w:r w:rsidR="006F341F" w:rsidRPr="00C9575C">
        <w:rPr>
          <w:lang w:val="it-IT"/>
        </w:rPr>
        <w:t>L</w:t>
      </w:r>
      <w:r w:rsidR="0031674A" w:rsidRPr="00C9575C">
        <w:rPr>
          <w:lang w:val="it-IT"/>
        </w:rPr>
        <w:t xml:space="preserve"> alla settimana</w:t>
      </w:r>
      <w:r w:rsidR="008A38FA" w:rsidRPr="00C9575C">
        <w:rPr>
          <w:lang w:val="it-IT"/>
        </w:rPr>
        <w:t xml:space="preserve"> 48</w:t>
      </w:r>
      <w:r w:rsidR="0031674A" w:rsidRPr="00C9575C">
        <w:rPr>
          <w:lang w:val="it-IT"/>
        </w:rPr>
        <w:t>.</w:t>
      </w:r>
    </w:p>
    <w:p w14:paraId="022BEB72" w14:textId="77777777" w:rsidR="00517147" w:rsidRPr="00C9575C" w:rsidRDefault="00517147">
      <w:pPr>
        <w:widowControl w:val="0"/>
        <w:tabs>
          <w:tab w:val="left" w:pos="567"/>
        </w:tabs>
        <w:rPr>
          <w:lang w:val="it-IT"/>
        </w:rPr>
      </w:pPr>
    </w:p>
    <w:p w14:paraId="69F42B1C" w14:textId="12636388" w:rsidR="0031674A" w:rsidRPr="00C9575C" w:rsidRDefault="0031674A" w:rsidP="0031674A">
      <w:pPr>
        <w:keepNext/>
        <w:rPr>
          <w:b/>
          <w:lang w:val="it-IT"/>
        </w:rPr>
      </w:pPr>
      <w:r w:rsidRPr="00C9575C">
        <w:rPr>
          <w:b/>
          <w:lang w:val="it-IT"/>
        </w:rPr>
        <w:lastRenderedPageBreak/>
        <w:t xml:space="preserve">Percentuale di pazienti in CAL30001 </w:t>
      </w:r>
      <w:r w:rsidR="00E95057" w:rsidRPr="00C9575C">
        <w:rPr>
          <w:b/>
          <w:lang w:val="it-IT"/>
        </w:rPr>
        <w:t>con</w:t>
      </w:r>
      <w:r w:rsidRPr="00C9575C">
        <w:rPr>
          <w:b/>
          <w:lang w:val="it-IT"/>
        </w:rPr>
        <w:t xml:space="preserve"> &lt;</w:t>
      </w:r>
      <w:r w:rsidR="00376768">
        <w:rPr>
          <w:b/>
          <w:lang w:val="it-IT"/>
        </w:rPr>
        <w:t> </w:t>
      </w:r>
      <w:r w:rsidRPr="00C9575C">
        <w:rPr>
          <w:b/>
          <w:lang w:val="it-IT"/>
        </w:rPr>
        <w:t>50 copie/m</w:t>
      </w:r>
      <w:r w:rsidR="006F341F" w:rsidRPr="00C9575C">
        <w:rPr>
          <w:b/>
          <w:lang w:val="it-IT"/>
        </w:rPr>
        <w:t>L</w:t>
      </w:r>
      <w:r w:rsidRPr="00C9575C">
        <w:rPr>
          <w:b/>
          <w:lang w:val="it-IT"/>
        </w:rPr>
        <w:t xml:space="preserve"> </w:t>
      </w:r>
      <w:r w:rsidR="00E95057" w:rsidRPr="00C9575C">
        <w:rPr>
          <w:b/>
          <w:lang w:val="it-IT"/>
        </w:rPr>
        <w:t>alla settimana</w:t>
      </w:r>
      <w:r w:rsidRPr="00C9575C">
        <w:rPr>
          <w:b/>
          <w:lang w:val="it-IT"/>
        </w:rPr>
        <w:t xml:space="preserve"> 48 </w:t>
      </w:r>
      <w:r w:rsidR="00E95057" w:rsidRPr="00C9575C">
        <w:rPr>
          <w:b/>
          <w:lang w:val="it-IT"/>
        </w:rPr>
        <w:t xml:space="preserve">con </w:t>
      </w:r>
      <w:r w:rsidRPr="00C9575C">
        <w:rPr>
          <w:b/>
          <w:lang w:val="it-IT"/>
        </w:rPr>
        <w:t xml:space="preserve">Genotypic Sensitivity Score in OBT </w:t>
      </w:r>
      <w:r w:rsidR="00236D8B" w:rsidRPr="00C9575C">
        <w:rPr>
          <w:b/>
          <w:lang w:val="it-IT"/>
        </w:rPr>
        <w:t>e</w:t>
      </w:r>
      <w:r w:rsidRPr="00C9575C">
        <w:rPr>
          <w:b/>
          <w:lang w:val="it-IT"/>
        </w:rPr>
        <w:t xml:space="preserve"> </w:t>
      </w:r>
      <w:r w:rsidR="00E95057" w:rsidRPr="00C9575C">
        <w:rPr>
          <w:b/>
          <w:lang w:val="it-IT"/>
        </w:rPr>
        <w:t>Numero di mutazioni al bas</w:t>
      </w:r>
      <w:r w:rsidR="008A38FA" w:rsidRPr="00C9575C">
        <w:rPr>
          <w:b/>
          <w:lang w:val="it-IT"/>
        </w:rPr>
        <w:t>ale</w:t>
      </w:r>
    </w:p>
    <w:p w14:paraId="5726C1F1" w14:textId="77777777" w:rsidR="0031674A" w:rsidRPr="00C9575C" w:rsidRDefault="0031674A" w:rsidP="0031674A">
      <w:pPr>
        <w:keepNext/>
        <w:rPr>
          <w:lang w:val="it-IT"/>
        </w:rPr>
      </w:pP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219"/>
        <w:gridCol w:w="1616"/>
        <w:gridCol w:w="1418"/>
        <w:gridCol w:w="1559"/>
        <w:gridCol w:w="1311"/>
        <w:gridCol w:w="1476"/>
      </w:tblGrid>
      <w:tr w:rsidR="0031674A" w:rsidRPr="00C9575C" w14:paraId="518EA694" w14:textId="77777777" w:rsidTr="00D23EB5">
        <w:trPr>
          <w:trHeight w:val="1046"/>
        </w:trPr>
        <w:tc>
          <w:tcPr>
            <w:tcW w:w="1219" w:type="dxa"/>
          </w:tcPr>
          <w:p w14:paraId="04EB1332" w14:textId="77777777" w:rsidR="0031674A" w:rsidRPr="00C9575C" w:rsidRDefault="0031674A" w:rsidP="005E1C7A">
            <w:pPr>
              <w:keepNext/>
              <w:ind w:right="-30"/>
              <w:rPr>
                <w:bCs/>
                <w:lang w:val="it-IT"/>
              </w:rPr>
            </w:pPr>
          </w:p>
        </w:tc>
        <w:tc>
          <w:tcPr>
            <w:tcW w:w="5904" w:type="dxa"/>
            <w:gridSpan w:val="4"/>
          </w:tcPr>
          <w:p w14:paraId="494C1412" w14:textId="77777777" w:rsidR="0031674A" w:rsidRPr="00C03451" w:rsidRDefault="0031674A" w:rsidP="00510CCC">
            <w:pPr>
              <w:keepNext/>
              <w:jc w:val="center"/>
              <w:rPr>
                <w:b/>
                <w:bCs/>
                <w:lang w:val="it-IT"/>
              </w:rPr>
            </w:pPr>
            <w:r w:rsidRPr="00C03451">
              <w:rPr>
                <w:b/>
                <w:bCs/>
                <w:lang w:val="it-IT"/>
              </w:rPr>
              <w:t>ABC/3TC FDC QD</w:t>
            </w:r>
          </w:p>
          <w:p w14:paraId="06AAC525" w14:textId="77777777" w:rsidR="0031674A" w:rsidRPr="00C03451" w:rsidRDefault="0031674A" w:rsidP="00510CCC">
            <w:pPr>
              <w:keepNext/>
              <w:jc w:val="center"/>
              <w:rPr>
                <w:b/>
                <w:bCs/>
                <w:highlight w:val="yellow"/>
                <w:lang w:val="it-IT"/>
              </w:rPr>
            </w:pPr>
            <w:r w:rsidRPr="00C03451">
              <w:rPr>
                <w:b/>
                <w:bCs/>
                <w:lang w:val="it-IT"/>
              </w:rPr>
              <w:t>(n=94)</w:t>
            </w:r>
          </w:p>
          <w:p w14:paraId="6059BE4F" w14:textId="77777777" w:rsidR="0031674A" w:rsidRPr="00C03451" w:rsidRDefault="0031674A" w:rsidP="00510CCC">
            <w:pPr>
              <w:keepNext/>
              <w:jc w:val="center"/>
              <w:rPr>
                <w:bCs/>
                <w:lang w:val="it-IT"/>
              </w:rPr>
            </w:pPr>
          </w:p>
          <w:p w14:paraId="6DE6BA6F" w14:textId="77777777" w:rsidR="0031674A" w:rsidRPr="00C9575C" w:rsidRDefault="006572C7" w:rsidP="00510CCC">
            <w:pPr>
              <w:keepNext/>
              <w:jc w:val="center"/>
              <w:rPr>
                <w:b/>
                <w:bCs/>
                <w:lang w:val="it-IT"/>
              </w:rPr>
            </w:pPr>
            <w:r w:rsidRPr="00C9575C">
              <w:rPr>
                <w:bCs/>
                <w:lang w:val="it-IT"/>
              </w:rPr>
              <w:t>Numero di mutazioni al basale</w:t>
            </w:r>
            <w:r w:rsidR="00E95057" w:rsidRPr="00C9575C">
              <w:rPr>
                <w:bCs/>
                <w:vertAlign w:val="superscript"/>
                <w:lang w:val="it-IT"/>
              </w:rPr>
              <w:t>1</w:t>
            </w:r>
          </w:p>
        </w:tc>
        <w:tc>
          <w:tcPr>
            <w:tcW w:w="1476" w:type="dxa"/>
          </w:tcPr>
          <w:p w14:paraId="478B1714" w14:textId="77777777" w:rsidR="0031674A" w:rsidRPr="00C03451" w:rsidRDefault="0031674A" w:rsidP="00510CCC">
            <w:pPr>
              <w:keepNext/>
              <w:rPr>
                <w:b/>
                <w:bCs/>
                <w:lang w:val="it-IT"/>
              </w:rPr>
            </w:pPr>
            <w:r w:rsidRPr="00C03451">
              <w:rPr>
                <w:b/>
                <w:bCs/>
                <w:lang w:val="it-IT"/>
              </w:rPr>
              <w:t>ABC BID +3TC QD</w:t>
            </w:r>
          </w:p>
          <w:p w14:paraId="3E0143B1" w14:textId="77777777" w:rsidR="0031674A" w:rsidRPr="00C03451" w:rsidRDefault="0031674A" w:rsidP="00510CCC">
            <w:pPr>
              <w:keepNext/>
              <w:rPr>
                <w:b/>
                <w:bCs/>
                <w:lang w:val="it-IT"/>
              </w:rPr>
            </w:pPr>
            <w:r w:rsidRPr="00C03451">
              <w:rPr>
                <w:b/>
                <w:bCs/>
                <w:lang w:val="it-IT"/>
              </w:rPr>
              <w:t>(n=88)</w:t>
            </w:r>
          </w:p>
        </w:tc>
      </w:tr>
      <w:tr w:rsidR="0031674A" w:rsidRPr="00C9575C" w14:paraId="1EA1075B" w14:textId="77777777" w:rsidTr="00D23EB5">
        <w:tc>
          <w:tcPr>
            <w:tcW w:w="1219" w:type="dxa"/>
          </w:tcPr>
          <w:p w14:paraId="68996E54" w14:textId="77777777" w:rsidR="0031674A" w:rsidRPr="00C9575C" w:rsidRDefault="0031674A" w:rsidP="005E1C7A">
            <w:pPr>
              <w:keepNext/>
              <w:ind w:right="-30"/>
              <w:rPr>
                <w:b/>
                <w:bCs/>
                <w:lang w:val="it-IT"/>
              </w:rPr>
            </w:pPr>
            <w:r w:rsidRPr="00C9575C">
              <w:rPr>
                <w:b/>
                <w:bCs/>
                <w:lang w:val="it-IT"/>
              </w:rPr>
              <w:t>Genot</w:t>
            </w:r>
            <w:r w:rsidR="006572C7" w:rsidRPr="00C9575C">
              <w:rPr>
                <w:b/>
                <w:bCs/>
                <w:lang w:val="it-IT"/>
              </w:rPr>
              <w:t>ipic</w:t>
            </w:r>
            <w:r w:rsidRPr="00C9575C">
              <w:rPr>
                <w:b/>
                <w:bCs/>
                <w:lang w:val="it-IT"/>
              </w:rPr>
              <w:t xml:space="preserve"> SS in OBT</w:t>
            </w:r>
          </w:p>
        </w:tc>
        <w:tc>
          <w:tcPr>
            <w:tcW w:w="1616" w:type="dxa"/>
          </w:tcPr>
          <w:p w14:paraId="612A824D" w14:textId="77777777" w:rsidR="0031674A" w:rsidRPr="00C9575C" w:rsidRDefault="00E95057" w:rsidP="00510CCC">
            <w:pPr>
              <w:keepNext/>
              <w:rPr>
                <w:bCs/>
                <w:lang w:val="it-IT"/>
              </w:rPr>
            </w:pPr>
            <w:r w:rsidRPr="00C9575C">
              <w:rPr>
                <w:bCs/>
                <w:lang w:val="it-IT"/>
              </w:rPr>
              <w:t>Tutti</w:t>
            </w:r>
          </w:p>
        </w:tc>
        <w:tc>
          <w:tcPr>
            <w:tcW w:w="1418" w:type="dxa"/>
          </w:tcPr>
          <w:p w14:paraId="36D5B27E" w14:textId="77777777" w:rsidR="0031674A" w:rsidRPr="00C9575C" w:rsidRDefault="0031674A" w:rsidP="00510CCC">
            <w:pPr>
              <w:keepNext/>
              <w:rPr>
                <w:bCs/>
                <w:lang w:val="it-IT"/>
              </w:rPr>
            </w:pPr>
            <w:r w:rsidRPr="00C9575C">
              <w:rPr>
                <w:bCs/>
                <w:lang w:val="it-IT"/>
              </w:rPr>
              <w:t>0-1</w:t>
            </w:r>
          </w:p>
        </w:tc>
        <w:tc>
          <w:tcPr>
            <w:tcW w:w="1559" w:type="dxa"/>
          </w:tcPr>
          <w:p w14:paraId="3F2D628A" w14:textId="77777777" w:rsidR="0031674A" w:rsidRPr="00C9575C" w:rsidRDefault="0031674A" w:rsidP="00510CCC">
            <w:pPr>
              <w:keepNext/>
              <w:rPr>
                <w:bCs/>
                <w:lang w:val="it-IT"/>
              </w:rPr>
            </w:pPr>
            <w:r w:rsidRPr="00C9575C">
              <w:rPr>
                <w:bCs/>
                <w:lang w:val="it-IT"/>
              </w:rPr>
              <w:t>2-5</w:t>
            </w:r>
          </w:p>
        </w:tc>
        <w:tc>
          <w:tcPr>
            <w:tcW w:w="1311" w:type="dxa"/>
          </w:tcPr>
          <w:p w14:paraId="4B2A2F02" w14:textId="77777777" w:rsidR="0031674A" w:rsidRPr="00C9575C" w:rsidRDefault="0031674A" w:rsidP="00510CCC">
            <w:pPr>
              <w:keepNext/>
              <w:rPr>
                <w:bCs/>
                <w:lang w:val="it-IT"/>
              </w:rPr>
            </w:pPr>
            <w:r w:rsidRPr="00C9575C">
              <w:rPr>
                <w:bCs/>
                <w:lang w:val="it-IT"/>
              </w:rPr>
              <w:t>6+</w:t>
            </w:r>
          </w:p>
        </w:tc>
        <w:tc>
          <w:tcPr>
            <w:tcW w:w="1476" w:type="dxa"/>
          </w:tcPr>
          <w:p w14:paraId="2C5A48A1" w14:textId="77777777" w:rsidR="0031674A" w:rsidRPr="00C9575C" w:rsidRDefault="00E95057" w:rsidP="00510CCC">
            <w:pPr>
              <w:keepNext/>
              <w:rPr>
                <w:bCs/>
                <w:lang w:val="it-IT"/>
              </w:rPr>
            </w:pPr>
            <w:r w:rsidRPr="00C9575C">
              <w:rPr>
                <w:bCs/>
                <w:lang w:val="it-IT"/>
              </w:rPr>
              <w:t>Tutti</w:t>
            </w:r>
          </w:p>
        </w:tc>
      </w:tr>
      <w:tr w:rsidR="0031674A" w:rsidRPr="00C9575C" w14:paraId="26BA7DB9" w14:textId="77777777" w:rsidTr="00D23EB5">
        <w:tc>
          <w:tcPr>
            <w:tcW w:w="1219" w:type="dxa"/>
            <w:tcBorders>
              <w:top w:val="nil"/>
              <w:bottom w:val="single" w:sz="4" w:space="0" w:color="auto"/>
            </w:tcBorders>
          </w:tcPr>
          <w:p w14:paraId="22A3F0BF" w14:textId="09EE0AC3" w:rsidR="0031674A" w:rsidRPr="00C9575C" w:rsidRDefault="0031674A" w:rsidP="00510CCC">
            <w:pPr>
              <w:keepNext/>
              <w:rPr>
                <w:b/>
                <w:lang w:val="it-IT"/>
              </w:rPr>
            </w:pPr>
            <w:r w:rsidRPr="00C9575C">
              <w:rPr>
                <w:b/>
                <w:lang w:val="it-IT"/>
              </w:rPr>
              <w:sym w:font="Symbol" w:char="F0A3"/>
            </w:r>
            <w:r w:rsidR="00376768">
              <w:rPr>
                <w:b/>
                <w:lang w:val="it-IT"/>
              </w:rPr>
              <w:t> </w:t>
            </w:r>
            <w:r w:rsidRPr="00C9575C">
              <w:rPr>
                <w:b/>
                <w:lang w:val="it-IT"/>
              </w:rPr>
              <w:t>2</w:t>
            </w:r>
          </w:p>
        </w:tc>
        <w:tc>
          <w:tcPr>
            <w:tcW w:w="1616" w:type="dxa"/>
            <w:tcBorders>
              <w:top w:val="nil"/>
              <w:bottom w:val="single" w:sz="4" w:space="0" w:color="auto"/>
            </w:tcBorders>
          </w:tcPr>
          <w:p w14:paraId="06579C31" w14:textId="77777777" w:rsidR="0031674A" w:rsidRPr="00C9575C" w:rsidRDefault="0031674A" w:rsidP="00510CCC">
            <w:pPr>
              <w:keepNext/>
              <w:rPr>
                <w:lang w:val="it-IT"/>
              </w:rPr>
            </w:pPr>
            <w:r w:rsidRPr="00C9575C">
              <w:rPr>
                <w:lang w:val="it-IT"/>
              </w:rPr>
              <w:t>10/24 (42%)</w:t>
            </w:r>
          </w:p>
        </w:tc>
        <w:tc>
          <w:tcPr>
            <w:tcW w:w="1418" w:type="dxa"/>
            <w:tcBorders>
              <w:top w:val="nil"/>
              <w:bottom w:val="single" w:sz="4" w:space="0" w:color="auto"/>
            </w:tcBorders>
          </w:tcPr>
          <w:p w14:paraId="6A0FBE3E" w14:textId="77777777" w:rsidR="0031674A" w:rsidRPr="00C9575C" w:rsidRDefault="0031674A" w:rsidP="00510CCC">
            <w:pPr>
              <w:keepNext/>
              <w:rPr>
                <w:lang w:val="it-IT"/>
              </w:rPr>
            </w:pPr>
            <w:r w:rsidRPr="00C9575C">
              <w:rPr>
                <w:lang w:val="it-IT"/>
              </w:rPr>
              <w:t>3/24 (13%)</w:t>
            </w:r>
          </w:p>
        </w:tc>
        <w:tc>
          <w:tcPr>
            <w:tcW w:w="1559" w:type="dxa"/>
            <w:tcBorders>
              <w:top w:val="nil"/>
              <w:bottom w:val="single" w:sz="4" w:space="0" w:color="auto"/>
            </w:tcBorders>
          </w:tcPr>
          <w:p w14:paraId="7902446F" w14:textId="77777777" w:rsidR="0031674A" w:rsidRPr="00C9575C" w:rsidRDefault="0031674A" w:rsidP="00510CCC">
            <w:pPr>
              <w:keepNext/>
              <w:rPr>
                <w:lang w:val="it-IT"/>
              </w:rPr>
            </w:pPr>
            <w:r w:rsidRPr="00C9575C">
              <w:rPr>
                <w:lang w:val="it-IT"/>
              </w:rPr>
              <w:t>7/24 (29%)</w:t>
            </w:r>
          </w:p>
        </w:tc>
        <w:tc>
          <w:tcPr>
            <w:tcW w:w="1311" w:type="dxa"/>
            <w:tcBorders>
              <w:top w:val="nil"/>
              <w:bottom w:val="single" w:sz="4" w:space="0" w:color="auto"/>
            </w:tcBorders>
          </w:tcPr>
          <w:p w14:paraId="67085673" w14:textId="77777777" w:rsidR="0031674A" w:rsidRPr="00C9575C" w:rsidRDefault="0031674A" w:rsidP="00510CCC">
            <w:pPr>
              <w:keepNext/>
              <w:rPr>
                <w:lang w:val="it-IT"/>
              </w:rPr>
            </w:pPr>
            <w:r w:rsidRPr="00C9575C">
              <w:rPr>
                <w:lang w:val="it-IT"/>
              </w:rPr>
              <w:t>0</w:t>
            </w:r>
          </w:p>
        </w:tc>
        <w:tc>
          <w:tcPr>
            <w:tcW w:w="1476" w:type="dxa"/>
            <w:tcBorders>
              <w:top w:val="nil"/>
              <w:bottom w:val="single" w:sz="4" w:space="0" w:color="auto"/>
            </w:tcBorders>
          </w:tcPr>
          <w:p w14:paraId="45E96AFE" w14:textId="77777777" w:rsidR="0031674A" w:rsidRPr="00C9575C" w:rsidRDefault="0031674A" w:rsidP="00510CCC">
            <w:pPr>
              <w:keepNext/>
              <w:rPr>
                <w:lang w:val="it-IT"/>
              </w:rPr>
            </w:pPr>
            <w:r w:rsidRPr="00C9575C">
              <w:rPr>
                <w:lang w:val="it-IT"/>
              </w:rPr>
              <w:t>12/26 (46%)</w:t>
            </w:r>
          </w:p>
        </w:tc>
      </w:tr>
      <w:tr w:rsidR="0031674A" w:rsidRPr="00C9575C" w14:paraId="297BBBB7" w14:textId="77777777" w:rsidTr="00D23EB5">
        <w:tc>
          <w:tcPr>
            <w:tcW w:w="1219" w:type="dxa"/>
            <w:tcBorders>
              <w:top w:val="nil"/>
              <w:bottom w:val="single" w:sz="4" w:space="0" w:color="auto"/>
            </w:tcBorders>
          </w:tcPr>
          <w:p w14:paraId="5B75E7D0" w14:textId="0C1F90B7" w:rsidR="0031674A" w:rsidRPr="00C9575C" w:rsidRDefault="0031674A" w:rsidP="00510CCC">
            <w:pPr>
              <w:keepNext/>
              <w:rPr>
                <w:b/>
                <w:lang w:val="it-IT"/>
              </w:rPr>
            </w:pPr>
            <w:r w:rsidRPr="00C9575C">
              <w:rPr>
                <w:b/>
                <w:lang w:val="it-IT"/>
              </w:rPr>
              <w:t>&gt;</w:t>
            </w:r>
            <w:r w:rsidR="00376768">
              <w:rPr>
                <w:b/>
                <w:lang w:val="it-IT"/>
              </w:rPr>
              <w:t> </w:t>
            </w:r>
            <w:r w:rsidRPr="00C9575C">
              <w:rPr>
                <w:b/>
                <w:lang w:val="it-IT"/>
              </w:rPr>
              <w:t>2</w:t>
            </w:r>
          </w:p>
        </w:tc>
        <w:tc>
          <w:tcPr>
            <w:tcW w:w="1616" w:type="dxa"/>
            <w:tcBorders>
              <w:top w:val="nil"/>
              <w:bottom w:val="single" w:sz="4" w:space="0" w:color="auto"/>
            </w:tcBorders>
          </w:tcPr>
          <w:p w14:paraId="554B0CF3" w14:textId="77777777" w:rsidR="0031674A" w:rsidRPr="00C9575C" w:rsidRDefault="0031674A" w:rsidP="00510CCC">
            <w:pPr>
              <w:keepNext/>
              <w:rPr>
                <w:lang w:val="it-IT"/>
              </w:rPr>
            </w:pPr>
            <w:r w:rsidRPr="00C9575C">
              <w:rPr>
                <w:lang w:val="it-IT"/>
              </w:rPr>
              <w:t>29/56 (52%)</w:t>
            </w:r>
          </w:p>
        </w:tc>
        <w:tc>
          <w:tcPr>
            <w:tcW w:w="1418" w:type="dxa"/>
            <w:tcBorders>
              <w:top w:val="nil"/>
              <w:bottom w:val="single" w:sz="4" w:space="0" w:color="auto"/>
            </w:tcBorders>
          </w:tcPr>
          <w:p w14:paraId="3B3C9FD1" w14:textId="77777777" w:rsidR="0031674A" w:rsidRPr="00C9575C" w:rsidRDefault="0031674A" w:rsidP="00510CCC">
            <w:pPr>
              <w:keepNext/>
              <w:rPr>
                <w:lang w:val="it-IT"/>
              </w:rPr>
            </w:pPr>
            <w:r w:rsidRPr="00C9575C">
              <w:rPr>
                <w:lang w:val="it-IT"/>
              </w:rPr>
              <w:t>21/56 (38%)</w:t>
            </w:r>
          </w:p>
        </w:tc>
        <w:tc>
          <w:tcPr>
            <w:tcW w:w="1559" w:type="dxa"/>
            <w:tcBorders>
              <w:top w:val="nil"/>
              <w:bottom w:val="single" w:sz="4" w:space="0" w:color="auto"/>
            </w:tcBorders>
          </w:tcPr>
          <w:p w14:paraId="1FCBF117" w14:textId="77777777" w:rsidR="0031674A" w:rsidRPr="00C9575C" w:rsidRDefault="0031674A" w:rsidP="00510CCC">
            <w:pPr>
              <w:keepNext/>
              <w:rPr>
                <w:lang w:val="it-IT"/>
              </w:rPr>
            </w:pPr>
            <w:r w:rsidRPr="00C9575C">
              <w:rPr>
                <w:lang w:val="it-IT"/>
              </w:rPr>
              <w:t>8/56 (14%)</w:t>
            </w:r>
          </w:p>
        </w:tc>
        <w:tc>
          <w:tcPr>
            <w:tcW w:w="1311" w:type="dxa"/>
            <w:tcBorders>
              <w:top w:val="nil"/>
              <w:bottom w:val="single" w:sz="4" w:space="0" w:color="auto"/>
            </w:tcBorders>
          </w:tcPr>
          <w:p w14:paraId="6DECC2DD" w14:textId="77777777" w:rsidR="0031674A" w:rsidRPr="00C9575C" w:rsidRDefault="0031674A" w:rsidP="00510CCC">
            <w:pPr>
              <w:keepNext/>
              <w:rPr>
                <w:lang w:val="it-IT"/>
              </w:rPr>
            </w:pPr>
            <w:r w:rsidRPr="00C9575C">
              <w:rPr>
                <w:lang w:val="it-IT"/>
              </w:rPr>
              <w:t>0</w:t>
            </w:r>
          </w:p>
        </w:tc>
        <w:tc>
          <w:tcPr>
            <w:tcW w:w="1476" w:type="dxa"/>
            <w:tcBorders>
              <w:top w:val="nil"/>
              <w:bottom w:val="single" w:sz="4" w:space="0" w:color="auto"/>
            </w:tcBorders>
          </w:tcPr>
          <w:p w14:paraId="2EFC8B60" w14:textId="77777777" w:rsidR="0031674A" w:rsidRPr="00C9575C" w:rsidRDefault="0031674A" w:rsidP="00510CCC">
            <w:pPr>
              <w:keepNext/>
              <w:rPr>
                <w:lang w:val="it-IT"/>
              </w:rPr>
            </w:pPr>
            <w:r w:rsidRPr="00C9575C">
              <w:rPr>
                <w:lang w:val="it-IT"/>
              </w:rPr>
              <w:t>27/56 (48%)</w:t>
            </w:r>
          </w:p>
        </w:tc>
      </w:tr>
      <w:tr w:rsidR="0031674A" w:rsidRPr="00C9575C" w14:paraId="1A840C6C" w14:textId="77777777" w:rsidTr="00D23E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219" w:type="dxa"/>
            <w:tcBorders>
              <w:top w:val="single" w:sz="4" w:space="0" w:color="auto"/>
              <w:left w:val="single" w:sz="4" w:space="0" w:color="auto"/>
              <w:bottom w:val="single" w:sz="4" w:space="0" w:color="auto"/>
              <w:right w:val="single" w:sz="4" w:space="0" w:color="auto"/>
            </w:tcBorders>
          </w:tcPr>
          <w:p w14:paraId="0ADD2D28" w14:textId="77777777" w:rsidR="0031674A" w:rsidRPr="00C9575C" w:rsidRDefault="00E95057" w:rsidP="00510CCC">
            <w:pPr>
              <w:keepNext/>
              <w:rPr>
                <w:b/>
                <w:lang w:val="it-IT"/>
              </w:rPr>
            </w:pPr>
            <w:r w:rsidRPr="00C9575C">
              <w:rPr>
                <w:b/>
                <w:lang w:val="it-IT"/>
              </w:rPr>
              <w:t>Non noto</w:t>
            </w:r>
          </w:p>
        </w:tc>
        <w:tc>
          <w:tcPr>
            <w:tcW w:w="1616" w:type="dxa"/>
            <w:tcBorders>
              <w:top w:val="single" w:sz="4" w:space="0" w:color="auto"/>
              <w:left w:val="single" w:sz="4" w:space="0" w:color="auto"/>
              <w:bottom w:val="single" w:sz="4" w:space="0" w:color="auto"/>
              <w:right w:val="single" w:sz="4" w:space="0" w:color="auto"/>
            </w:tcBorders>
          </w:tcPr>
          <w:p w14:paraId="621A0A8E" w14:textId="77777777" w:rsidR="0031674A" w:rsidRPr="00C9575C" w:rsidRDefault="0031674A" w:rsidP="00510CCC">
            <w:pPr>
              <w:keepNext/>
              <w:rPr>
                <w:lang w:val="it-IT"/>
              </w:rPr>
            </w:pPr>
            <w:r w:rsidRPr="00C9575C">
              <w:rPr>
                <w:lang w:val="it-IT"/>
              </w:rPr>
              <w:t>8/14 (57%)</w:t>
            </w:r>
          </w:p>
        </w:tc>
        <w:tc>
          <w:tcPr>
            <w:tcW w:w="1418" w:type="dxa"/>
            <w:tcBorders>
              <w:top w:val="single" w:sz="4" w:space="0" w:color="auto"/>
              <w:left w:val="single" w:sz="4" w:space="0" w:color="auto"/>
              <w:bottom w:val="single" w:sz="4" w:space="0" w:color="auto"/>
              <w:right w:val="single" w:sz="4" w:space="0" w:color="auto"/>
            </w:tcBorders>
          </w:tcPr>
          <w:p w14:paraId="1C13DE2D" w14:textId="77777777" w:rsidR="0031674A" w:rsidRPr="00C9575C" w:rsidRDefault="0031674A" w:rsidP="00510CCC">
            <w:pPr>
              <w:keepNext/>
              <w:rPr>
                <w:lang w:val="it-IT"/>
              </w:rPr>
            </w:pPr>
            <w:r w:rsidRPr="00C9575C">
              <w:rPr>
                <w:lang w:val="it-IT"/>
              </w:rPr>
              <w:t>6/14 (43%)</w:t>
            </w:r>
          </w:p>
        </w:tc>
        <w:tc>
          <w:tcPr>
            <w:tcW w:w="1559" w:type="dxa"/>
            <w:tcBorders>
              <w:top w:val="single" w:sz="4" w:space="0" w:color="auto"/>
              <w:left w:val="single" w:sz="4" w:space="0" w:color="auto"/>
              <w:bottom w:val="single" w:sz="4" w:space="0" w:color="auto"/>
              <w:right w:val="single" w:sz="4" w:space="0" w:color="auto"/>
            </w:tcBorders>
          </w:tcPr>
          <w:p w14:paraId="413F301A" w14:textId="77777777" w:rsidR="0031674A" w:rsidRPr="00C9575C" w:rsidRDefault="0031674A" w:rsidP="00510CCC">
            <w:pPr>
              <w:keepNext/>
              <w:rPr>
                <w:lang w:val="it-IT"/>
              </w:rPr>
            </w:pPr>
            <w:r w:rsidRPr="00C9575C">
              <w:rPr>
                <w:lang w:val="it-IT"/>
              </w:rPr>
              <w:t>2/14 (14%)</w:t>
            </w:r>
          </w:p>
        </w:tc>
        <w:tc>
          <w:tcPr>
            <w:tcW w:w="1311" w:type="dxa"/>
            <w:tcBorders>
              <w:top w:val="single" w:sz="4" w:space="0" w:color="auto"/>
              <w:left w:val="single" w:sz="4" w:space="0" w:color="auto"/>
              <w:bottom w:val="single" w:sz="4" w:space="0" w:color="auto"/>
              <w:right w:val="single" w:sz="4" w:space="0" w:color="auto"/>
            </w:tcBorders>
          </w:tcPr>
          <w:p w14:paraId="3025216D" w14:textId="77777777" w:rsidR="0031674A" w:rsidRPr="00C9575C" w:rsidRDefault="0031674A" w:rsidP="00510CCC">
            <w:pPr>
              <w:keepNext/>
              <w:rPr>
                <w:lang w:val="it-IT"/>
              </w:rPr>
            </w:pPr>
            <w:r w:rsidRPr="00C9575C">
              <w:rPr>
                <w:lang w:val="it-IT"/>
              </w:rPr>
              <w:t>0</w:t>
            </w:r>
          </w:p>
        </w:tc>
        <w:tc>
          <w:tcPr>
            <w:tcW w:w="1476" w:type="dxa"/>
            <w:tcBorders>
              <w:top w:val="single" w:sz="4" w:space="0" w:color="auto"/>
              <w:left w:val="single" w:sz="4" w:space="0" w:color="auto"/>
              <w:bottom w:val="single" w:sz="4" w:space="0" w:color="auto"/>
              <w:right w:val="single" w:sz="4" w:space="0" w:color="auto"/>
            </w:tcBorders>
          </w:tcPr>
          <w:p w14:paraId="1B800D1F" w14:textId="77777777" w:rsidR="0031674A" w:rsidRPr="00C9575C" w:rsidRDefault="0031674A" w:rsidP="00510CCC">
            <w:pPr>
              <w:keepNext/>
              <w:rPr>
                <w:lang w:val="it-IT"/>
              </w:rPr>
            </w:pPr>
            <w:r w:rsidRPr="00C9575C">
              <w:rPr>
                <w:lang w:val="it-IT"/>
              </w:rPr>
              <w:t>2/6 (33%)</w:t>
            </w:r>
          </w:p>
        </w:tc>
      </w:tr>
      <w:tr w:rsidR="0031674A" w:rsidRPr="00C9575C" w14:paraId="33A487DF" w14:textId="77777777" w:rsidTr="00D23E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219" w:type="dxa"/>
            <w:tcBorders>
              <w:top w:val="single" w:sz="4" w:space="0" w:color="auto"/>
              <w:left w:val="single" w:sz="4" w:space="0" w:color="auto"/>
              <w:bottom w:val="single" w:sz="4" w:space="0" w:color="auto"/>
              <w:right w:val="single" w:sz="4" w:space="0" w:color="auto"/>
            </w:tcBorders>
          </w:tcPr>
          <w:p w14:paraId="56DD3A83" w14:textId="77777777" w:rsidR="0031674A" w:rsidRPr="00C9575C" w:rsidRDefault="00E95057" w:rsidP="00510CCC">
            <w:pPr>
              <w:keepNext/>
              <w:rPr>
                <w:b/>
                <w:lang w:val="it-IT"/>
              </w:rPr>
            </w:pPr>
            <w:r w:rsidRPr="00C9575C">
              <w:rPr>
                <w:b/>
                <w:lang w:val="it-IT"/>
              </w:rPr>
              <w:t>Tutti</w:t>
            </w:r>
          </w:p>
        </w:tc>
        <w:tc>
          <w:tcPr>
            <w:tcW w:w="1616" w:type="dxa"/>
            <w:tcBorders>
              <w:top w:val="single" w:sz="4" w:space="0" w:color="auto"/>
              <w:left w:val="single" w:sz="4" w:space="0" w:color="auto"/>
              <w:bottom w:val="single" w:sz="4" w:space="0" w:color="auto"/>
              <w:right w:val="single" w:sz="4" w:space="0" w:color="auto"/>
            </w:tcBorders>
          </w:tcPr>
          <w:p w14:paraId="001AA509" w14:textId="77777777" w:rsidR="0031674A" w:rsidRPr="00C9575C" w:rsidRDefault="0031674A" w:rsidP="00510CCC">
            <w:pPr>
              <w:keepNext/>
              <w:rPr>
                <w:lang w:val="it-IT"/>
              </w:rPr>
            </w:pPr>
            <w:r w:rsidRPr="00C9575C">
              <w:rPr>
                <w:lang w:val="it-IT"/>
              </w:rPr>
              <w:t>47/94 (50%)</w:t>
            </w:r>
          </w:p>
        </w:tc>
        <w:tc>
          <w:tcPr>
            <w:tcW w:w="1418" w:type="dxa"/>
            <w:tcBorders>
              <w:top w:val="single" w:sz="4" w:space="0" w:color="auto"/>
              <w:left w:val="single" w:sz="4" w:space="0" w:color="auto"/>
              <w:bottom w:val="single" w:sz="4" w:space="0" w:color="auto"/>
              <w:right w:val="single" w:sz="4" w:space="0" w:color="auto"/>
            </w:tcBorders>
          </w:tcPr>
          <w:p w14:paraId="1939FDE6" w14:textId="77777777" w:rsidR="0031674A" w:rsidRPr="00C9575C" w:rsidRDefault="0031674A" w:rsidP="00510CCC">
            <w:pPr>
              <w:keepNext/>
              <w:rPr>
                <w:lang w:val="it-IT"/>
              </w:rPr>
            </w:pPr>
            <w:r w:rsidRPr="00C9575C">
              <w:rPr>
                <w:lang w:val="it-IT"/>
              </w:rPr>
              <w:t>30/94 (32%)</w:t>
            </w:r>
          </w:p>
        </w:tc>
        <w:tc>
          <w:tcPr>
            <w:tcW w:w="1559" w:type="dxa"/>
            <w:tcBorders>
              <w:top w:val="single" w:sz="4" w:space="0" w:color="auto"/>
              <w:left w:val="single" w:sz="4" w:space="0" w:color="auto"/>
              <w:bottom w:val="single" w:sz="4" w:space="0" w:color="auto"/>
              <w:right w:val="single" w:sz="4" w:space="0" w:color="auto"/>
            </w:tcBorders>
          </w:tcPr>
          <w:p w14:paraId="60CE19CD" w14:textId="77777777" w:rsidR="0031674A" w:rsidRPr="00C9575C" w:rsidRDefault="0031674A" w:rsidP="00510CCC">
            <w:pPr>
              <w:keepNext/>
              <w:rPr>
                <w:lang w:val="it-IT"/>
              </w:rPr>
            </w:pPr>
            <w:r w:rsidRPr="00C9575C">
              <w:rPr>
                <w:lang w:val="it-IT"/>
              </w:rPr>
              <w:t>17/94 (18%)</w:t>
            </w:r>
          </w:p>
        </w:tc>
        <w:tc>
          <w:tcPr>
            <w:tcW w:w="1311" w:type="dxa"/>
            <w:tcBorders>
              <w:top w:val="single" w:sz="4" w:space="0" w:color="auto"/>
              <w:left w:val="single" w:sz="4" w:space="0" w:color="auto"/>
              <w:bottom w:val="single" w:sz="4" w:space="0" w:color="auto"/>
              <w:right w:val="single" w:sz="4" w:space="0" w:color="auto"/>
            </w:tcBorders>
          </w:tcPr>
          <w:p w14:paraId="5DC0ACFC" w14:textId="77777777" w:rsidR="0031674A" w:rsidRPr="00C9575C" w:rsidRDefault="0031674A" w:rsidP="00510CCC">
            <w:pPr>
              <w:keepNext/>
              <w:rPr>
                <w:lang w:val="it-IT"/>
              </w:rPr>
            </w:pPr>
            <w:r w:rsidRPr="00C9575C">
              <w:rPr>
                <w:lang w:val="it-IT"/>
              </w:rPr>
              <w:t>0</w:t>
            </w:r>
          </w:p>
        </w:tc>
        <w:tc>
          <w:tcPr>
            <w:tcW w:w="1476" w:type="dxa"/>
            <w:tcBorders>
              <w:top w:val="single" w:sz="4" w:space="0" w:color="auto"/>
              <w:left w:val="single" w:sz="4" w:space="0" w:color="auto"/>
              <w:bottom w:val="single" w:sz="4" w:space="0" w:color="auto"/>
              <w:right w:val="single" w:sz="4" w:space="0" w:color="auto"/>
            </w:tcBorders>
          </w:tcPr>
          <w:p w14:paraId="43B937F5" w14:textId="77777777" w:rsidR="0031674A" w:rsidRPr="00C9575C" w:rsidRDefault="0031674A" w:rsidP="00510CCC">
            <w:pPr>
              <w:keepNext/>
              <w:rPr>
                <w:lang w:val="it-IT"/>
              </w:rPr>
            </w:pPr>
            <w:r w:rsidRPr="00C9575C">
              <w:rPr>
                <w:lang w:val="it-IT"/>
              </w:rPr>
              <w:t>41/88 (47%)</w:t>
            </w:r>
          </w:p>
        </w:tc>
      </w:tr>
    </w:tbl>
    <w:p w14:paraId="49FD55FF" w14:textId="77777777" w:rsidR="00EC1B0D" w:rsidRPr="00C9575C" w:rsidRDefault="00EC1B0D" w:rsidP="00376768">
      <w:pPr>
        <w:keepNext/>
        <w:ind w:left="284"/>
        <w:rPr>
          <w:sz w:val="18"/>
          <w:szCs w:val="18"/>
          <w:lang w:val="it-IT"/>
        </w:rPr>
      </w:pPr>
      <w:r w:rsidRPr="00C9575C">
        <w:rPr>
          <w:sz w:val="18"/>
          <w:szCs w:val="18"/>
          <w:vertAlign w:val="superscript"/>
          <w:lang w:val="it-IT"/>
        </w:rPr>
        <w:t xml:space="preserve">1 </w:t>
      </w:r>
      <w:r w:rsidRPr="00C9575C">
        <w:rPr>
          <w:sz w:val="18"/>
          <w:szCs w:val="18"/>
          <w:lang w:val="it-IT"/>
        </w:rPr>
        <w:t xml:space="preserve">Mutazioni principali definite </w:t>
      </w:r>
      <w:r w:rsidR="00C96C6C" w:rsidRPr="00C9575C">
        <w:rPr>
          <w:sz w:val="18"/>
          <w:szCs w:val="18"/>
          <w:lang w:val="it-IT"/>
        </w:rPr>
        <w:t xml:space="preserve">dalla </w:t>
      </w:r>
      <w:r w:rsidRPr="00C9575C">
        <w:rPr>
          <w:sz w:val="18"/>
          <w:szCs w:val="18"/>
          <w:lang w:val="it-IT"/>
        </w:rPr>
        <w:t xml:space="preserve">IAS-USA ad abacavir o lamivudina e mutazioni associate alla </w:t>
      </w:r>
      <w:r w:rsidR="005B24CE" w:rsidRPr="00C9575C">
        <w:rPr>
          <w:sz w:val="18"/>
          <w:szCs w:val="18"/>
          <w:lang w:val="it-IT"/>
        </w:rPr>
        <w:t>multi-</w:t>
      </w:r>
      <w:r w:rsidRPr="00C9575C">
        <w:rPr>
          <w:sz w:val="18"/>
          <w:szCs w:val="18"/>
          <w:lang w:val="it-IT"/>
        </w:rPr>
        <w:t xml:space="preserve">resistenza </w:t>
      </w:r>
      <w:r w:rsidR="005B24CE" w:rsidRPr="00C9575C">
        <w:rPr>
          <w:sz w:val="18"/>
          <w:szCs w:val="18"/>
          <w:lang w:val="it-IT"/>
        </w:rPr>
        <w:t>agli</w:t>
      </w:r>
      <w:r w:rsidRPr="00C9575C">
        <w:rPr>
          <w:sz w:val="18"/>
          <w:szCs w:val="18"/>
          <w:lang w:val="it-IT"/>
        </w:rPr>
        <w:t xml:space="preserve"> NRTI.</w:t>
      </w:r>
    </w:p>
    <w:p w14:paraId="16D8E544" w14:textId="77777777" w:rsidR="00E95057" w:rsidRPr="00C9575C" w:rsidRDefault="00E95057" w:rsidP="0031674A">
      <w:pPr>
        <w:rPr>
          <w:lang w:val="it-IT"/>
        </w:rPr>
      </w:pPr>
    </w:p>
    <w:p w14:paraId="19E01C13" w14:textId="77777777" w:rsidR="009900A9" w:rsidRPr="00C9575C" w:rsidRDefault="00E95057" w:rsidP="0031674A">
      <w:pPr>
        <w:rPr>
          <w:lang w:val="it-IT"/>
        </w:rPr>
      </w:pPr>
      <w:r w:rsidRPr="00C9575C">
        <w:rPr>
          <w:lang w:val="it-IT"/>
        </w:rPr>
        <w:t xml:space="preserve">Per gli studi CNA109586 (ASSERT) e CNA30021 nei pazienti </w:t>
      </w:r>
      <w:r w:rsidRPr="00C9575C">
        <w:rPr>
          <w:i/>
          <w:lang w:val="it-IT"/>
        </w:rPr>
        <w:t>naïve</w:t>
      </w:r>
      <w:r w:rsidRPr="00C9575C">
        <w:rPr>
          <w:lang w:val="it-IT"/>
        </w:rPr>
        <w:t xml:space="preserve"> al trattamento</w:t>
      </w:r>
      <w:r w:rsidR="006E2CDE" w:rsidRPr="00C9575C">
        <w:rPr>
          <w:lang w:val="it-IT"/>
        </w:rPr>
        <w:t>,</w:t>
      </w:r>
      <w:r w:rsidRPr="00C9575C">
        <w:rPr>
          <w:lang w:val="it-IT"/>
        </w:rPr>
        <w:t xml:space="preserve"> il dato del genotipo è stato ottenuto solo per un sottogruppo di pazienti allo screening o al bas</w:t>
      </w:r>
      <w:r w:rsidR="008A38FA" w:rsidRPr="00C9575C">
        <w:rPr>
          <w:lang w:val="it-IT"/>
        </w:rPr>
        <w:t>ale</w:t>
      </w:r>
      <w:r w:rsidRPr="00C9575C">
        <w:rPr>
          <w:lang w:val="it-IT"/>
        </w:rPr>
        <w:t>, così come per quei pazienti che andavano incontrato ai criteri di fallimento virologico.</w:t>
      </w:r>
      <w:r w:rsidR="00304AEC" w:rsidRPr="00C9575C">
        <w:rPr>
          <w:lang w:val="it-IT"/>
        </w:rPr>
        <w:t xml:space="preserve"> </w:t>
      </w:r>
      <w:r w:rsidR="009900A9" w:rsidRPr="00C9575C">
        <w:rPr>
          <w:lang w:val="it-IT"/>
        </w:rPr>
        <w:t xml:space="preserve">Una parte </w:t>
      </w:r>
      <w:r w:rsidR="00236D8B" w:rsidRPr="00C9575C">
        <w:rPr>
          <w:lang w:val="it-IT"/>
        </w:rPr>
        <w:t>dei</w:t>
      </w:r>
      <w:r w:rsidR="009900A9" w:rsidRPr="00C9575C">
        <w:rPr>
          <w:lang w:val="it-IT"/>
        </w:rPr>
        <w:t xml:space="preserve"> dati disponibili dal sottogruppo di pazienti </w:t>
      </w:r>
      <w:r w:rsidR="006E2CDE" w:rsidRPr="00C9575C">
        <w:rPr>
          <w:lang w:val="it-IT"/>
        </w:rPr>
        <w:t>per lo</w:t>
      </w:r>
      <w:r w:rsidR="009900A9" w:rsidRPr="00C9575C">
        <w:rPr>
          <w:lang w:val="it-IT"/>
        </w:rPr>
        <w:t xml:space="preserve"> studio CNA3002</w:t>
      </w:r>
      <w:r w:rsidR="00FE7231" w:rsidRPr="00C9575C">
        <w:rPr>
          <w:lang w:val="it-IT"/>
        </w:rPr>
        <w:t>1</w:t>
      </w:r>
      <w:r w:rsidR="009900A9" w:rsidRPr="00C9575C">
        <w:rPr>
          <w:lang w:val="it-IT"/>
        </w:rPr>
        <w:t xml:space="preserve"> è elencata di seguito</w:t>
      </w:r>
      <w:r w:rsidR="00FE7231" w:rsidRPr="00C9575C">
        <w:rPr>
          <w:lang w:val="it-IT"/>
        </w:rPr>
        <w:t>,</w:t>
      </w:r>
      <w:r w:rsidR="009900A9" w:rsidRPr="00C9575C">
        <w:rPr>
          <w:lang w:val="it-IT"/>
        </w:rPr>
        <w:t xml:space="preserve"> ma deve essere interpretata con cautela. I punteggi di sensibilità al farmaco </w:t>
      </w:r>
      <w:r w:rsidR="00304AEC" w:rsidRPr="00C9575C">
        <w:rPr>
          <w:lang w:val="it-IT"/>
        </w:rPr>
        <w:t xml:space="preserve">venivano </w:t>
      </w:r>
      <w:r w:rsidR="009900A9" w:rsidRPr="00C9575C">
        <w:rPr>
          <w:lang w:val="it-IT"/>
        </w:rPr>
        <w:t xml:space="preserve">assegnati per ciascun genotipo virale del paziente usando l’algoritmo di resistenza genotipica al farmaco </w:t>
      </w:r>
      <w:r w:rsidR="00863774" w:rsidRPr="00C9575C">
        <w:rPr>
          <w:lang w:val="it-IT"/>
        </w:rPr>
        <w:t xml:space="preserve">dell’HIV-1 dell’ANRS </w:t>
      </w:r>
      <w:smartTag w:uri="urn:schemas-microsoft-com:office:smarttags" w:element="metricconverter">
        <w:smartTagPr>
          <w:attr w:name="ProductID" w:val="2009. A"/>
        </w:smartTagPr>
        <w:r w:rsidR="00863774" w:rsidRPr="00C9575C">
          <w:rPr>
            <w:lang w:val="it-IT"/>
          </w:rPr>
          <w:t>2009. A</w:t>
        </w:r>
      </w:smartTag>
      <w:r w:rsidR="00863774" w:rsidRPr="00C9575C">
        <w:rPr>
          <w:lang w:val="it-IT"/>
        </w:rPr>
        <w:t xml:space="preserve"> ciascun farmaco sensibile nel regime veniva attribuito un punteggio di 1 e ai farmaci per i </w:t>
      </w:r>
      <w:r w:rsidR="0059676A" w:rsidRPr="00C9575C">
        <w:rPr>
          <w:lang w:val="it-IT"/>
        </w:rPr>
        <w:t>quali</w:t>
      </w:r>
      <w:r w:rsidR="004C1F18" w:rsidRPr="00C9575C">
        <w:rPr>
          <w:lang w:val="it-IT"/>
        </w:rPr>
        <w:t xml:space="preserve"> l’algoritmo ANRS predice</w:t>
      </w:r>
      <w:r w:rsidR="00863774" w:rsidRPr="00C9575C">
        <w:rPr>
          <w:lang w:val="it-IT"/>
        </w:rPr>
        <w:t xml:space="preserve"> resistenza, veniva attribuito il valore ‘0’.</w:t>
      </w:r>
    </w:p>
    <w:p w14:paraId="45A1CB7C" w14:textId="77777777" w:rsidR="0031674A" w:rsidRPr="00C9575C" w:rsidRDefault="0031674A" w:rsidP="0031674A">
      <w:pPr>
        <w:rPr>
          <w:lang w:val="it-IT"/>
        </w:rPr>
      </w:pPr>
    </w:p>
    <w:p w14:paraId="6B0831EE" w14:textId="2965C544" w:rsidR="00863774" w:rsidRPr="00C9575C" w:rsidRDefault="00863774" w:rsidP="00863774">
      <w:pPr>
        <w:keepNext/>
        <w:rPr>
          <w:b/>
          <w:lang w:val="it-IT"/>
        </w:rPr>
      </w:pPr>
      <w:r w:rsidRPr="00C9575C">
        <w:rPr>
          <w:b/>
          <w:lang w:val="it-IT"/>
        </w:rPr>
        <w:t>Percentuale di pazienti in CNA30021 con</w:t>
      </w:r>
      <w:r w:rsidR="00304AEC" w:rsidRPr="00C9575C">
        <w:rPr>
          <w:b/>
          <w:lang w:val="it-IT"/>
        </w:rPr>
        <w:t xml:space="preserve"> &lt;</w:t>
      </w:r>
      <w:r w:rsidR="00E35D9A">
        <w:rPr>
          <w:b/>
          <w:lang w:val="it-IT"/>
        </w:rPr>
        <w:t> </w:t>
      </w:r>
      <w:r w:rsidR="00304AEC" w:rsidRPr="00C9575C">
        <w:rPr>
          <w:b/>
          <w:lang w:val="it-IT"/>
        </w:rPr>
        <w:t>50 c</w:t>
      </w:r>
      <w:r w:rsidR="0059676A" w:rsidRPr="00C9575C">
        <w:rPr>
          <w:b/>
          <w:lang w:val="it-IT"/>
        </w:rPr>
        <w:t>o</w:t>
      </w:r>
      <w:r w:rsidR="00304AEC" w:rsidRPr="00C9575C">
        <w:rPr>
          <w:b/>
          <w:lang w:val="it-IT"/>
        </w:rPr>
        <w:t>p</w:t>
      </w:r>
      <w:r w:rsidR="0059676A" w:rsidRPr="00C9575C">
        <w:rPr>
          <w:b/>
          <w:lang w:val="it-IT"/>
        </w:rPr>
        <w:t>ie</w:t>
      </w:r>
      <w:r w:rsidR="006E2CDE" w:rsidRPr="00C9575C">
        <w:rPr>
          <w:b/>
          <w:lang w:val="it-IT"/>
        </w:rPr>
        <w:t>/m</w:t>
      </w:r>
      <w:r w:rsidR="006F341F" w:rsidRPr="00C9575C">
        <w:rPr>
          <w:b/>
          <w:lang w:val="it-IT"/>
        </w:rPr>
        <w:t>L</w:t>
      </w:r>
      <w:r w:rsidR="00304AEC" w:rsidRPr="00C9575C">
        <w:rPr>
          <w:b/>
          <w:lang w:val="it-IT"/>
        </w:rPr>
        <w:t xml:space="preserve"> </w:t>
      </w:r>
      <w:r w:rsidRPr="00C9575C">
        <w:rPr>
          <w:b/>
          <w:lang w:val="it-IT"/>
        </w:rPr>
        <w:t>alla settimana 48 con Genotypic Sensitivity Score in OBT e Numero</w:t>
      </w:r>
      <w:r w:rsidR="006572C7" w:rsidRPr="00C9575C">
        <w:rPr>
          <w:b/>
          <w:lang w:val="it-IT"/>
        </w:rPr>
        <w:t xml:space="preserve"> di mutazioni al basale</w:t>
      </w:r>
    </w:p>
    <w:p w14:paraId="34706827" w14:textId="77777777" w:rsidR="0031674A" w:rsidRPr="00C9575C" w:rsidRDefault="0031674A" w:rsidP="0031674A">
      <w:pPr>
        <w:keepNext/>
        <w:rPr>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1560"/>
        <w:gridCol w:w="1559"/>
        <w:gridCol w:w="1559"/>
        <w:gridCol w:w="893"/>
        <w:gridCol w:w="1548"/>
      </w:tblGrid>
      <w:tr w:rsidR="0031674A" w:rsidRPr="00C9575C" w14:paraId="3CB6F18C" w14:textId="77777777" w:rsidTr="00D23EB5">
        <w:trPr>
          <w:trHeight w:val="1037"/>
        </w:trPr>
        <w:tc>
          <w:tcPr>
            <w:tcW w:w="1559" w:type="dxa"/>
          </w:tcPr>
          <w:p w14:paraId="57588133" w14:textId="77777777" w:rsidR="0031674A" w:rsidRPr="00C9575C" w:rsidRDefault="0031674A" w:rsidP="00510CCC">
            <w:pPr>
              <w:keepNext/>
              <w:rPr>
                <w:bCs/>
                <w:lang w:val="it-IT"/>
              </w:rPr>
            </w:pPr>
          </w:p>
        </w:tc>
        <w:tc>
          <w:tcPr>
            <w:tcW w:w="5571" w:type="dxa"/>
            <w:gridSpan w:val="4"/>
          </w:tcPr>
          <w:p w14:paraId="796163FB" w14:textId="77777777" w:rsidR="0031674A" w:rsidRPr="00C9575C" w:rsidRDefault="0031674A" w:rsidP="00510CCC">
            <w:pPr>
              <w:keepNext/>
              <w:jc w:val="center"/>
              <w:rPr>
                <w:b/>
                <w:bCs/>
                <w:lang w:val="it-IT" w:eastAsia="en-GB"/>
              </w:rPr>
            </w:pPr>
            <w:r w:rsidRPr="00C9575C">
              <w:rPr>
                <w:b/>
                <w:bCs/>
                <w:lang w:val="it-IT" w:eastAsia="en-GB"/>
              </w:rPr>
              <w:t>ABC QD + 3TC QD + EFV QD</w:t>
            </w:r>
          </w:p>
          <w:p w14:paraId="284587F3" w14:textId="77777777" w:rsidR="0031674A" w:rsidRPr="00C9575C" w:rsidRDefault="0031674A" w:rsidP="00510CCC">
            <w:pPr>
              <w:keepNext/>
              <w:jc w:val="center"/>
              <w:rPr>
                <w:b/>
                <w:bCs/>
                <w:highlight w:val="yellow"/>
                <w:lang w:val="it-IT"/>
              </w:rPr>
            </w:pPr>
            <w:r w:rsidRPr="00C9575C">
              <w:rPr>
                <w:b/>
                <w:bCs/>
                <w:lang w:val="it-IT" w:eastAsia="en-GB"/>
              </w:rPr>
              <w:t>(N=384)</w:t>
            </w:r>
          </w:p>
          <w:p w14:paraId="0E7D412F" w14:textId="77777777" w:rsidR="0031674A" w:rsidRPr="00C9575C" w:rsidRDefault="00836A93" w:rsidP="00510CCC">
            <w:pPr>
              <w:keepNext/>
              <w:jc w:val="center"/>
              <w:rPr>
                <w:b/>
                <w:bCs/>
                <w:lang w:val="it-IT"/>
              </w:rPr>
            </w:pPr>
            <w:r w:rsidRPr="00C9575C">
              <w:rPr>
                <w:bCs/>
                <w:lang w:val="it-IT"/>
              </w:rPr>
              <w:t>Numero di mutazioni al bas</w:t>
            </w:r>
            <w:r w:rsidR="00FE7231" w:rsidRPr="00C9575C">
              <w:rPr>
                <w:bCs/>
                <w:lang w:val="it-IT"/>
              </w:rPr>
              <w:t>ale</w:t>
            </w:r>
            <w:r w:rsidRPr="00C9575C">
              <w:rPr>
                <w:bCs/>
                <w:vertAlign w:val="superscript"/>
                <w:lang w:val="it-IT"/>
              </w:rPr>
              <w:t>1</w:t>
            </w:r>
          </w:p>
        </w:tc>
        <w:tc>
          <w:tcPr>
            <w:tcW w:w="1548" w:type="dxa"/>
          </w:tcPr>
          <w:p w14:paraId="763A5B9F" w14:textId="77777777" w:rsidR="0031674A" w:rsidRPr="00C03451" w:rsidRDefault="0031674A" w:rsidP="00510CCC">
            <w:pPr>
              <w:keepNext/>
              <w:rPr>
                <w:b/>
                <w:bCs/>
                <w:lang w:val="it-IT" w:eastAsia="en-GB"/>
              </w:rPr>
            </w:pPr>
            <w:r w:rsidRPr="00C03451">
              <w:rPr>
                <w:b/>
                <w:bCs/>
                <w:lang w:val="it-IT" w:eastAsia="en-GB"/>
              </w:rPr>
              <w:t>ABC BID+ 3TC QD + EFV QD</w:t>
            </w:r>
          </w:p>
          <w:p w14:paraId="37D9E1C4" w14:textId="77777777" w:rsidR="0031674A" w:rsidRPr="00C9575C" w:rsidRDefault="0031674A" w:rsidP="00510CCC">
            <w:pPr>
              <w:keepNext/>
              <w:rPr>
                <w:b/>
                <w:bCs/>
                <w:lang w:val="it-IT" w:eastAsia="en-GB"/>
              </w:rPr>
            </w:pPr>
            <w:r w:rsidRPr="00C9575C">
              <w:rPr>
                <w:b/>
                <w:bCs/>
                <w:lang w:val="it-IT" w:eastAsia="en-GB"/>
              </w:rPr>
              <w:t>(N=386)</w:t>
            </w:r>
          </w:p>
        </w:tc>
      </w:tr>
      <w:tr w:rsidR="0031674A" w:rsidRPr="00C9575C" w14:paraId="69F9A3F6" w14:textId="77777777" w:rsidTr="00D23EB5">
        <w:tc>
          <w:tcPr>
            <w:tcW w:w="1559" w:type="dxa"/>
          </w:tcPr>
          <w:p w14:paraId="515D5D6D" w14:textId="77777777" w:rsidR="0031674A" w:rsidRPr="00C9575C" w:rsidRDefault="0031674A" w:rsidP="00510CCC">
            <w:pPr>
              <w:keepNext/>
              <w:rPr>
                <w:b/>
                <w:bCs/>
                <w:lang w:val="it-IT"/>
              </w:rPr>
            </w:pPr>
            <w:r w:rsidRPr="00C9575C">
              <w:rPr>
                <w:b/>
                <w:bCs/>
                <w:lang w:val="it-IT"/>
              </w:rPr>
              <w:t>Genot</w:t>
            </w:r>
            <w:r w:rsidR="006572C7" w:rsidRPr="00C9575C">
              <w:rPr>
                <w:b/>
                <w:bCs/>
                <w:lang w:val="it-IT"/>
              </w:rPr>
              <w:t>ipic</w:t>
            </w:r>
            <w:r w:rsidRPr="00C9575C">
              <w:rPr>
                <w:b/>
                <w:bCs/>
                <w:lang w:val="it-IT"/>
              </w:rPr>
              <w:t xml:space="preserve"> SS in OBT</w:t>
            </w:r>
          </w:p>
        </w:tc>
        <w:tc>
          <w:tcPr>
            <w:tcW w:w="1560" w:type="dxa"/>
          </w:tcPr>
          <w:p w14:paraId="05D60913" w14:textId="77777777" w:rsidR="0031674A" w:rsidRPr="00C9575C" w:rsidRDefault="006E2CDE" w:rsidP="00510CCC">
            <w:pPr>
              <w:keepNext/>
              <w:rPr>
                <w:bCs/>
                <w:lang w:val="it-IT"/>
              </w:rPr>
            </w:pPr>
            <w:r w:rsidRPr="00C9575C">
              <w:rPr>
                <w:bCs/>
                <w:lang w:val="it-IT"/>
              </w:rPr>
              <w:t>Tutti</w:t>
            </w:r>
          </w:p>
        </w:tc>
        <w:tc>
          <w:tcPr>
            <w:tcW w:w="1559" w:type="dxa"/>
          </w:tcPr>
          <w:p w14:paraId="7F26D5A5" w14:textId="77777777" w:rsidR="0031674A" w:rsidRPr="00C9575C" w:rsidRDefault="0031674A" w:rsidP="00510CCC">
            <w:pPr>
              <w:keepNext/>
              <w:rPr>
                <w:bCs/>
                <w:lang w:val="it-IT"/>
              </w:rPr>
            </w:pPr>
            <w:r w:rsidRPr="00C9575C">
              <w:rPr>
                <w:bCs/>
                <w:lang w:val="it-IT"/>
              </w:rPr>
              <w:t>0-1</w:t>
            </w:r>
          </w:p>
        </w:tc>
        <w:tc>
          <w:tcPr>
            <w:tcW w:w="1559" w:type="dxa"/>
          </w:tcPr>
          <w:p w14:paraId="0FDF208B" w14:textId="77777777" w:rsidR="0031674A" w:rsidRPr="00C9575C" w:rsidRDefault="0031674A" w:rsidP="00510CCC">
            <w:pPr>
              <w:keepNext/>
              <w:rPr>
                <w:bCs/>
                <w:lang w:val="it-IT"/>
              </w:rPr>
            </w:pPr>
            <w:r w:rsidRPr="00C9575C">
              <w:rPr>
                <w:bCs/>
                <w:lang w:val="it-IT"/>
              </w:rPr>
              <w:t>2-5</w:t>
            </w:r>
          </w:p>
        </w:tc>
        <w:tc>
          <w:tcPr>
            <w:tcW w:w="893" w:type="dxa"/>
          </w:tcPr>
          <w:p w14:paraId="7DF022E0" w14:textId="77777777" w:rsidR="0031674A" w:rsidRPr="00C9575C" w:rsidRDefault="0031674A" w:rsidP="00510CCC">
            <w:pPr>
              <w:keepNext/>
              <w:rPr>
                <w:bCs/>
                <w:lang w:val="it-IT"/>
              </w:rPr>
            </w:pPr>
            <w:r w:rsidRPr="00C9575C">
              <w:rPr>
                <w:bCs/>
                <w:lang w:val="it-IT"/>
              </w:rPr>
              <w:t>6+</w:t>
            </w:r>
          </w:p>
        </w:tc>
        <w:tc>
          <w:tcPr>
            <w:tcW w:w="1548" w:type="dxa"/>
          </w:tcPr>
          <w:p w14:paraId="0076D5ED" w14:textId="77777777" w:rsidR="0031674A" w:rsidRPr="00C9575C" w:rsidRDefault="006E2CDE" w:rsidP="00510CCC">
            <w:pPr>
              <w:keepNext/>
              <w:rPr>
                <w:bCs/>
                <w:lang w:val="it-IT"/>
              </w:rPr>
            </w:pPr>
            <w:r w:rsidRPr="00C9575C">
              <w:rPr>
                <w:bCs/>
                <w:lang w:val="it-IT"/>
              </w:rPr>
              <w:t>Tutti</w:t>
            </w:r>
          </w:p>
        </w:tc>
      </w:tr>
      <w:tr w:rsidR="0031674A" w:rsidRPr="00C9575C" w14:paraId="3FB807AA" w14:textId="77777777" w:rsidTr="00D23EB5">
        <w:tc>
          <w:tcPr>
            <w:tcW w:w="1559" w:type="dxa"/>
          </w:tcPr>
          <w:p w14:paraId="2913FD6B" w14:textId="404D989F" w:rsidR="0031674A" w:rsidRPr="00C9575C" w:rsidRDefault="0031674A" w:rsidP="00510CCC">
            <w:pPr>
              <w:keepNext/>
              <w:rPr>
                <w:b/>
                <w:lang w:val="it-IT"/>
              </w:rPr>
            </w:pPr>
            <w:r w:rsidRPr="00C9575C">
              <w:rPr>
                <w:b/>
                <w:lang w:val="it-IT"/>
              </w:rPr>
              <w:sym w:font="Symbol" w:char="F0A3"/>
            </w:r>
            <w:r w:rsidR="00E35D9A">
              <w:rPr>
                <w:b/>
                <w:lang w:val="it-IT"/>
              </w:rPr>
              <w:t> </w:t>
            </w:r>
            <w:r w:rsidRPr="00C9575C">
              <w:rPr>
                <w:b/>
                <w:lang w:val="it-IT"/>
              </w:rPr>
              <w:t>2</w:t>
            </w:r>
          </w:p>
        </w:tc>
        <w:tc>
          <w:tcPr>
            <w:tcW w:w="1560" w:type="dxa"/>
          </w:tcPr>
          <w:p w14:paraId="7EEDCA22" w14:textId="77777777" w:rsidR="0031674A" w:rsidRPr="00C9575C" w:rsidRDefault="0031674A" w:rsidP="00510CCC">
            <w:pPr>
              <w:keepNext/>
              <w:rPr>
                <w:lang w:val="it-IT"/>
              </w:rPr>
            </w:pPr>
            <w:r w:rsidRPr="00C9575C">
              <w:rPr>
                <w:lang w:val="it-IT"/>
              </w:rPr>
              <w:t>2/6 (33%)</w:t>
            </w:r>
          </w:p>
        </w:tc>
        <w:tc>
          <w:tcPr>
            <w:tcW w:w="1559" w:type="dxa"/>
          </w:tcPr>
          <w:p w14:paraId="03707982" w14:textId="77777777" w:rsidR="0031674A" w:rsidRPr="00C9575C" w:rsidRDefault="0031674A" w:rsidP="00510CCC">
            <w:pPr>
              <w:keepNext/>
              <w:rPr>
                <w:lang w:val="it-IT"/>
              </w:rPr>
            </w:pPr>
            <w:r w:rsidRPr="00C9575C">
              <w:rPr>
                <w:lang w:val="it-IT"/>
              </w:rPr>
              <w:t>2/6 (33%)</w:t>
            </w:r>
          </w:p>
        </w:tc>
        <w:tc>
          <w:tcPr>
            <w:tcW w:w="1559" w:type="dxa"/>
          </w:tcPr>
          <w:p w14:paraId="0CF22D26" w14:textId="77777777" w:rsidR="0031674A" w:rsidRPr="00C9575C" w:rsidRDefault="0031674A" w:rsidP="00510CCC">
            <w:pPr>
              <w:keepNext/>
              <w:rPr>
                <w:lang w:val="it-IT"/>
              </w:rPr>
            </w:pPr>
            <w:r w:rsidRPr="00C9575C">
              <w:rPr>
                <w:lang w:val="it-IT"/>
              </w:rPr>
              <w:t>0</w:t>
            </w:r>
          </w:p>
        </w:tc>
        <w:tc>
          <w:tcPr>
            <w:tcW w:w="893" w:type="dxa"/>
          </w:tcPr>
          <w:p w14:paraId="41BAB1C5" w14:textId="77777777" w:rsidR="0031674A" w:rsidRPr="00C9575C" w:rsidRDefault="0031674A" w:rsidP="00510CCC">
            <w:pPr>
              <w:keepNext/>
              <w:rPr>
                <w:lang w:val="it-IT"/>
              </w:rPr>
            </w:pPr>
            <w:r w:rsidRPr="00C9575C">
              <w:rPr>
                <w:lang w:val="it-IT"/>
              </w:rPr>
              <w:t>0</w:t>
            </w:r>
          </w:p>
        </w:tc>
        <w:tc>
          <w:tcPr>
            <w:tcW w:w="1548" w:type="dxa"/>
          </w:tcPr>
          <w:p w14:paraId="3242976D" w14:textId="77777777" w:rsidR="0031674A" w:rsidRPr="00C9575C" w:rsidRDefault="0031674A" w:rsidP="00510CCC">
            <w:pPr>
              <w:keepNext/>
              <w:rPr>
                <w:lang w:val="it-IT"/>
              </w:rPr>
            </w:pPr>
            <w:r w:rsidRPr="00C9575C">
              <w:rPr>
                <w:lang w:val="it-IT"/>
              </w:rPr>
              <w:t>3/6 (50%)</w:t>
            </w:r>
          </w:p>
        </w:tc>
      </w:tr>
      <w:tr w:rsidR="0031674A" w:rsidRPr="00C9575C" w14:paraId="2DFD9A71" w14:textId="77777777" w:rsidTr="00D23EB5">
        <w:tc>
          <w:tcPr>
            <w:tcW w:w="1559" w:type="dxa"/>
          </w:tcPr>
          <w:p w14:paraId="120AE126" w14:textId="7BE4DA35" w:rsidR="0031674A" w:rsidRPr="00C9575C" w:rsidRDefault="0031674A" w:rsidP="00510CCC">
            <w:pPr>
              <w:keepNext/>
              <w:rPr>
                <w:b/>
                <w:lang w:val="it-IT"/>
              </w:rPr>
            </w:pPr>
            <w:r w:rsidRPr="00C9575C">
              <w:rPr>
                <w:b/>
                <w:lang w:val="it-IT"/>
              </w:rPr>
              <w:t>&gt;</w:t>
            </w:r>
            <w:r w:rsidR="00E35D9A">
              <w:rPr>
                <w:b/>
                <w:lang w:val="it-IT"/>
              </w:rPr>
              <w:t> </w:t>
            </w:r>
            <w:r w:rsidRPr="00C9575C">
              <w:rPr>
                <w:b/>
                <w:lang w:val="it-IT"/>
              </w:rPr>
              <w:t>2</w:t>
            </w:r>
          </w:p>
        </w:tc>
        <w:tc>
          <w:tcPr>
            <w:tcW w:w="1560" w:type="dxa"/>
          </w:tcPr>
          <w:p w14:paraId="466C20DB" w14:textId="77777777" w:rsidR="0031674A" w:rsidRPr="00C9575C" w:rsidRDefault="0031674A" w:rsidP="00510CCC">
            <w:pPr>
              <w:keepNext/>
              <w:rPr>
                <w:lang w:val="it-IT"/>
              </w:rPr>
            </w:pPr>
            <w:r w:rsidRPr="00C9575C">
              <w:rPr>
                <w:lang w:val="it-IT"/>
              </w:rPr>
              <w:t>58/119 (49%)</w:t>
            </w:r>
          </w:p>
        </w:tc>
        <w:tc>
          <w:tcPr>
            <w:tcW w:w="1559" w:type="dxa"/>
          </w:tcPr>
          <w:p w14:paraId="3D355849" w14:textId="77777777" w:rsidR="0031674A" w:rsidRPr="00C9575C" w:rsidRDefault="0031674A" w:rsidP="00510CCC">
            <w:pPr>
              <w:keepNext/>
              <w:rPr>
                <w:lang w:val="it-IT"/>
              </w:rPr>
            </w:pPr>
            <w:r w:rsidRPr="00C9575C">
              <w:rPr>
                <w:lang w:val="it-IT"/>
              </w:rPr>
              <w:t>57/119 (48%)</w:t>
            </w:r>
          </w:p>
        </w:tc>
        <w:tc>
          <w:tcPr>
            <w:tcW w:w="1559" w:type="dxa"/>
          </w:tcPr>
          <w:p w14:paraId="4288C37C" w14:textId="77777777" w:rsidR="0031674A" w:rsidRPr="00C9575C" w:rsidRDefault="0031674A" w:rsidP="00510CCC">
            <w:pPr>
              <w:keepNext/>
              <w:rPr>
                <w:lang w:val="it-IT"/>
              </w:rPr>
            </w:pPr>
            <w:r w:rsidRPr="00C9575C">
              <w:rPr>
                <w:lang w:val="it-IT"/>
              </w:rPr>
              <w:t>1/119 (&lt;1%)</w:t>
            </w:r>
          </w:p>
        </w:tc>
        <w:tc>
          <w:tcPr>
            <w:tcW w:w="893" w:type="dxa"/>
          </w:tcPr>
          <w:p w14:paraId="13C03328" w14:textId="77777777" w:rsidR="0031674A" w:rsidRPr="00C9575C" w:rsidRDefault="0031674A" w:rsidP="00510CCC">
            <w:pPr>
              <w:keepNext/>
              <w:rPr>
                <w:lang w:val="it-IT"/>
              </w:rPr>
            </w:pPr>
            <w:r w:rsidRPr="00C9575C">
              <w:rPr>
                <w:lang w:val="it-IT"/>
              </w:rPr>
              <w:t>0</w:t>
            </w:r>
          </w:p>
        </w:tc>
        <w:tc>
          <w:tcPr>
            <w:tcW w:w="1548" w:type="dxa"/>
          </w:tcPr>
          <w:p w14:paraId="4F774778" w14:textId="77777777" w:rsidR="0031674A" w:rsidRPr="00C9575C" w:rsidRDefault="0031674A" w:rsidP="00510CCC">
            <w:pPr>
              <w:keepNext/>
              <w:rPr>
                <w:lang w:val="it-IT"/>
              </w:rPr>
            </w:pPr>
            <w:r w:rsidRPr="00C9575C">
              <w:rPr>
                <w:lang w:val="it-IT"/>
              </w:rPr>
              <w:t>57/114 (50%)</w:t>
            </w:r>
          </w:p>
        </w:tc>
      </w:tr>
      <w:tr w:rsidR="0031674A" w:rsidRPr="00C9575C" w14:paraId="747B6507" w14:textId="77777777" w:rsidTr="00D23EB5">
        <w:tc>
          <w:tcPr>
            <w:tcW w:w="1559" w:type="dxa"/>
            <w:tcBorders>
              <w:bottom w:val="single" w:sz="4" w:space="0" w:color="auto"/>
            </w:tcBorders>
          </w:tcPr>
          <w:p w14:paraId="751A9E57" w14:textId="77777777" w:rsidR="0031674A" w:rsidRPr="00C9575C" w:rsidRDefault="00836A93" w:rsidP="00510CCC">
            <w:pPr>
              <w:keepNext/>
              <w:rPr>
                <w:b/>
                <w:lang w:val="it-IT"/>
              </w:rPr>
            </w:pPr>
            <w:r w:rsidRPr="00C9575C">
              <w:rPr>
                <w:b/>
                <w:lang w:val="it-IT"/>
              </w:rPr>
              <w:t>Tutti</w:t>
            </w:r>
          </w:p>
        </w:tc>
        <w:tc>
          <w:tcPr>
            <w:tcW w:w="1560" w:type="dxa"/>
            <w:tcBorders>
              <w:bottom w:val="single" w:sz="4" w:space="0" w:color="auto"/>
            </w:tcBorders>
          </w:tcPr>
          <w:p w14:paraId="19395FC7" w14:textId="77777777" w:rsidR="0031674A" w:rsidRPr="00C9575C" w:rsidRDefault="0031674A" w:rsidP="00510CCC">
            <w:pPr>
              <w:keepNext/>
              <w:rPr>
                <w:lang w:val="it-IT"/>
              </w:rPr>
            </w:pPr>
            <w:r w:rsidRPr="00C9575C">
              <w:rPr>
                <w:lang w:val="it-IT"/>
              </w:rPr>
              <w:t>60/125 (48%)</w:t>
            </w:r>
          </w:p>
        </w:tc>
        <w:tc>
          <w:tcPr>
            <w:tcW w:w="1559" w:type="dxa"/>
            <w:tcBorders>
              <w:bottom w:val="single" w:sz="4" w:space="0" w:color="auto"/>
            </w:tcBorders>
          </w:tcPr>
          <w:p w14:paraId="491C059F" w14:textId="77777777" w:rsidR="0031674A" w:rsidRPr="00C9575C" w:rsidRDefault="0031674A" w:rsidP="00510CCC">
            <w:pPr>
              <w:keepNext/>
              <w:rPr>
                <w:lang w:val="it-IT"/>
              </w:rPr>
            </w:pPr>
            <w:r w:rsidRPr="00C9575C">
              <w:rPr>
                <w:lang w:val="it-IT"/>
              </w:rPr>
              <w:t>59/125 (47%)</w:t>
            </w:r>
          </w:p>
        </w:tc>
        <w:tc>
          <w:tcPr>
            <w:tcW w:w="1559" w:type="dxa"/>
            <w:tcBorders>
              <w:bottom w:val="single" w:sz="4" w:space="0" w:color="auto"/>
            </w:tcBorders>
          </w:tcPr>
          <w:p w14:paraId="531084AB" w14:textId="77777777" w:rsidR="0031674A" w:rsidRPr="00C9575C" w:rsidRDefault="0031674A" w:rsidP="00510CCC">
            <w:pPr>
              <w:keepNext/>
              <w:rPr>
                <w:lang w:val="it-IT"/>
              </w:rPr>
            </w:pPr>
            <w:r w:rsidRPr="00C9575C">
              <w:rPr>
                <w:lang w:val="it-IT"/>
              </w:rPr>
              <w:t>1/125 (&lt;1%)</w:t>
            </w:r>
          </w:p>
        </w:tc>
        <w:tc>
          <w:tcPr>
            <w:tcW w:w="893" w:type="dxa"/>
            <w:tcBorders>
              <w:bottom w:val="single" w:sz="4" w:space="0" w:color="auto"/>
            </w:tcBorders>
          </w:tcPr>
          <w:p w14:paraId="3BBE8124" w14:textId="77777777" w:rsidR="0031674A" w:rsidRPr="00C9575C" w:rsidRDefault="0031674A" w:rsidP="00510CCC">
            <w:pPr>
              <w:keepNext/>
              <w:rPr>
                <w:lang w:val="it-IT"/>
              </w:rPr>
            </w:pPr>
            <w:r w:rsidRPr="00C9575C">
              <w:rPr>
                <w:lang w:val="it-IT"/>
              </w:rPr>
              <w:t>0</w:t>
            </w:r>
          </w:p>
        </w:tc>
        <w:tc>
          <w:tcPr>
            <w:tcW w:w="1548" w:type="dxa"/>
            <w:tcBorders>
              <w:bottom w:val="single" w:sz="4" w:space="0" w:color="auto"/>
            </w:tcBorders>
          </w:tcPr>
          <w:p w14:paraId="166D26EF" w14:textId="77777777" w:rsidR="0031674A" w:rsidRPr="00C9575C" w:rsidRDefault="0031674A" w:rsidP="00510CCC">
            <w:pPr>
              <w:keepNext/>
              <w:rPr>
                <w:lang w:val="it-IT"/>
              </w:rPr>
            </w:pPr>
            <w:r w:rsidRPr="00C9575C">
              <w:rPr>
                <w:lang w:val="it-IT"/>
              </w:rPr>
              <w:t>60/120 (50%)</w:t>
            </w:r>
          </w:p>
        </w:tc>
      </w:tr>
    </w:tbl>
    <w:p w14:paraId="3CDFC550" w14:textId="6651D7F1" w:rsidR="0031674A" w:rsidRPr="00C9575C" w:rsidRDefault="00EC1B0D" w:rsidP="00E35D9A">
      <w:pPr>
        <w:widowControl w:val="0"/>
        <w:ind w:left="142" w:firstLine="142"/>
        <w:rPr>
          <w:snapToGrid w:val="0"/>
          <w:color w:val="000000"/>
          <w:szCs w:val="22"/>
          <w:lang w:val="it-IT"/>
        </w:rPr>
      </w:pPr>
      <w:r w:rsidRPr="00C9575C">
        <w:rPr>
          <w:sz w:val="18"/>
          <w:szCs w:val="18"/>
          <w:vertAlign w:val="superscript"/>
          <w:lang w:val="it-IT"/>
        </w:rPr>
        <w:t xml:space="preserve">1 </w:t>
      </w:r>
      <w:r w:rsidRPr="00C9575C">
        <w:rPr>
          <w:sz w:val="18"/>
          <w:szCs w:val="18"/>
          <w:lang w:val="it-IT"/>
        </w:rPr>
        <w:t xml:space="preserve">Mutazioni principali definite </w:t>
      </w:r>
      <w:r w:rsidR="00C96C6C" w:rsidRPr="00C9575C">
        <w:rPr>
          <w:sz w:val="18"/>
          <w:szCs w:val="18"/>
          <w:lang w:val="it-IT"/>
        </w:rPr>
        <w:t xml:space="preserve">dalla </w:t>
      </w:r>
      <w:r w:rsidRPr="00C9575C">
        <w:rPr>
          <w:sz w:val="18"/>
          <w:szCs w:val="18"/>
          <w:lang w:val="it-IT"/>
        </w:rPr>
        <w:t>IAS-USA</w:t>
      </w:r>
      <w:r w:rsidR="00C96C6C" w:rsidRPr="00C9575C">
        <w:rPr>
          <w:sz w:val="18"/>
          <w:szCs w:val="18"/>
          <w:lang w:val="it-IT"/>
        </w:rPr>
        <w:t xml:space="preserve"> </w:t>
      </w:r>
      <w:r w:rsidRPr="00C9575C">
        <w:rPr>
          <w:sz w:val="18"/>
          <w:szCs w:val="18"/>
          <w:lang w:val="it-IT"/>
        </w:rPr>
        <w:t>(Dic</w:t>
      </w:r>
      <w:r w:rsidR="006B4CC5">
        <w:rPr>
          <w:sz w:val="18"/>
          <w:szCs w:val="18"/>
          <w:lang w:val="it-IT"/>
        </w:rPr>
        <w:t>.</w:t>
      </w:r>
      <w:r w:rsidRPr="00C9575C">
        <w:rPr>
          <w:sz w:val="18"/>
          <w:szCs w:val="18"/>
          <w:lang w:val="it-IT"/>
        </w:rPr>
        <w:t xml:space="preserve"> 2009) per abacavir o lamivudina.</w:t>
      </w:r>
    </w:p>
    <w:p w14:paraId="6FA16CFE" w14:textId="77777777" w:rsidR="0031674A" w:rsidRPr="00C9575C" w:rsidRDefault="0031674A">
      <w:pPr>
        <w:widowControl w:val="0"/>
        <w:tabs>
          <w:tab w:val="left" w:pos="567"/>
        </w:tabs>
        <w:rPr>
          <w:lang w:val="it-IT"/>
        </w:rPr>
      </w:pPr>
    </w:p>
    <w:p w14:paraId="1EDF51CC" w14:textId="77777777" w:rsidR="00A73682" w:rsidRPr="00C9575C" w:rsidRDefault="00A73682" w:rsidP="00A73682">
      <w:pPr>
        <w:rPr>
          <w:rStyle w:val="PageNumber"/>
          <w:i/>
          <w:lang w:val="it-IT"/>
        </w:rPr>
      </w:pPr>
      <w:r w:rsidRPr="00C9575C">
        <w:rPr>
          <w:rStyle w:val="PageNumber"/>
          <w:i/>
          <w:lang w:val="it-IT"/>
        </w:rPr>
        <w:t>Popolazione pediatrica</w:t>
      </w:r>
    </w:p>
    <w:p w14:paraId="7851CCF5" w14:textId="77777777" w:rsidR="00A73682" w:rsidRPr="00C9575C" w:rsidRDefault="00A73682" w:rsidP="00A73682">
      <w:pPr>
        <w:rPr>
          <w:bCs/>
          <w:lang w:val="it-IT"/>
        </w:rPr>
      </w:pPr>
    </w:p>
    <w:p w14:paraId="7530C8A3" w14:textId="76D53373" w:rsidR="00A73682" w:rsidRPr="00C9575C" w:rsidRDefault="00A73682" w:rsidP="00A73682">
      <w:pPr>
        <w:rPr>
          <w:bCs/>
          <w:lang w:val="it-IT"/>
        </w:rPr>
      </w:pPr>
      <w:r w:rsidRPr="00C9575C">
        <w:rPr>
          <w:bCs/>
          <w:lang w:val="it-IT"/>
        </w:rPr>
        <w:t>Un confronto di un regime di trattamento che comprendeva il dosaggio di una volta al giorno rispetto a quello di due volte al giorno di abacavir e lamivudina è stato condotto all’interno di uno studio randomizzato, multicentrico, controllato, di pazienti pediatrici con infezione da HIV. 1206</w:t>
      </w:r>
      <w:r w:rsidR="006B4CC5">
        <w:rPr>
          <w:bCs/>
          <w:lang w:val="it-IT"/>
        </w:rPr>
        <w:t> </w:t>
      </w:r>
      <w:r w:rsidRPr="00C9575C">
        <w:rPr>
          <w:bCs/>
          <w:lang w:val="it-IT"/>
        </w:rPr>
        <w:t xml:space="preserve">pazienti pediatrici </w:t>
      </w:r>
      <w:r w:rsidR="00012CF5" w:rsidRPr="00C9575C">
        <w:rPr>
          <w:bCs/>
          <w:lang w:val="it-IT"/>
        </w:rPr>
        <w:t>di età compresa tra 3 mesi e 17 </w:t>
      </w:r>
      <w:r w:rsidRPr="00C9575C">
        <w:rPr>
          <w:bCs/>
          <w:lang w:val="it-IT"/>
        </w:rPr>
        <w:t>anni sono stati arruolati nello studio clinico ARROW (COL105677) e il dosaggio è stato stabilito secondo le raccomandazioni di dosaggio per fascia di peso delle linee guida di trattamento dell’Organizzazione Mondiale Della Sanità (</w:t>
      </w:r>
      <w:r w:rsidRPr="00C9575C">
        <w:rPr>
          <w:bCs/>
          <w:i/>
          <w:lang w:val="it-IT"/>
        </w:rPr>
        <w:t>Antiretroviral therapy of HIV infection in infants and children, 2006</w:t>
      </w:r>
      <w:r w:rsidRPr="00C9575C">
        <w:rPr>
          <w:bCs/>
          <w:lang w:val="it-IT"/>
        </w:rPr>
        <w:t>).</w:t>
      </w:r>
      <w:r w:rsidR="00E54E03" w:rsidRPr="00C9575C">
        <w:rPr>
          <w:bCs/>
          <w:lang w:val="it-IT"/>
        </w:rPr>
        <w:t xml:space="preserve"> </w:t>
      </w:r>
      <w:r w:rsidRPr="00C9575C">
        <w:rPr>
          <w:bCs/>
          <w:lang w:val="it-IT"/>
        </w:rPr>
        <w:t>Dopo 36 settimane di un regime che comprendeva abacavir e lamivudina due volte al giorno, 669</w:t>
      </w:r>
      <w:r w:rsidR="006B4CC5">
        <w:rPr>
          <w:bCs/>
          <w:lang w:val="it-IT"/>
        </w:rPr>
        <w:t> </w:t>
      </w:r>
      <w:r w:rsidRPr="00C9575C">
        <w:rPr>
          <w:bCs/>
          <w:lang w:val="it-IT"/>
        </w:rPr>
        <w:t>soggetti eleggibili sono stati randomizzati a continuare la posologia di due volte al giorno o a passare ad abacavir e lamivudina una volta al giorno, per almeno altre 96</w:t>
      </w:r>
      <w:r w:rsidR="006B4CC5">
        <w:rPr>
          <w:bCs/>
          <w:lang w:val="it-IT"/>
        </w:rPr>
        <w:t> </w:t>
      </w:r>
      <w:r w:rsidRPr="00C9575C">
        <w:rPr>
          <w:bCs/>
          <w:lang w:val="it-IT"/>
        </w:rPr>
        <w:t xml:space="preserve">settimane. </w:t>
      </w:r>
      <w:r w:rsidR="00704464" w:rsidRPr="00C9575C">
        <w:rPr>
          <w:bCs/>
          <w:lang w:val="it-IT"/>
        </w:rPr>
        <w:t>All’interno di questa popolazione, 104 pazienti di peso corporeo di almeno 25 kg sono stati trattati con 600 mg di abacavir e 300 mg di lamivudina come Kivexa una volta al giorno</w:t>
      </w:r>
      <w:r w:rsidR="00012CF5" w:rsidRPr="00C9575C">
        <w:rPr>
          <w:bCs/>
          <w:lang w:val="it-IT"/>
        </w:rPr>
        <w:t>,</w:t>
      </w:r>
      <w:r w:rsidR="00704464" w:rsidRPr="00C9575C">
        <w:rPr>
          <w:bCs/>
          <w:lang w:val="it-IT"/>
        </w:rPr>
        <w:t xml:space="preserve"> con una durata media di esposizione di 596 giorni.</w:t>
      </w:r>
    </w:p>
    <w:p w14:paraId="6B8E1C4F" w14:textId="77777777" w:rsidR="00287D21" w:rsidRPr="00C9575C" w:rsidRDefault="00287D21" w:rsidP="00704464">
      <w:pPr>
        <w:rPr>
          <w:szCs w:val="22"/>
          <w:lang w:val="it-IT"/>
        </w:rPr>
      </w:pPr>
    </w:p>
    <w:p w14:paraId="45E0EFB8" w14:textId="3ADC6681" w:rsidR="00704464" w:rsidRPr="00C9575C" w:rsidRDefault="00783DCA" w:rsidP="00704464">
      <w:pPr>
        <w:rPr>
          <w:lang w:val="it-IT"/>
        </w:rPr>
      </w:pPr>
      <w:r w:rsidRPr="00C9575C">
        <w:rPr>
          <w:szCs w:val="22"/>
          <w:lang w:val="it-IT"/>
        </w:rPr>
        <w:t xml:space="preserve">Tra i </w:t>
      </w:r>
      <w:r w:rsidR="00704464" w:rsidRPr="00C9575C">
        <w:rPr>
          <w:szCs w:val="22"/>
          <w:lang w:val="it-IT"/>
        </w:rPr>
        <w:t xml:space="preserve">669 soggetti randomizzati in questo studio (da 12 mesi a </w:t>
      </w:r>
      <w:r w:rsidR="00704464" w:rsidRPr="00C9575C">
        <w:rPr>
          <w:bCs/>
          <w:szCs w:val="22"/>
          <w:lang w:val="it-IT"/>
        </w:rPr>
        <w:t>≤</w:t>
      </w:r>
      <w:r w:rsidR="006B4CC5">
        <w:rPr>
          <w:bCs/>
          <w:szCs w:val="22"/>
          <w:lang w:val="it-IT"/>
        </w:rPr>
        <w:t> </w:t>
      </w:r>
      <w:r w:rsidR="00704464" w:rsidRPr="00C9575C">
        <w:rPr>
          <w:bCs/>
          <w:szCs w:val="22"/>
          <w:lang w:val="it-IT"/>
        </w:rPr>
        <w:t>17</w:t>
      </w:r>
      <w:r w:rsidR="00704464" w:rsidRPr="00C9575C">
        <w:rPr>
          <w:szCs w:val="22"/>
          <w:lang w:val="it-IT"/>
        </w:rPr>
        <w:t xml:space="preserve"> anni di età</w:t>
      </w:r>
      <w:r w:rsidR="00704464" w:rsidRPr="00C9575C">
        <w:rPr>
          <w:bCs/>
          <w:szCs w:val="22"/>
          <w:lang w:val="it-IT"/>
        </w:rPr>
        <w:t xml:space="preserve">) </w:t>
      </w:r>
      <w:r w:rsidRPr="00C9575C">
        <w:rPr>
          <w:bCs/>
          <w:szCs w:val="22"/>
          <w:lang w:val="it-IT"/>
        </w:rPr>
        <w:t>il</w:t>
      </w:r>
      <w:r w:rsidRPr="00C9575C">
        <w:rPr>
          <w:bCs/>
          <w:color w:val="C00000"/>
          <w:szCs w:val="22"/>
          <w:lang w:val="it-IT"/>
        </w:rPr>
        <w:t xml:space="preserve"> </w:t>
      </w:r>
      <w:r w:rsidR="00704464" w:rsidRPr="00C9575C">
        <w:rPr>
          <w:szCs w:val="22"/>
          <w:lang w:val="it-IT"/>
        </w:rPr>
        <w:t>gruppo in trattamento</w:t>
      </w:r>
      <w:r w:rsidRPr="00C9575C">
        <w:rPr>
          <w:lang w:val="it-IT"/>
        </w:rPr>
        <w:t xml:space="preserve"> con abacavir/</w:t>
      </w:r>
      <w:r w:rsidR="00704464" w:rsidRPr="00C9575C">
        <w:rPr>
          <w:lang w:val="it-IT"/>
        </w:rPr>
        <w:t xml:space="preserve">lamivudina una volta al giorno ha dimostrato di essere non inferiore al gruppo due volte al giorno in base al margine di non inferiorità pre-specificato </w:t>
      </w:r>
      <w:r w:rsidRPr="00C9575C">
        <w:rPr>
          <w:lang w:val="it-IT"/>
        </w:rPr>
        <w:t>di -</w:t>
      </w:r>
      <w:r w:rsidR="00704464" w:rsidRPr="00C9575C">
        <w:rPr>
          <w:lang w:val="it-IT"/>
        </w:rPr>
        <w:t>12% per l’</w:t>
      </w:r>
      <w:r w:rsidR="00704464" w:rsidRPr="00C9575C">
        <w:rPr>
          <w:i/>
          <w:lang w:val="it-IT"/>
        </w:rPr>
        <w:t>endpoint</w:t>
      </w:r>
      <w:r w:rsidR="00037A93" w:rsidRPr="00C9575C">
        <w:rPr>
          <w:lang w:val="it-IT"/>
        </w:rPr>
        <w:t xml:space="preserve"> primario di &lt;</w:t>
      </w:r>
      <w:r w:rsidR="006B4CC5">
        <w:rPr>
          <w:lang w:val="it-IT"/>
        </w:rPr>
        <w:t> </w:t>
      </w:r>
      <w:r w:rsidR="00037A93" w:rsidRPr="00C9575C">
        <w:rPr>
          <w:lang w:val="it-IT"/>
        </w:rPr>
        <w:t>80</w:t>
      </w:r>
      <w:r w:rsidR="006B4CC5">
        <w:rPr>
          <w:lang w:val="it-IT"/>
        </w:rPr>
        <w:t> </w:t>
      </w:r>
      <w:r w:rsidR="00037A93" w:rsidRPr="00C9575C">
        <w:rPr>
          <w:lang w:val="it-IT"/>
        </w:rPr>
        <w:t>c/m</w:t>
      </w:r>
      <w:r w:rsidR="006F341F" w:rsidRPr="00C9575C">
        <w:rPr>
          <w:lang w:val="it-IT"/>
        </w:rPr>
        <w:t>L</w:t>
      </w:r>
      <w:r w:rsidR="00704464" w:rsidRPr="00C9575C">
        <w:rPr>
          <w:lang w:val="it-IT"/>
        </w:rPr>
        <w:t xml:space="preserve"> </w:t>
      </w:r>
      <w:r w:rsidR="00704464" w:rsidRPr="00C9575C">
        <w:rPr>
          <w:lang w:val="it-IT"/>
        </w:rPr>
        <w:lastRenderedPageBreak/>
        <w:t>alla settimana 48, così come alla settimana 96 (</w:t>
      </w:r>
      <w:r w:rsidR="00704464" w:rsidRPr="00C9575C">
        <w:rPr>
          <w:i/>
          <w:lang w:val="it-IT"/>
        </w:rPr>
        <w:t>endpoint</w:t>
      </w:r>
      <w:r w:rsidR="00704464" w:rsidRPr="00C9575C">
        <w:rPr>
          <w:lang w:val="it-IT"/>
        </w:rPr>
        <w:t xml:space="preserve"> secondario) e per tutti gli altri valori soglia testati (&lt;</w:t>
      </w:r>
      <w:r w:rsidR="006B4CC5">
        <w:rPr>
          <w:lang w:val="it-IT"/>
        </w:rPr>
        <w:t> </w:t>
      </w:r>
      <w:r w:rsidR="00704464" w:rsidRPr="00C9575C">
        <w:rPr>
          <w:lang w:val="it-IT"/>
        </w:rPr>
        <w:t>200</w:t>
      </w:r>
      <w:r w:rsidR="006B4CC5">
        <w:rPr>
          <w:lang w:val="it-IT"/>
        </w:rPr>
        <w:t> </w:t>
      </w:r>
      <w:r w:rsidR="00704464" w:rsidRPr="00C9575C">
        <w:rPr>
          <w:lang w:val="it-IT"/>
        </w:rPr>
        <w:t>c/m</w:t>
      </w:r>
      <w:r w:rsidR="006F341F" w:rsidRPr="00C9575C">
        <w:rPr>
          <w:lang w:val="it-IT"/>
        </w:rPr>
        <w:t>L</w:t>
      </w:r>
      <w:r w:rsidR="00704464" w:rsidRPr="00C9575C">
        <w:rPr>
          <w:lang w:val="it-IT"/>
        </w:rPr>
        <w:t>, &lt;</w:t>
      </w:r>
      <w:r w:rsidR="006B4CC5">
        <w:rPr>
          <w:lang w:val="it-IT"/>
        </w:rPr>
        <w:t> </w:t>
      </w:r>
      <w:r w:rsidR="00704464" w:rsidRPr="00C9575C">
        <w:rPr>
          <w:lang w:val="it-IT"/>
        </w:rPr>
        <w:t>400</w:t>
      </w:r>
      <w:r w:rsidR="006B4CC5">
        <w:rPr>
          <w:lang w:val="it-IT"/>
        </w:rPr>
        <w:t> </w:t>
      </w:r>
      <w:r w:rsidR="00704464" w:rsidRPr="00C9575C">
        <w:rPr>
          <w:lang w:val="it-IT"/>
        </w:rPr>
        <w:t>c/m</w:t>
      </w:r>
      <w:r w:rsidR="006F341F" w:rsidRPr="00C9575C">
        <w:rPr>
          <w:lang w:val="it-IT"/>
        </w:rPr>
        <w:t>L</w:t>
      </w:r>
      <w:r w:rsidR="00704464" w:rsidRPr="00C9575C">
        <w:rPr>
          <w:lang w:val="it-IT"/>
        </w:rPr>
        <w:t>, &lt;</w:t>
      </w:r>
      <w:r w:rsidR="006B4CC5">
        <w:rPr>
          <w:lang w:val="it-IT"/>
        </w:rPr>
        <w:t> </w:t>
      </w:r>
      <w:r w:rsidR="00704464" w:rsidRPr="00C9575C">
        <w:rPr>
          <w:lang w:val="it-IT"/>
        </w:rPr>
        <w:t>1000</w:t>
      </w:r>
      <w:r w:rsidR="006B4CC5">
        <w:rPr>
          <w:lang w:val="it-IT"/>
        </w:rPr>
        <w:t> </w:t>
      </w:r>
      <w:r w:rsidR="00704464" w:rsidRPr="00C9575C">
        <w:rPr>
          <w:lang w:val="it-IT"/>
        </w:rPr>
        <w:t>c/m</w:t>
      </w:r>
      <w:r w:rsidR="006F341F" w:rsidRPr="00C9575C">
        <w:rPr>
          <w:lang w:val="it-IT"/>
        </w:rPr>
        <w:t>L</w:t>
      </w:r>
      <w:r w:rsidR="00704464" w:rsidRPr="00C9575C">
        <w:rPr>
          <w:lang w:val="it-IT"/>
        </w:rPr>
        <w:t xml:space="preserve">), tutti ricaduti ben all’interno di questo margine di non inferiorità. Le analisi di sottogruppo per testare l’eterogeneità del regime di una volta al giorno rispetto a quello di due volte al giorno non hanno dimostrato alcun effetto significativo </w:t>
      </w:r>
      <w:r w:rsidRPr="00C9575C">
        <w:rPr>
          <w:lang w:val="it-IT"/>
        </w:rPr>
        <w:t>del</w:t>
      </w:r>
      <w:r w:rsidR="00704464" w:rsidRPr="00C9575C">
        <w:rPr>
          <w:lang w:val="it-IT"/>
        </w:rPr>
        <w:t xml:space="preserve"> sesso, </w:t>
      </w:r>
      <w:r w:rsidRPr="00C9575C">
        <w:rPr>
          <w:lang w:val="it-IT"/>
        </w:rPr>
        <w:t>dell’</w:t>
      </w:r>
      <w:r w:rsidR="00704464" w:rsidRPr="00C9575C">
        <w:rPr>
          <w:lang w:val="it-IT"/>
        </w:rPr>
        <w:t xml:space="preserve">età o </w:t>
      </w:r>
      <w:r w:rsidRPr="00C9575C">
        <w:rPr>
          <w:lang w:val="it-IT"/>
        </w:rPr>
        <w:t>della</w:t>
      </w:r>
      <w:r w:rsidR="00704464" w:rsidRPr="00C9575C">
        <w:rPr>
          <w:lang w:val="it-IT"/>
        </w:rPr>
        <w:t xml:space="preserve"> carica virale alla randomizzazione. Le conclusioni supportano la non inferiorità a prescindere dal metodo di analisi.</w:t>
      </w:r>
    </w:p>
    <w:p w14:paraId="61594AC5" w14:textId="77777777" w:rsidR="00704464" w:rsidRPr="00C9575C" w:rsidRDefault="00704464" w:rsidP="00704464">
      <w:pPr>
        <w:rPr>
          <w:lang w:val="it-IT"/>
        </w:rPr>
      </w:pPr>
    </w:p>
    <w:p w14:paraId="39965B1B" w14:textId="77777777" w:rsidR="00A73682" w:rsidRPr="00C9575C" w:rsidRDefault="00783DCA">
      <w:pPr>
        <w:widowControl w:val="0"/>
        <w:tabs>
          <w:tab w:val="left" w:pos="567"/>
        </w:tabs>
        <w:rPr>
          <w:lang w:val="it-IT"/>
        </w:rPr>
      </w:pPr>
      <w:r w:rsidRPr="00C9575C">
        <w:rPr>
          <w:lang w:val="it-IT"/>
        </w:rPr>
        <w:t>Tra i 104 pazienti trattati con Kivexa, inclusi q</w:t>
      </w:r>
      <w:r w:rsidR="00012CF5" w:rsidRPr="00C9575C">
        <w:rPr>
          <w:lang w:val="it-IT"/>
        </w:rPr>
        <w:t xml:space="preserve">uelli con un peso corporeo tra </w:t>
      </w:r>
      <w:r w:rsidRPr="00C9575C">
        <w:rPr>
          <w:lang w:val="it-IT"/>
        </w:rPr>
        <w:t>40 kg e 25 kg, la soppressione virale è risultata simile.</w:t>
      </w:r>
    </w:p>
    <w:p w14:paraId="5831F818" w14:textId="77777777" w:rsidR="00A73682" w:rsidRPr="00C9575C" w:rsidRDefault="00A73682">
      <w:pPr>
        <w:widowControl w:val="0"/>
        <w:tabs>
          <w:tab w:val="left" w:pos="567"/>
        </w:tabs>
        <w:rPr>
          <w:lang w:val="it-IT"/>
        </w:rPr>
      </w:pPr>
    </w:p>
    <w:p w14:paraId="10079008" w14:textId="613D0A06" w:rsidR="0084378B" w:rsidRPr="00C9575C" w:rsidRDefault="0084378B">
      <w:pPr>
        <w:widowControl w:val="0"/>
        <w:tabs>
          <w:tab w:val="left" w:pos="567"/>
        </w:tabs>
        <w:outlineLvl w:val="0"/>
        <w:rPr>
          <w:b/>
          <w:szCs w:val="22"/>
          <w:lang w:val="it-IT"/>
        </w:rPr>
      </w:pPr>
      <w:r w:rsidRPr="00C9575C">
        <w:rPr>
          <w:b/>
          <w:szCs w:val="22"/>
          <w:lang w:val="it-IT"/>
        </w:rPr>
        <w:t>5.2</w:t>
      </w:r>
      <w:r w:rsidRPr="00C9575C">
        <w:rPr>
          <w:b/>
          <w:szCs w:val="22"/>
          <w:lang w:val="it-IT"/>
        </w:rPr>
        <w:tab/>
        <w:t>Proprietà farmacocinetiche</w:t>
      </w:r>
      <w:r w:rsidR="0092155C">
        <w:rPr>
          <w:b/>
          <w:szCs w:val="22"/>
          <w:lang w:val="it-IT"/>
        </w:rPr>
        <w:fldChar w:fldCharType="begin"/>
      </w:r>
      <w:r w:rsidR="0092155C">
        <w:rPr>
          <w:b/>
          <w:szCs w:val="22"/>
          <w:lang w:val="it-IT"/>
        </w:rPr>
        <w:instrText xml:space="preserve"> DOCVARIABLE vault_nd_93580d6e-f4e3-4a47-9d4a-f9d5c7134abe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0D2D382F" w14:textId="77777777" w:rsidR="0084378B" w:rsidRPr="00C9575C" w:rsidRDefault="0084378B">
      <w:pPr>
        <w:widowControl w:val="0"/>
        <w:tabs>
          <w:tab w:val="left" w:pos="567"/>
        </w:tabs>
        <w:rPr>
          <w:rStyle w:val="PageNumber"/>
          <w:szCs w:val="22"/>
          <w:lang w:val="it-IT"/>
        </w:rPr>
      </w:pPr>
    </w:p>
    <w:p w14:paraId="1AD11C2C" w14:textId="43365BE9" w:rsidR="0084378B" w:rsidRPr="00C9575C" w:rsidRDefault="0084378B">
      <w:pPr>
        <w:widowControl w:val="0"/>
        <w:tabs>
          <w:tab w:val="left" w:pos="567"/>
        </w:tabs>
        <w:rPr>
          <w:rStyle w:val="PageNumber"/>
          <w:szCs w:val="22"/>
          <w:lang w:val="it-IT"/>
        </w:rPr>
      </w:pPr>
      <w:r w:rsidRPr="00C9575C">
        <w:rPr>
          <w:rStyle w:val="PageNumber"/>
          <w:szCs w:val="22"/>
          <w:lang w:val="it-IT"/>
        </w:rPr>
        <w:t>La compressa come associazione a dose fissa di abacavir/lamivudina (FDC) ha mostrato di essere bioequivalente a lamivudina e abacavir somministrati separatamente. Questo è stato dimostrato in uno studio di bioequivalenza a dose singola crossover a tre braccia di FDC (a digiuno) ve</w:t>
      </w:r>
      <w:r w:rsidR="00037A93" w:rsidRPr="00C9575C">
        <w:rPr>
          <w:rStyle w:val="PageNumber"/>
          <w:szCs w:val="22"/>
          <w:lang w:val="it-IT"/>
        </w:rPr>
        <w:t>rso 2 compresse di abacavir 300 </w:t>
      </w:r>
      <w:r w:rsidRPr="00C9575C">
        <w:rPr>
          <w:rStyle w:val="PageNumber"/>
          <w:szCs w:val="22"/>
          <w:lang w:val="it-IT"/>
        </w:rPr>
        <w:t>mg pi</w:t>
      </w:r>
      <w:r w:rsidR="00037A93" w:rsidRPr="00C9575C">
        <w:rPr>
          <w:rStyle w:val="PageNumber"/>
          <w:szCs w:val="22"/>
          <w:lang w:val="it-IT"/>
        </w:rPr>
        <w:t>ù 2</w:t>
      </w:r>
      <w:r w:rsidR="006B4CC5">
        <w:rPr>
          <w:rStyle w:val="PageNumber"/>
          <w:szCs w:val="22"/>
          <w:lang w:val="it-IT"/>
        </w:rPr>
        <w:t> </w:t>
      </w:r>
      <w:r w:rsidR="00037A93" w:rsidRPr="00C9575C">
        <w:rPr>
          <w:rStyle w:val="PageNumber"/>
          <w:szCs w:val="22"/>
          <w:lang w:val="it-IT"/>
        </w:rPr>
        <w:t>compresse di lamivudina 150 </w:t>
      </w:r>
      <w:r w:rsidRPr="00C9575C">
        <w:rPr>
          <w:rStyle w:val="PageNumber"/>
          <w:szCs w:val="22"/>
          <w:lang w:val="it-IT"/>
        </w:rPr>
        <w:t>mg (a digiuno) verso FDC somministrata con cibo ad alto contenuto di grassi, in volontari sani (n = 30). Nella condizione a digiuno non c’è stata alcuna differenza significativa nel grado di assorbimento misurata come area sotto la curva della concentrazione plasmatica nel tempo (AUC) e picco massimo della concentrazione (C</w:t>
      </w:r>
      <w:r w:rsidRPr="00C9575C">
        <w:rPr>
          <w:rStyle w:val="PageNumber"/>
          <w:szCs w:val="22"/>
          <w:vertAlign w:val="subscript"/>
          <w:lang w:val="it-IT"/>
        </w:rPr>
        <w:t>max</w:t>
      </w:r>
      <w:r w:rsidRPr="00C9575C">
        <w:rPr>
          <w:rStyle w:val="PageNumber"/>
          <w:szCs w:val="22"/>
          <w:lang w:val="it-IT"/>
        </w:rPr>
        <w:t>) per ciascun componente. Non è stato osservato alcun effetto clinicamente significativo correlato al cibo tra la somministrazione di FDC nella condizione a digiuno o a stomaco pieno. Questi risultati indicano che FDC può essere assunta con o senza cibo. Le proprietà farmacocinetiche di lamivudina e abacavir sono descritte di seguito.</w:t>
      </w:r>
    </w:p>
    <w:p w14:paraId="63328731" w14:textId="77777777" w:rsidR="0084378B" w:rsidRPr="00C9575C" w:rsidRDefault="0084378B">
      <w:pPr>
        <w:widowControl w:val="0"/>
        <w:tabs>
          <w:tab w:val="left" w:pos="567"/>
        </w:tabs>
        <w:rPr>
          <w:rStyle w:val="PageNumber"/>
          <w:szCs w:val="22"/>
          <w:lang w:val="it-IT"/>
        </w:rPr>
      </w:pPr>
    </w:p>
    <w:p w14:paraId="24796062" w14:textId="77777777" w:rsidR="0084378B" w:rsidRPr="00C9575C" w:rsidRDefault="0084378B">
      <w:pPr>
        <w:widowControl w:val="0"/>
        <w:tabs>
          <w:tab w:val="left" w:pos="567"/>
        </w:tabs>
        <w:rPr>
          <w:szCs w:val="22"/>
          <w:u w:val="single"/>
          <w:lang w:val="it-IT"/>
        </w:rPr>
      </w:pPr>
      <w:r w:rsidRPr="00C9575C">
        <w:rPr>
          <w:szCs w:val="22"/>
          <w:u w:val="single"/>
          <w:lang w:val="it-IT"/>
        </w:rPr>
        <w:t>Assorbimento</w:t>
      </w:r>
    </w:p>
    <w:p w14:paraId="5F73538F" w14:textId="77777777" w:rsidR="0084378B" w:rsidRPr="00C9575C" w:rsidRDefault="0084378B">
      <w:pPr>
        <w:widowControl w:val="0"/>
        <w:tabs>
          <w:tab w:val="left" w:pos="567"/>
        </w:tabs>
        <w:rPr>
          <w:i/>
          <w:szCs w:val="22"/>
          <w:u w:val="single"/>
          <w:lang w:val="it-IT"/>
        </w:rPr>
      </w:pPr>
    </w:p>
    <w:p w14:paraId="66598B7C" w14:textId="5E895E3F" w:rsidR="0084378B" w:rsidRPr="00C9575C" w:rsidRDefault="0084378B">
      <w:pPr>
        <w:widowControl w:val="0"/>
        <w:tabs>
          <w:tab w:val="left" w:pos="567"/>
        </w:tabs>
        <w:rPr>
          <w:color w:val="000000"/>
          <w:szCs w:val="22"/>
          <w:lang w:val="it-IT"/>
        </w:rPr>
      </w:pPr>
      <w:r w:rsidRPr="00C9575C">
        <w:rPr>
          <w:szCs w:val="22"/>
          <w:lang w:val="it-IT"/>
        </w:rPr>
        <w:t xml:space="preserve">Abacavir e lamivudina sono assorbiti bene e rapidamente dal tratto gastrointestinale, dopo somministrazione orale. La biodisponibilità assoluta </w:t>
      </w:r>
      <w:r w:rsidR="00E116DE" w:rsidRPr="00C9575C">
        <w:rPr>
          <w:szCs w:val="22"/>
          <w:lang w:val="it-IT"/>
        </w:rPr>
        <w:t>di a</w:t>
      </w:r>
      <w:r w:rsidRPr="00C9575C">
        <w:rPr>
          <w:szCs w:val="22"/>
          <w:lang w:val="it-IT"/>
        </w:rPr>
        <w:t xml:space="preserve">bacavir e </w:t>
      </w:r>
      <w:r w:rsidR="00E116DE" w:rsidRPr="00C9575C">
        <w:rPr>
          <w:szCs w:val="22"/>
          <w:lang w:val="it-IT"/>
        </w:rPr>
        <w:t>di</w:t>
      </w:r>
      <w:r w:rsidRPr="00C9575C">
        <w:rPr>
          <w:szCs w:val="22"/>
          <w:lang w:val="it-IT"/>
        </w:rPr>
        <w:t xml:space="preserve"> lamivudina dopo somministrazione orale negli adulti è di circa l’83% e l’80-85% rispettivamente. Il tempo medio per il raggiungimento della concentrazione massima nel siero (t</w:t>
      </w:r>
      <w:r w:rsidRPr="00C9575C">
        <w:rPr>
          <w:szCs w:val="22"/>
          <w:vertAlign w:val="subscript"/>
          <w:lang w:val="it-IT"/>
        </w:rPr>
        <w:t>max</w:t>
      </w:r>
      <w:r w:rsidR="00533872" w:rsidRPr="00C9575C">
        <w:rPr>
          <w:szCs w:val="22"/>
          <w:lang w:val="it-IT"/>
        </w:rPr>
        <w:t>) è di circa 1,5</w:t>
      </w:r>
      <w:r w:rsidR="006B4CC5">
        <w:rPr>
          <w:szCs w:val="22"/>
          <w:lang w:val="it-IT"/>
        </w:rPr>
        <w:t> </w:t>
      </w:r>
      <w:r w:rsidR="00533872" w:rsidRPr="00C9575C">
        <w:rPr>
          <w:szCs w:val="22"/>
          <w:lang w:val="it-IT"/>
        </w:rPr>
        <w:t>ore e 1,</w:t>
      </w:r>
      <w:r w:rsidRPr="00C9575C">
        <w:rPr>
          <w:szCs w:val="22"/>
          <w:lang w:val="it-IT"/>
        </w:rPr>
        <w:t>0</w:t>
      </w:r>
      <w:r w:rsidR="006B4CC5">
        <w:rPr>
          <w:szCs w:val="22"/>
          <w:lang w:val="it-IT"/>
        </w:rPr>
        <w:t> </w:t>
      </w:r>
      <w:r w:rsidRPr="00C9575C">
        <w:rPr>
          <w:szCs w:val="22"/>
          <w:lang w:val="it-IT"/>
        </w:rPr>
        <w:t>ore per abacavir e lamivudina rispettivament</w:t>
      </w:r>
      <w:r w:rsidR="00533872" w:rsidRPr="00C9575C">
        <w:rPr>
          <w:szCs w:val="22"/>
          <w:lang w:val="it-IT"/>
        </w:rPr>
        <w:t>e. Dopo una singola dose di 600 </w:t>
      </w:r>
      <w:r w:rsidRPr="00C9575C">
        <w:rPr>
          <w:szCs w:val="22"/>
          <w:lang w:val="it-IT"/>
        </w:rPr>
        <w:t xml:space="preserve">mg di abacavir, la media </w:t>
      </w:r>
      <w:r w:rsidRPr="00C9575C">
        <w:rPr>
          <w:rStyle w:val="PageNumber"/>
          <w:szCs w:val="22"/>
          <w:lang w:val="it-IT"/>
        </w:rPr>
        <w:t xml:space="preserve">(CV) </w:t>
      </w:r>
      <w:r w:rsidRPr="00C9575C">
        <w:rPr>
          <w:color w:val="000000"/>
          <w:szCs w:val="22"/>
          <w:lang w:val="it-IT"/>
        </w:rPr>
        <w:t>della C</w:t>
      </w:r>
      <w:r w:rsidRPr="00C9575C">
        <w:rPr>
          <w:color w:val="000000"/>
          <w:szCs w:val="22"/>
          <w:vertAlign w:val="subscript"/>
          <w:lang w:val="it-IT"/>
        </w:rPr>
        <w:t>max</w:t>
      </w:r>
      <w:r w:rsidRPr="00C9575C">
        <w:rPr>
          <w:color w:val="000000"/>
          <w:szCs w:val="22"/>
          <w:lang w:val="it-IT"/>
        </w:rPr>
        <w:t xml:space="preserve"> </w:t>
      </w:r>
      <w:r w:rsidR="00533872" w:rsidRPr="00C9575C">
        <w:rPr>
          <w:rStyle w:val="PageNumber"/>
          <w:szCs w:val="22"/>
          <w:lang w:val="it-IT"/>
        </w:rPr>
        <w:t>è 4,</w:t>
      </w:r>
      <w:r w:rsidRPr="00C9575C">
        <w:rPr>
          <w:rStyle w:val="PageNumber"/>
          <w:szCs w:val="22"/>
          <w:lang w:val="it-IT"/>
        </w:rPr>
        <w:t>26</w:t>
      </w:r>
      <w:r w:rsidR="006B4CC5">
        <w:rPr>
          <w:rStyle w:val="PageNumber"/>
          <w:szCs w:val="22"/>
          <w:lang w:val="it-IT"/>
        </w:rPr>
        <w:t> </w:t>
      </w:r>
      <w:r w:rsidRPr="00C9575C">
        <w:rPr>
          <w:szCs w:val="22"/>
          <w:lang w:val="it-IT"/>
        </w:rPr>
        <w:sym w:font="Symbol" w:char="F06D"/>
      </w:r>
      <w:r w:rsidRPr="00C9575C">
        <w:rPr>
          <w:szCs w:val="22"/>
          <w:lang w:val="it-IT"/>
        </w:rPr>
        <w:t>g/m</w:t>
      </w:r>
      <w:r w:rsidR="006F341F" w:rsidRPr="00C9575C">
        <w:rPr>
          <w:szCs w:val="22"/>
          <w:lang w:val="it-IT"/>
        </w:rPr>
        <w:t>L</w:t>
      </w:r>
      <w:r w:rsidRPr="00C9575C">
        <w:rPr>
          <w:szCs w:val="22"/>
          <w:lang w:val="it-IT"/>
        </w:rPr>
        <w:t xml:space="preserve"> (28%), la media </w:t>
      </w:r>
      <w:r w:rsidRPr="00C9575C">
        <w:rPr>
          <w:rStyle w:val="PageNumber"/>
          <w:szCs w:val="22"/>
          <w:lang w:val="it-IT"/>
        </w:rPr>
        <w:t xml:space="preserve">(CV) </w:t>
      </w:r>
      <w:r w:rsidRPr="00C9575C">
        <w:rPr>
          <w:color w:val="000000"/>
          <w:szCs w:val="22"/>
          <w:lang w:val="it-IT"/>
        </w:rPr>
        <w:t>della AUC</w:t>
      </w:r>
      <w:r w:rsidRPr="00C9575C">
        <w:rPr>
          <w:color w:val="000000"/>
          <w:szCs w:val="22"/>
          <w:vertAlign w:val="subscript"/>
          <w:lang w:val="it-IT"/>
        </w:rPr>
        <w:t>∞</w:t>
      </w:r>
      <w:r w:rsidRPr="00C9575C">
        <w:rPr>
          <w:color w:val="000000"/>
          <w:szCs w:val="22"/>
          <w:lang w:val="it-IT"/>
        </w:rPr>
        <w:t xml:space="preserve"> </w:t>
      </w:r>
      <w:r w:rsidRPr="00C9575C">
        <w:rPr>
          <w:rStyle w:val="PageNumber"/>
          <w:szCs w:val="22"/>
          <w:lang w:val="it-IT"/>
        </w:rPr>
        <w:t>è 11</w:t>
      </w:r>
      <w:r w:rsidR="00533872" w:rsidRPr="00C9575C">
        <w:rPr>
          <w:rStyle w:val="PageNumber"/>
          <w:szCs w:val="22"/>
          <w:lang w:val="it-IT"/>
        </w:rPr>
        <w:t>,</w:t>
      </w:r>
      <w:r w:rsidRPr="00C9575C">
        <w:rPr>
          <w:rStyle w:val="PageNumber"/>
          <w:szCs w:val="22"/>
          <w:lang w:val="it-IT"/>
        </w:rPr>
        <w:t>95</w:t>
      </w:r>
      <w:r w:rsidR="006B4CC5">
        <w:rPr>
          <w:rStyle w:val="PageNumber"/>
          <w:szCs w:val="22"/>
          <w:lang w:val="it-IT"/>
        </w:rPr>
        <w:t> </w:t>
      </w:r>
      <w:r w:rsidRPr="00C9575C">
        <w:rPr>
          <w:szCs w:val="22"/>
          <w:lang w:val="it-IT"/>
        </w:rPr>
        <w:sym w:font="Symbol" w:char="F06D"/>
      </w:r>
      <w:r w:rsidRPr="00C9575C">
        <w:rPr>
          <w:szCs w:val="22"/>
          <w:lang w:val="it-IT"/>
        </w:rPr>
        <w:t>g.ora/m</w:t>
      </w:r>
      <w:r w:rsidR="006F341F" w:rsidRPr="00C9575C">
        <w:rPr>
          <w:szCs w:val="22"/>
          <w:lang w:val="it-IT"/>
        </w:rPr>
        <w:t>L</w:t>
      </w:r>
      <w:r w:rsidRPr="00C9575C">
        <w:rPr>
          <w:szCs w:val="22"/>
          <w:lang w:val="it-IT"/>
        </w:rPr>
        <w:t xml:space="preserve"> (21%). A seguito della somministrazione orale in </w:t>
      </w:r>
      <w:r w:rsidR="00533872" w:rsidRPr="00C9575C">
        <w:rPr>
          <w:szCs w:val="22"/>
          <w:lang w:val="it-IT"/>
        </w:rPr>
        <w:t>dose multipla di lamivudina 300 </w:t>
      </w:r>
      <w:r w:rsidRPr="00C9575C">
        <w:rPr>
          <w:szCs w:val="22"/>
          <w:lang w:val="it-IT"/>
        </w:rPr>
        <w:t>mg una volta al giorno per sette giorni,</w:t>
      </w:r>
      <w:r w:rsidRPr="00C9575C">
        <w:rPr>
          <w:rStyle w:val="PageNumber"/>
          <w:szCs w:val="22"/>
          <w:lang w:val="it-IT"/>
        </w:rPr>
        <w:t xml:space="preserve"> la media (CV) allo </w:t>
      </w:r>
      <w:r w:rsidRPr="00C9575C">
        <w:rPr>
          <w:color w:val="000000"/>
          <w:szCs w:val="22"/>
          <w:lang w:val="it-IT"/>
        </w:rPr>
        <w:t>steady-state della C</w:t>
      </w:r>
      <w:r w:rsidRPr="00C9575C">
        <w:rPr>
          <w:color w:val="000000"/>
          <w:szCs w:val="22"/>
          <w:vertAlign w:val="subscript"/>
          <w:lang w:val="it-IT"/>
        </w:rPr>
        <w:t>max</w:t>
      </w:r>
      <w:r w:rsidR="00533872" w:rsidRPr="00C9575C">
        <w:rPr>
          <w:color w:val="000000"/>
          <w:szCs w:val="22"/>
          <w:lang w:val="it-IT"/>
        </w:rPr>
        <w:t xml:space="preserve"> è 2,</w:t>
      </w:r>
      <w:r w:rsidRPr="00C9575C">
        <w:rPr>
          <w:color w:val="000000"/>
          <w:szCs w:val="22"/>
          <w:lang w:val="it-IT"/>
        </w:rPr>
        <w:t>04</w:t>
      </w:r>
      <w:r w:rsidR="006B4CC5">
        <w:rPr>
          <w:color w:val="000000"/>
          <w:szCs w:val="22"/>
          <w:lang w:val="it-IT"/>
        </w:rPr>
        <w:t> </w:t>
      </w:r>
      <w:r w:rsidRPr="00C9575C">
        <w:rPr>
          <w:szCs w:val="22"/>
          <w:lang w:val="it-IT"/>
        </w:rPr>
        <w:sym w:font="Symbol" w:char="F06D"/>
      </w:r>
      <w:r w:rsidRPr="00C9575C">
        <w:rPr>
          <w:szCs w:val="22"/>
          <w:lang w:val="it-IT"/>
        </w:rPr>
        <w:t>g/</w:t>
      </w:r>
      <w:r w:rsidR="006F341F" w:rsidRPr="00C9575C">
        <w:rPr>
          <w:szCs w:val="22"/>
          <w:lang w:val="it-IT"/>
        </w:rPr>
        <w:t xml:space="preserve">mL </w:t>
      </w:r>
      <w:r w:rsidRPr="00C9575C">
        <w:rPr>
          <w:szCs w:val="22"/>
          <w:lang w:val="it-IT"/>
        </w:rPr>
        <w:t xml:space="preserve">(26%) e la </w:t>
      </w:r>
      <w:r w:rsidRPr="00C9575C">
        <w:rPr>
          <w:color w:val="000000"/>
          <w:szCs w:val="22"/>
          <w:lang w:val="it-IT"/>
        </w:rPr>
        <w:t>media (CV) dell’AUC</w:t>
      </w:r>
      <w:r w:rsidRPr="00C9575C">
        <w:rPr>
          <w:color w:val="000000"/>
          <w:szCs w:val="22"/>
          <w:vertAlign w:val="subscript"/>
          <w:lang w:val="it-IT"/>
        </w:rPr>
        <w:t>24</w:t>
      </w:r>
      <w:r w:rsidR="00533872" w:rsidRPr="00C9575C">
        <w:rPr>
          <w:color w:val="000000"/>
          <w:szCs w:val="22"/>
          <w:lang w:val="it-IT"/>
        </w:rPr>
        <w:t xml:space="preserve"> è 8,</w:t>
      </w:r>
      <w:r w:rsidRPr="00C9575C">
        <w:rPr>
          <w:color w:val="000000"/>
          <w:szCs w:val="22"/>
          <w:lang w:val="it-IT"/>
        </w:rPr>
        <w:t>87</w:t>
      </w:r>
      <w:r w:rsidR="006B4CC5">
        <w:rPr>
          <w:color w:val="000000"/>
          <w:szCs w:val="22"/>
          <w:lang w:val="it-IT"/>
        </w:rPr>
        <w:t> </w:t>
      </w:r>
      <w:r w:rsidRPr="00C9575C">
        <w:rPr>
          <w:szCs w:val="22"/>
          <w:lang w:val="it-IT"/>
        </w:rPr>
        <w:sym w:font="Symbol" w:char="F06D"/>
      </w:r>
      <w:r w:rsidRPr="00C9575C">
        <w:rPr>
          <w:szCs w:val="22"/>
          <w:lang w:val="it-IT"/>
        </w:rPr>
        <w:t>g.ora/m</w:t>
      </w:r>
      <w:r w:rsidR="006F341F" w:rsidRPr="00C9575C">
        <w:rPr>
          <w:szCs w:val="22"/>
          <w:lang w:val="it-IT"/>
        </w:rPr>
        <w:t>L</w:t>
      </w:r>
      <w:r w:rsidRPr="00C9575C">
        <w:rPr>
          <w:szCs w:val="22"/>
          <w:lang w:val="it-IT"/>
        </w:rPr>
        <w:t xml:space="preserve"> (21%). </w:t>
      </w:r>
    </w:p>
    <w:p w14:paraId="1448FB87" w14:textId="77777777" w:rsidR="0084378B" w:rsidRPr="00C9575C" w:rsidRDefault="0084378B">
      <w:pPr>
        <w:widowControl w:val="0"/>
        <w:tabs>
          <w:tab w:val="left" w:pos="567"/>
        </w:tabs>
        <w:rPr>
          <w:rStyle w:val="PageNumber"/>
          <w:szCs w:val="22"/>
          <w:lang w:val="it-IT"/>
        </w:rPr>
      </w:pPr>
    </w:p>
    <w:p w14:paraId="4EE61799" w14:textId="77777777" w:rsidR="0084378B" w:rsidRPr="00C9575C" w:rsidRDefault="0084378B">
      <w:pPr>
        <w:widowControl w:val="0"/>
        <w:tabs>
          <w:tab w:val="left" w:pos="567"/>
        </w:tabs>
        <w:rPr>
          <w:rStyle w:val="PageNumber"/>
          <w:szCs w:val="22"/>
          <w:u w:val="single"/>
          <w:lang w:val="it-IT"/>
        </w:rPr>
      </w:pPr>
      <w:r w:rsidRPr="00C9575C">
        <w:rPr>
          <w:rStyle w:val="PageNumber"/>
          <w:szCs w:val="22"/>
          <w:u w:val="single"/>
          <w:lang w:val="it-IT"/>
        </w:rPr>
        <w:t>Distribuzione</w:t>
      </w:r>
    </w:p>
    <w:p w14:paraId="6C243334" w14:textId="77777777" w:rsidR="0084378B" w:rsidRPr="00C9575C" w:rsidRDefault="0084378B">
      <w:pPr>
        <w:widowControl w:val="0"/>
        <w:tabs>
          <w:tab w:val="left" w:pos="567"/>
        </w:tabs>
        <w:rPr>
          <w:rStyle w:val="PageNumber"/>
          <w:i/>
          <w:szCs w:val="22"/>
          <w:u w:val="single"/>
          <w:lang w:val="it-IT"/>
        </w:rPr>
      </w:pPr>
    </w:p>
    <w:p w14:paraId="43CD3DF0" w14:textId="21191BA9" w:rsidR="0084378B" w:rsidRPr="00C9575C" w:rsidRDefault="0084378B">
      <w:pPr>
        <w:widowControl w:val="0"/>
        <w:tabs>
          <w:tab w:val="left" w:pos="567"/>
        </w:tabs>
        <w:rPr>
          <w:szCs w:val="22"/>
          <w:lang w:val="it-IT"/>
        </w:rPr>
      </w:pPr>
      <w:r w:rsidRPr="00C9575C">
        <w:rPr>
          <w:szCs w:val="22"/>
          <w:lang w:val="it-IT"/>
        </w:rPr>
        <w:t>Gli studi di somministrazione per via endovenosa di abacavir e lamivudina hanno mostrato che il volume medio appar</w:t>
      </w:r>
      <w:r w:rsidR="00533872" w:rsidRPr="00C9575C">
        <w:rPr>
          <w:szCs w:val="22"/>
          <w:lang w:val="it-IT"/>
        </w:rPr>
        <w:t>ente di distribuzione è 0,8 e 1,</w:t>
      </w:r>
      <w:r w:rsidRPr="00C9575C">
        <w:rPr>
          <w:szCs w:val="22"/>
          <w:lang w:val="it-IT"/>
        </w:rPr>
        <w:t>3</w:t>
      </w:r>
      <w:r w:rsidR="006B4CC5">
        <w:rPr>
          <w:szCs w:val="22"/>
          <w:lang w:val="it-IT"/>
        </w:rPr>
        <w:t> </w:t>
      </w:r>
      <w:r w:rsidRPr="00C9575C">
        <w:rPr>
          <w:szCs w:val="22"/>
          <w:lang w:val="it-IT"/>
        </w:rPr>
        <w:t>l</w:t>
      </w:r>
      <w:r w:rsidR="00533872" w:rsidRPr="00C9575C">
        <w:rPr>
          <w:szCs w:val="22"/>
          <w:lang w:val="it-IT"/>
        </w:rPr>
        <w:t>itri</w:t>
      </w:r>
      <w:r w:rsidRPr="00C9575C">
        <w:rPr>
          <w:szCs w:val="22"/>
          <w:lang w:val="it-IT"/>
        </w:rPr>
        <w:t>/kg rispettivamente. Gli studi</w:t>
      </w:r>
      <w:r w:rsidRPr="00C9575C">
        <w:rPr>
          <w:i/>
          <w:szCs w:val="22"/>
          <w:lang w:val="it-IT"/>
        </w:rPr>
        <w:t xml:space="preserve"> in vitro</w:t>
      </w:r>
      <w:r w:rsidRPr="00C9575C">
        <w:rPr>
          <w:szCs w:val="22"/>
          <w:lang w:val="it-IT"/>
        </w:rPr>
        <w:t xml:space="preserve"> di legame con le proteine plasmatiche indicano che abacavir ha un legame di grado basso-moderato (circa 49%) con le proteine plasmatiche umane a concentrazioni terapeutiche. </w:t>
      </w:r>
      <w:r w:rsidR="00E116DE" w:rsidRPr="00C9575C">
        <w:rPr>
          <w:rStyle w:val="PageNumber"/>
          <w:szCs w:val="22"/>
          <w:lang w:val="it-IT"/>
        </w:rPr>
        <w:t>L</w:t>
      </w:r>
      <w:r w:rsidRPr="00C9575C">
        <w:rPr>
          <w:rStyle w:val="PageNumber"/>
          <w:szCs w:val="22"/>
          <w:lang w:val="it-IT"/>
        </w:rPr>
        <w:t>amivudina presenta una farmacocinetica di tipo lineare nell'ambito delle dosi terapeutiche e mostra una ridotta capacità di legame con le principali pro</w:t>
      </w:r>
      <w:r w:rsidRPr="00C9575C">
        <w:rPr>
          <w:rStyle w:val="PageNumber"/>
          <w:szCs w:val="22"/>
          <w:lang w:val="it-IT"/>
        </w:rPr>
        <w:softHyphen/>
        <w:t xml:space="preserve">teine plasmatiche </w:t>
      </w:r>
      <w:r w:rsidRPr="00C9575C">
        <w:rPr>
          <w:rStyle w:val="PageNumber"/>
          <w:i/>
          <w:szCs w:val="22"/>
          <w:lang w:val="it-IT"/>
        </w:rPr>
        <w:t>in vitro</w:t>
      </w:r>
      <w:r w:rsidRPr="00C9575C">
        <w:rPr>
          <w:rStyle w:val="PageNumber"/>
          <w:szCs w:val="22"/>
          <w:lang w:val="it-IT"/>
        </w:rPr>
        <w:t xml:space="preserve"> (&lt;</w:t>
      </w:r>
      <w:r w:rsidR="006B4CC5">
        <w:rPr>
          <w:rStyle w:val="PageNumber"/>
          <w:szCs w:val="22"/>
          <w:lang w:val="it-IT"/>
        </w:rPr>
        <w:t> </w:t>
      </w:r>
      <w:r w:rsidRPr="00C9575C">
        <w:rPr>
          <w:rStyle w:val="PageNumber"/>
          <w:szCs w:val="22"/>
          <w:lang w:val="it-IT"/>
        </w:rPr>
        <w:t>36%).</w:t>
      </w:r>
      <w:r w:rsidRPr="00C9575C">
        <w:rPr>
          <w:szCs w:val="22"/>
          <w:lang w:val="it-IT"/>
        </w:rPr>
        <w:t xml:space="preserve"> Ciò indica una bassa probabilità di interazioni con altri medicinali da spiazzamento del sito di legame delle proteine plasmatiche.</w:t>
      </w:r>
    </w:p>
    <w:p w14:paraId="33CDF755" w14:textId="77777777" w:rsidR="0084378B" w:rsidRPr="00C9575C" w:rsidRDefault="0084378B">
      <w:pPr>
        <w:widowControl w:val="0"/>
        <w:tabs>
          <w:tab w:val="left" w:pos="567"/>
        </w:tabs>
        <w:rPr>
          <w:szCs w:val="22"/>
          <w:lang w:val="it-IT"/>
        </w:rPr>
      </w:pPr>
    </w:p>
    <w:p w14:paraId="7F9634DE" w14:textId="62DC407E" w:rsidR="0084378B" w:rsidRPr="00C9575C" w:rsidRDefault="0084378B">
      <w:pPr>
        <w:widowControl w:val="0"/>
        <w:tabs>
          <w:tab w:val="left" w:pos="567"/>
        </w:tabs>
        <w:ind w:right="28"/>
        <w:rPr>
          <w:rStyle w:val="PageNumber"/>
          <w:szCs w:val="22"/>
          <w:lang w:val="it-IT"/>
        </w:rPr>
      </w:pPr>
      <w:r w:rsidRPr="00C9575C">
        <w:rPr>
          <w:rStyle w:val="PageNumber"/>
          <w:szCs w:val="22"/>
          <w:lang w:val="it-IT"/>
        </w:rPr>
        <w:t>I dati mostrano che abacavir e lamivudina penetrano nel sistema nervoso centrale e raggiungono il liquido cerebrospinale.</w:t>
      </w:r>
      <w:r w:rsidRPr="00C9575C">
        <w:rPr>
          <w:szCs w:val="22"/>
          <w:lang w:val="it-IT"/>
        </w:rPr>
        <w:t xml:space="preserve"> Gli studi con abacavir dimostrano un rapporto delle AUC liquor/plasma compreso fra il 30 e il 44%. I valori osservati delle concentrazioni di picco sono 9 volte superiori della IC</w:t>
      </w:r>
      <w:r w:rsidRPr="00C9575C">
        <w:rPr>
          <w:szCs w:val="22"/>
          <w:vertAlign w:val="subscript"/>
          <w:lang w:val="it-IT"/>
        </w:rPr>
        <w:t>50</w:t>
      </w:r>
      <w:r w:rsidRPr="00C9575C">
        <w:rPr>
          <w:szCs w:val="22"/>
          <w:lang w:val="it-IT"/>
        </w:rPr>
        <w:t xml:space="preserve"> di abacavir che è di 0,08</w:t>
      </w:r>
      <w:r w:rsidR="006B4CC5">
        <w:rPr>
          <w:szCs w:val="22"/>
          <w:lang w:val="it-IT"/>
        </w:rPr>
        <w:t> </w:t>
      </w:r>
      <w:r w:rsidRPr="00C9575C">
        <w:rPr>
          <w:szCs w:val="22"/>
          <w:lang w:val="it-IT"/>
        </w:rPr>
        <w:sym w:font="Symbol" w:char="F06D"/>
      </w:r>
      <w:r w:rsidRPr="00C9575C">
        <w:rPr>
          <w:szCs w:val="22"/>
          <w:lang w:val="it-IT"/>
        </w:rPr>
        <w:t>g/m</w:t>
      </w:r>
      <w:r w:rsidR="006F341F" w:rsidRPr="00C9575C">
        <w:rPr>
          <w:szCs w:val="22"/>
          <w:lang w:val="it-IT"/>
        </w:rPr>
        <w:t>L</w:t>
      </w:r>
      <w:r w:rsidRPr="00C9575C">
        <w:rPr>
          <w:szCs w:val="22"/>
          <w:lang w:val="it-IT"/>
        </w:rPr>
        <w:t xml:space="preserve"> o 0,26 </w:t>
      </w:r>
      <w:r w:rsidRPr="00C9575C">
        <w:rPr>
          <w:szCs w:val="22"/>
          <w:lang w:val="it-IT"/>
        </w:rPr>
        <w:sym w:font="Symbol" w:char="F06D"/>
      </w:r>
      <w:r w:rsidRPr="00C9575C">
        <w:rPr>
          <w:szCs w:val="22"/>
          <w:lang w:val="it-IT"/>
        </w:rPr>
        <w:t xml:space="preserve">M quando abacavir è somministrato alla dose di 600 mg due volte al giorno. </w:t>
      </w:r>
      <w:r w:rsidRPr="00C9575C">
        <w:rPr>
          <w:rStyle w:val="PageNumber"/>
          <w:szCs w:val="22"/>
          <w:lang w:val="it-IT"/>
        </w:rPr>
        <w:t xml:space="preserve">Il rapporto medio tra la concentrazione </w:t>
      </w:r>
      <w:r w:rsidR="00533872" w:rsidRPr="00C9575C">
        <w:rPr>
          <w:rStyle w:val="PageNumber"/>
          <w:szCs w:val="22"/>
          <w:lang w:val="it-IT"/>
        </w:rPr>
        <w:t>di</w:t>
      </w:r>
      <w:r w:rsidRPr="00C9575C">
        <w:rPr>
          <w:rStyle w:val="PageNumber"/>
          <w:szCs w:val="22"/>
          <w:lang w:val="it-IT"/>
        </w:rPr>
        <w:t xml:space="preserve"> lamivudina nel liquor e nel siero, dopo 2-4</w:t>
      </w:r>
      <w:r w:rsidR="00F52328">
        <w:rPr>
          <w:rStyle w:val="PageNumber"/>
          <w:szCs w:val="22"/>
          <w:lang w:val="it-IT"/>
        </w:rPr>
        <w:t> </w:t>
      </w:r>
      <w:r w:rsidRPr="00C9575C">
        <w:rPr>
          <w:rStyle w:val="PageNumber"/>
          <w:szCs w:val="22"/>
          <w:lang w:val="it-IT"/>
        </w:rPr>
        <w:t>ore dalla somministrazione orale, è di circa il 12%.</w:t>
      </w:r>
      <w:r w:rsidRPr="00C9575C">
        <w:rPr>
          <w:szCs w:val="22"/>
          <w:lang w:val="it-IT"/>
        </w:rPr>
        <w:t xml:space="preserve"> </w:t>
      </w:r>
      <w:r w:rsidRPr="00C9575C">
        <w:rPr>
          <w:rStyle w:val="PageNumber"/>
          <w:szCs w:val="22"/>
          <w:lang w:val="it-IT"/>
        </w:rPr>
        <w:t>Non è nota la reale entità del passaggio nel liquido cerebrospin</w:t>
      </w:r>
      <w:r w:rsidR="00D23EB5" w:rsidRPr="00C9575C">
        <w:rPr>
          <w:rStyle w:val="PageNumber"/>
          <w:szCs w:val="22"/>
          <w:lang w:val="it-IT"/>
        </w:rPr>
        <w:t>ale nè la sua relazione con un’</w:t>
      </w:r>
      <w:r w:rsidRPr="00C9575C">
        <w:rPr>
          <w:rStyle w:val="PageNumber"/>
          <w:szCs w:val="22"/>
          <w:lang w:val="it-IT"/>
        </w:rPr>
        <w:t>eventuale efficacia clinica.</w:t>
      </w:r>
    </w:p>
    <w:p w14:paraId="4077234E" w14:textId="77777777" w:rsidR="009D2687" w:rsidRPr="00C9575C" w:rsidRDefault="009D2687">
      <w:pPr>
        <w:widowControl w:val="0"/>
        <w:tabs>
          <w:tab w:val="left" w:pos="567"/>
        </w:tabs>
        <w:rPr>
          <w:szCs w:val="22"/>
          <w:lang w:val="it-IT"/>
        </w:rPr>
      </w:pPr>
    </w:p>
    <w:p w14:paraId="35924E83" w14:textId="77777777" w:rsidR="0084378B" w:rsidRPr="00C9575C" w:rsidRDefault="00C47102">
      <w:pPr>
        <w:widowControl w:val="0"/>
        <w:tabs>
          <w:tab w:val="left" w:pos="567"/>
        </w:tabs>
        <w:rPr>
          <w:szCs w:val="22"/>
          <w:u w:val="single"/>
          <w:lang w:val="it-IT"/>
        </w:rPr>
      </w:pPr>
      <w:r w:rsidRPr="00C9575C">
        <w:rPr>
          <w:szCs w:val="22"/>
          <w:u w:val="single"/>
          <w:lang w:val="it-IT"/>
        </w:rPr>
        <w:t>Biotrasformazione</w:t>
      </w:r>
    </w:p>
    <w:p w14:paraId="48DAD600" w14:textId="77777777" w:rsidR="0084378B" w:rsidRPr="00C9575C" w:rsidRDefault="0084378B">
      <w:pPr>
        <w:widowControl w:val="0"/>
        <w:tabs>
          <w:tab w:val="left" w:pos="567"/>
        </w:tabs>
        <w:rPr>
          <w:szCs w:val="22"/>
          <w:lang w:val="it-IT"/>
        </w:rPr>
      </w:pPr>
    </w:p>
    <w:p w14:paraId="0E5092BF" w14:textId="77777777" w:rsidR="0084378B" w:rsidRPr="00C9575C" w:rsidRDefault="0084378B">
      <w:pPr>
        <w:widowControl w:val="0"/>
        <w:tabs>
          <w:tab w:val="left" w:pos="567"/>
        </w:tabs>
        <w:rPr>
          <w:szCs w:val="22"/>
          <w:lang w:val="it-IT"/>
        </w:rPr>
      </w:pPr>
      <w:r w:rsidRPr="00C9575C">
        <w:rPr>
          <w:szCs w:val="22"/>
          <w:lang w:val="it-IT"/>
        </w:rPr>
        <w:t xml:space="preserve">Abacavir è principalmente metabolizzato dal fegato e approssimativamente il 2% della dose somministrata viene escreta dal rene, come composto immodificato. Le vie metaboliche principali </w:t>
      </w:r>
      <w:r w:rsidRPr="00C9575C">
        <w:rPr>
          <w:szCs w:val="22"/>
          <w:lang w:val="it-IT"/>
        </w:rPr>
        <w:lastRenderedPageBreak/>
        <w:t>nell’uomo sono rappresentate dall’alcool deidrogenasi e dalla glucuronidazione con produzione di acido 5’-carbossilico e del 5’-glucuronide, che ammontano a circa il 66% della dose somministrata. Questi metaboliti sono escreti nelle urine.</w:t>
      </w:r>
    </w:p>
    <w:p w14:paraId="441A6D92" w14:textId="77777777" w:rsidR="0084378B" w:rsidRPr="00C9575C" w:rsidRDefault="0084378B">
      <w:pPr>
        <w:widowControl w:val="0"/>
        <w:tabs>
          <w:tab w:val="left" w:pos="567"/>
        </w:tabs>
        <w:rPr>
          <w:szCs w:val="22"/>
          <w:lang w:val="it-IT"/>
        </w:rPr>
      </w:pPr>
    </w:p>
    <w:p w14:paraId="44EA5F1E" w14:textId="77777777" w:rsidR="0084378B" w:rsidRPr="00C9575C" w:rsidRDefault="0084378B">
      <w:pPr>
        <w:widowControl w:val="0"/>
        <w:tabs>
          <w:tab w:val="left" w:pos="567"/>
        </w:tabs>
        <w:ind w:right="28"/>
        <w:rPr>
          <w:rStyle w:val="PageNumber"/>
          <w:szCs w:val="22"/>
          <w:lang w:val="it-IT"/>
        </w:rPr>
      </w:pPr>
      <w:r w:rsidRPr="00C9575C">
        <w:rPr>
          <w:rStyle w:val="PageNumber"/>
          <w:szCs w:val="22"/>
          <w:lang w:val="it-IT"/>
        </w:rPr>
        <w:t xml:space="preserve">Il metabolismo </w:t>
      </w:r>
      <w:r w:rsidR="00E116DE" w:rsidRPr="00C9575C">
        <w:rPr>
          <w:rStyle w:val="PageNumber"/>
          <w:szCs w:val="22"/>
          <w:lang w:val="it-IT"/>
        </w:rPr>
        <w:t>di</w:t>
      </w:r>
      <w:r w:rsidRPr="00C9575C">
        <w:rPr>
          <w:rStyle w:val="PageNumber"/>
          <w:szCs w:val="22"/>
          <w:lang w:val="it-IT"/>
        </w:rPr>
        <w:t xml:space="preserve"> lamivudina è una via minore di eliminazione. </w:t>
      </w:r>
      <w:r w:rsidR="00D65D03" w:rsidRPr="00C9575C">
        <w:rPr>
          <w:rStyle w:val="PageNumber"/>
          <w:szCs w:val="22"/>
          <w:lang w:val="it-IT"/>
        </w:rPr>
        <w:t>L</w:t>
      </w:r>
      <w:r w:rsidRPr="00C9575C">
        <w:rPr>
          <w:rStyle w:val="PageNumber"/>
          <w:szCs w:val="22"/>
          <w:lang w:val="it-IT"/>
        </w:rPr>
        <w:t xml:space="preserve">amivudina viene principalmente eliminata dalla escrezione renale come lamivudina immodificata. A causa del limitato metabolismo epatico (5-10 %) è bassa la probabilità di interazioni metaboliche </w:t>
      </w:r>
      <w:r w:rsidR="00D65D03" w:rsidRPr="00C9575C">
        <w:rPr>
          <w:rStyle w:val="PageNumber"/>
          <w:szCs w:val="22"/>
          <w:lang w:val="it-IT"/>
        </w:rPr>
        <w:t>di</w:t>
      </w:r>
      <w:r w:rsidRPr="00C9575C">
        <w:rPr>
          <w:rStyle w:val="PageNumber"/>
          <w:szCs w:val="22"/>
          <w:lang w:val="it-IT"/>
        </w:rPr>
        <w:t xml:space="preserve"> lamivudina con altri medicinali.</w:t>
      </w:r>
    </w:p>
    <w:p w14:paraId="6E4FDD02" w14:textId="77777777" w:rsidR="0084378B" w:rsidRPr="00C9575C" w:rsidRDefault="0084378B">
      <w:pPr>
        <w:widowControl w:val="0"/>
        <w:tabs>
          <w:tab w:val="left" w:pos="567"/>
        </w:tabs>
        <w:rPr>
          <w:rStyle w:val="PageNumber"/>
          <w:szCs w:val="22"/>
          <w:lang w:val="it-IT"/>
        </w:rPr>
      </w:pPr>
    </w:p>
    <w:p w14:paraId="08DE9123" w14:textId="77777777" w:rsidR="0084378B" w:rsidRPr="00C9575C" w:rsidRDefault="0084378B">
      <w:pPr>
        <w:widowControl w:val="0"/>
        <w:tabs>
          <w:tab w:val="left" w:pos="567"/>
        </w:tabs>
        <w:rPr>
          <w:rStyle w:val="PageNumber"/>
          <w:szCs w:val="22"/>
          <w:u w:val="single"/>
          <w:lang w:val="it-IT"/>
        </w:rPr>
      </w:pPr>
      <w:r w:rsidRPr="00C9575C">
        <w:rPr>
          <w:rStyle w:val="PageNumber"/>
          <w:szCs w:val="22"/>
          <w:u w:val="single"/>
          <w:lang w:val="it-IT"/>
        </w:rPr>
        <w:t>Eliminazione</w:t>
      </w:r>
    </w:p>
    <w:p w14:paraId="5D72A57C" w14:textId="77777777" w:rsidR="0084378B" w:rsidRPr="00C9575C" w:rsidRDefault="0084378B">
      <w:pPr>
        <w:widowControl w:val="0"/>
        <w:tabs>
          <w:tab w:val="left" w:pos="567"/>
        </w:tabs>
        <w:rPr>
          <w:rStyle w:val="PageNumber"/>
          <w:i/>
          <w:szCs w:val="22"/>
          <w:u w:val="single"/>
          <w:lang w:val="it-IT"/>
        </w:rPr>
      </w:pPr>
    </w:p>
    <w:p w14:paraId="1243619D" w14:textId="2633E0DB" w:rsidR="0084378B" w:rsidRPr="00C9575C" w:rsidRDefault="0084378B">
      <w:pPr>
        <w:widowControl w:val="0"/>
        <w:tabs>
          <w:tab w:val="left" w:pos="567"/>
        </w:tabs>
        <w:rPr>
          <w:szCs w:val="22"/>
          <w:lang w:val="it-IT"/>
        </w:rPr>
      </w:pPr>
      <w:r w:rsidRPr="00C9575C">
        <w:rPr>
          <w:szCs w:val="22"/>
          <w:lang w:val="it-IT"/>
        </w:rPr>
        <w:t>L’emivita media di abacavir è di circa 1,5</w:t>
      </w:r>
      <w:r w:rsidR="00F52328">
        <w:rPr>
          <w:szCs w:val="22"/>
          <w:lang w:val="it-IT"/>
        </w:rPr>
        <w:t> </w:t>
      </w:r>
      <w:r w:rsidRPr="00C9575C">
        <w:rPr>
          <w:szCs w:val="22"/>
          <w:lang w:val="it-IT"/>
        </w:rPr>
        <w:t xml:space="preserve">ore. Dopo dosi orali multiple di abacavir 300 mg due volte al giorno non vi è significativo accumulo di abacavir. L’eliminazione di abacavir avviene tramite metabolismo epatico con successiva escrezione dei metaboliti principalmente nelle urine. I metaboliti </w:t>
      </w:r>
      <w:r w:rsidR="0084510B" w:rsidRPr="00C9575C">
        <w:rPr>
          <w:szCs w:val="22"/>
          <w:lang w:val="it-IT"/>
        </w:rPr>
        <w:t xml:space="preserve">e </w:t>
      </w:r>
      <w:r w:rsidRPr="00C9575C">
        <w:rPr>
          <w:szCs w:val="22"/>
          <w:lang w:val="it-IT"/>
        </w:rPr>
        <w:t>abacavir immodificato ammontano nelle urine a circa l’83% della dose di abacavir somministrata. La restante porzione è eliminata nelle feci.</w:t>
      </w:r>
    </w:p>
    <w:p w14:paraId="3E04762A" w14:textId="77777777" w:rsidR="0084378B" w:rsidRPr="00C9575C" w:rsidRDefault="0084378B">
      <w:pPr>
        <w:widowControl w:val="0"/>
        <w:tabs>
          <w:tab w:val="left" w:pos="567"/>
        </w:tabs>
        <w:rPr>
          <w:rStyle w:val="PageNumber"/>
          <w:szCs w:val="22"/>
          <w:lang w:val="it-IT"/>
        </w:rPr>
      </w:pPr>
    </w:p>
    <w:p w14:paraId="4C35F097" w14:textId="2F45F05A" w:rsidR="0084378B" w:rsidRPr="00C9575C" w:rsidRDefault="0084378B">
      <w:pPr>
        <w:widowControl w:val="0"/>
        <w:tabs>
          <w:tab w:val="left" w:pos="567"/>
        </w:tabs>
        <w:rPr>
          <w:b/>
          <w:szCs w:val="22"/>
          <w:lang w:val="it-IT"/>
        </w:rPr>
      </w:pPr>
      <w:r w:rsidRPr="00C9575C">
        <w:rPr>
          <w:szCs w:val="22"/>
          <w:lang w:val="it-IT"/>
        </w:rPr>
        <w:t xml:space="preserve">L’emivita </w:t>
      </w:r>
      <w:r w:rsidR="0084510B" w:rsidRPr="00C9575C">
        <w:rPr>
          <w:szCs w:val="22"/>
          <w:lang w:val="it-IT"/>
        </w:rPr>
        <w:t>di eliminazione osservata per</w:t>
      </w:r>
      <w:r w:rsidRPr="00C9575C">
        <w:rPr>
          <w:szCs w:val="22"/>
          <w:lang w:val="it-IT"/>
        </w:rPr>
        <w:t xml:space="preserve"> lamivudina è </w:t>
      </w:r>
      <w:r w:rsidR="00C12AA6">
        <w:rPr>
          <w:szCs w:val="22"/>
          <w:lang w:val="it-IT"/>
        </w:rPr>
        <w:t>da</w:t>
      </w:r>
      <w:r w:rsidR="00C12AA6" w:rsidRPr="00C9575C">
        <w:rPr>
          <w:szCs w:val="22"/>
          <w:lang w:val="it-IT"/>
        </w:rPr>
        <w:t xml:space="preserve"> </w:t>
      </w:r>
      <w:r w:rsidR="00C12AA6">
        <w:rPr>
          <w:szCs w:val="22"/>
          <w:lang w:val="it-IT"/>
        </w:rPr>
        <w:t>18 a 19</w:t>
      </w:r>
      <w:r w:rsidRPr="00C9575C">
        <w:rPr>
          <w:szCs w:val="22"/>
          <w:lang w:val="it-IT"/>
        </w:rPr>
        <w:t xml:space="preserve"> ore. La clearance sistemica media è circa 0,32 litri/ora/kg, per la maggior parte per eliminazione renale (&gt;70%) attraverso il sistema di trasporto dei cationi organici. Gli studi nei pazienti con </w:t>
      </w:r>
      <w:r w:rsidR="00D65D03" w:rsidRPr="00C9575C">
        <w:rPr>
          <w:szCs w:val="22"/>
          <w:lang w:val="it-IT"/>
        </w:rPr>
        <w:t>compromissione</w:t>
      </w:r>
      <w:r w:rsidRPr="00C9575C">
        <w:rPr>
          <w:szCs w:val="22"/>
          <w:lang w:val="it-IT"/>
        </w:rPr>
        <w:t xml:space="preserve"> renale mostrano che l’eliminazione </w:t>
      </w:r>
      <w:r w:rsidR="0084510B" w:rsidRPr="00C9575C">
        <w:rPr>
          <w:szCs w:val="22"/>
          <w:lang w:val="it-IT"/>
        </w:rPr>
        <w:t xml:space="preserve">di </w:t>
      </w:r>
      <w:r w:rsidRPr="00C9575C">
        <w:rPr>
          <w:szCs w:val="22"/>
          <w:lang w:val="it-IT"/>
        </w:rPr>
        <w:t xml:space="preserve">lamivudina è influenzata dalla disfunzione renale. </w:t>
      </w:r>
      <w:r w:rsidR="003054D5" w:rsidRPr="00C9575C">
        <w:rPr>
          <w:szCs w:val="22"/>
          <w:lang w:val="it-IT"/>
        </w:rPr>
        <w:t>L’uso di Kivexa non è raccomandato n</w:t>
      </w:r>
      <w:r w:rsidRPr="00C9575C">
        <w:rPr>
          <w:szCs w:val="22"/>
          <w:lang w:val="it-IT"/>
        </w:rPr>
        <w:t xml:space="preserve">ei pazienti con </w:t>
      </w:r>
      <w:r w:rsidR="003054D5" w:rsidRPr="00C9575C">
        <w:rPr>
          <w:szCs w:val="22"/>
          <w:lang w:val="it-IT"/>
        </w:rPr>
        <w:t xml:space="preserve">una </w:t>
      </w:r>
      <w:r w:rsidRPr="00C9575C">
        <w:rPr>
          <w:szCs w:val="22"/>
          <w:lang w:val="it-IT"/>
        </w:rPr>
        <w:t>clearance della creatinina &lt;</w:t>
      </w:r>
      <w:r w:rsidR="00F52328">
        <w:rPr>
          <w:szCs w:val="22"/>
          <w:lang w:val="it-IT"/>
        </w:rPr>
        <w:t> </w:t>
      </w:r>
      <w:r w:rsidR="006F341F" w:rsidRPr="00C9575C">
        <w:rPr>
          <w:szCs w:val="22"/>
          <w:lang w:val="it-IT"/>
        </w:rPr>
        <w:t>3</w:t>
      </w:r>
      <w:r w:rsidRPr="00C9575C">
        <w:rPr>
          <w:szCs w:val="22"/>
          <w:lang w:val="it-IT"/>
        </w:rPr>
        <w:t>0 m</w:t>
      </w:r>
      <w:r w:rsidR="006F341F" w:rsidRPr="00C9575C">
        <w:rPr>
          <w:szCs w:val="22"/>
          <w:lang w:val="it-IT"/>
        </w:rPr>
        <w:t>L</w:t>
      </w:r>
      <w:r w:rsidRPr="00C9575C">
        <w:rPr>
          <w:szCs w:val="22"/>
          <w:lang w:val="it-IT"/>
        </w:rPr>
        <w:t xml:space="preserve">/min </w:t>
      </w:r>
      <w:r w:rsidR="004F58F4" w:rsidRPr="00C9575C">
        <w:rPr>
          <w:szCs w:val="22"/>
          <w:lang w:val="it-IT"/>
        </w:rPr>
        <w:t>dal momento che</w:t>
      </w:r>
      <w:r w:rsidR="003054D5" w:rsidRPr="00C9575C">
        <w:rPr>
          <w:szCs w:val="22"/>
          <w:lang w:val="it-IT"/>
        </w:rPr>
        <w:t xml:space="preserve"> non può essere fatto </w:t>
      </w:r>
      <w:r w:rsidR="006269CE" w:rsidRPr="00C9575C">
        <w:rPr>
          <w:szCs w:val="22"/>
          <w:lang w:val="it-IT"/>
        </w:rPr>
        <w:t>il</w:t>
      </w:r>
      <w:r w:rsidR="003054D5" w:rsidRPr="00C9575C">
        <w:rPr>
          <w:szCs w:val="22"/>
          <w:lang w:val="it-IT"/>
        </w:rPr>
        <w:t xml:space="preserve"> </w:t>
      </w:r>
      <w:r w:rsidR="008015AC" w:rsidRPr="00C9575C">
        <w:rPr>
          <w:szCs w:val="22"/>
          <w:lang w:val="it-IT"/>
        </w:rPr>
        <w:t xml:space="preserve">necessario </w:t>
      </w:r>
      <w:r w:rsidR="003054D5" w:rsidRPr="00C9575C">
        <w:rPr>
          <w:szCs w:val="22"/>
          <w:lang w:val="it-IT"/>
        </w:rPr>
        <w:t xml:space="preserve">aggiustamento </w:t>
      </w:r>
      <w:r w:rsidRPr="00C9575C">
        <w:rPr>
          <w:szCs w:val="22"/>
          <w:lang w:val="it-IT"/>
        </w:rPr>
        <w:t>della dose (vedere paragrafo 4.2).</w:t>
      </w:r>
    </w:p>
    <w:p w14:paraId="4C5BA7B2" w14:textId="77777777" w:rsidR="00332E7B" w:rsidRPr="00C9575C" w:rsidRDefault="00332E7B">
      <w:pPr>
        <w:keepNext/>
        <w:keepLines/>
        <w:widowControl w:val="0"/>
        <w:tabs>
          <w:tab w:val="left" w:pos="567"/>
        </w:tabs>
        <w:rPr>
          <w:rStyle w:val="PageNumber"/>
          <w:szCs w:val="22"/>
          <w:u w:val="single"/>
          <w:lang w:val="it-IT"/>
        </w:rPr>
      </w:pPr>
    </w:p>
    <w:p w14:paraId="733D4582" w14:textId="77777777" w:rsidR="0084378B" w:rsidRPr="00C9575C" w:rsidRDefault="0084378B">
      <w:pPr>
        <w:keepNext/>
        <w:keepLines/>
        <w:widowControl w:val="0"/>
        <w:tabs>
          <w:tab w:val="left" w:pos="567"/>
        </w:tabs>
        <w:rPr>
          <w:rStyle w:val="PageNumber"/>
          <w:szCs w:val="22"/>
          <w:u w:val="single"/>
          <w:lang w:val="it-IT"/>
        </w:rPr>
      </w:pPr>
      <w:r w:rsidRPr="00C9575C">
        <w:rPr>
          <w:rStyle w:val="PageNumber"/>
          <w:szCs w:val="22"/>
          <w:u w:val="single"/>
          <w:lang w:val="it-IT"/>
        </w:rPr>
        <w:t>Farmacocinetica intracellulare</w:t>
      </w:r>
    </w:p>
    <w:p w14:paraId="10A07102" w14:textId="77777777" w:rsidR="0084378B" w:rsidRPr="00C9575C" w:rsidRDefault="0084378B">
      <w:pPr>
        <w:keepNext/>
        <w:keepLines/>
        <w:widowControl w:val="0"/>
        <w:tabs>
          <w:tab w:val="left" w:pos="567"/>
        </w:tabs>
        <w:rPr>
          <w:rStyle w:val="PageNumber"/>
          <w:szCs w:val="22"/>
          <w:lang w:val="it-IT"/>
        </w:rPr>
      </w:pPr>
    </w:p>
    <w:p w14:paraId="761C190A" w14:textId="77777777" w:rsidR="0084378B" w:rsidRPr="00C9575C" w:rsidRDefault="00037A93">
      <w:pPr>
        <w:keepNext/>
        <w:keepLines/>
        <w:widowControl w:val="0"/>
        <w:tabs>
          <w:tab w:val="left" w:pos="567"/>
        </w:tabs>
        <w:rPr>
          <w:rStyle w:val="PageNumber"/>
          <w:szCs w:val="22"/>
          <w:lang w:val="it-IT"/>
        </w:rPr>
      </w:pPr>
      <w:r w:rsidRPr="00C9575C">
        <w:rPr>
          <w:rStyle w:val="PageNumber"/>
          <w:szCs w:val="22"/>
          <w:lang w:val="it-IT"/>
        </w:rPr>
        <w:t>In uno studio su 20 </w:t>
      </w:r>
      <w:r w:rsidR="0084378B" w:rsidRPr="00C9575C">
        <w:rPr>
          <w:rStyle w:val="PageNumber"/>
          <w:szCs w:val="22"/>
          <w:lang w:val="it-IT"/>
        </w:rPr>
        <w:t>pazienti con infezione da</w:t>
      </w:r>
      <w:r w:rsidR="0084510B" w:rsidRPr="00C9575C">
        <w:rPr>
          <w:rStyle w:val="PageNumber"/>
          <w:szCs w:val="22"/>
          <w:lang w:val="it-IT"/>
        </w:rPr>
        <w:t xml:space="preserve"> HIV, trattati con abacavir 300 </w:t>
      </w:r>
      <w:r w:rsidR="0084378B" w:rsidRPr="00C9575C">
        <w:rPr>
          <w:rStyle w:val="PageNumber"/>
          <w:szCs w:val="22"/>
          <w:lang w:val="it-IT"/>
        </w:rPr>
        <w:t>mg due volte al giorno,</w:t>
      </w:r>
    </w:p>
    <w:p w14:paraId="2EF98121" w14:textId="56A82473" w:rsidR="0084378B" w:rsidRPr="00C9575C" w:rsidRDefault="0084378B">
      <w:pPr>
        <w:keepNext/>
        <w:keepLines/>
        <w:widowControl w:val="0"/>
        <w:tabs>
          <w:tab w:val="left" w:pos="567"/>
        </w:tabs>
        <w:rPr>
          <w:szCs w:val="22"/>
          <w:lang w:val="it-IT"/>
        </w:rPr>
      </w:pPr>
      <w:r w:rsidRPr="00C9575C">
        <w:rPr>
          <w:szCs w:val="22"/>
          <w:lang w:val="it-IT"/>
        </w:rPr>
        <w:t>con solo una dose da</w:t>
      </w:r>
      <w:r w:rsidR="0084510B" w:rsidRPr="00C9575C">
        <w:rPr>
          <w:szCs w:val="22"/>
          <w:lang w:val="it-IT"/>
        </w:rPr>
        <w:t xml:space="preserve"> 300 </w:t>
      </w:r>
      <w:r w:rsidRPr="00C9575C">
        <w:rPr>
          <w:szCs w:val="22"/>
          <w:lang w:val="it-IT"/>
        </w:rPr>
        <w:t>mg assunta 24</w:t>
      </w:r>
      <w:r w:rsidR="00F52328">
        <w:rPr>
          <w:szCs w:val="22"/>
          <w:lang w:val="it-IT"/>
        </w:rPr>
        <w:t> </w:t>
      </w:r>
      <w:r w:rsidRPr="00C9575C">
        <w:rPr>
          <w:szCs w:val="22"/>
          <w:lang w:val="it-IT"/>
        </w:rPr>
        <w:t xml:space="preserve">ore prima del periodo di prelievo, la media geometrica dell’emivita finale del carbovir-TP intracellulare </w:t>
      </w:r>
      <w:r w:rsidR="0084510B" w:rsidRPr="00C9575C">
        <w:rPr>
          <w:szCs w:val="22"/>
          <w:lang w:val="it-IT"/>
        </w:rPr>
        <w:t>allo steady-state è stata di 20,</w:t>
      </w:r>
      <w:r w:rsidRPr="00C9575C">
        <w:rPr>
          <w:szCs w:val="22"/>
          <w:lang w:val="it-IT"/>
        </w:rPr>
        <w:t>6</w:t>
      </w:r>
      <w:r w:rsidR="00F52328">
        <w:rPr>
          <w:szCs w:val="22"/>
          <w:lang w:val="it-IT"/>
        </w:rPr>
        <w:t> </w:t>
      </w:r>
      <w:r w:rsidRPr="00C9575C">
        <w:rPr>
          <w:szCs w:val="22"/>
          <w:lang w:val="it-IT"/>
        </w:rPr>
        <w:t>ore rispetto alla media geometrica dell’emivita plasmatica di</w:t>
      </w:r>
      <w:r w:rsidR="0084510B" w:rsidRPr="00C9575C">
        <w:rPr>
          <w:szCs w:val="22"/>
          <w:lang w:val="it-IT"/>
        </w:rPr>
        <w:t xml:space="preserve"> abacavir in questo studio di 2,</w:t>
      </w:r>
      <w:r w:rsidR="00037A93" w:rsidRPr="00C9575C">
        <w:rPr>
          <w:szCs w:val="22"/>
          <w:lang w:val="it-IT"/>
        </w:rPr>
        <w:t>6 </w:t>
      </w:r>
      <w:r w:rsidRPr="00C9575C">
        <w:rPr>
          <w:szCs w:val="22"/>
          <w:lang w:val="it-IT"/>
        </w:rPr>
        <w:t xml:space="preserve">ore. </w:t>
      </w:r>
      <w:r w:rsidRPr="00C9575C">
        <w:rPr>
          <w:lang w:val="it-IT"/>
        </w:rPr>
        <w:t>In uno studio crossover su 27</w:t>
      </w:r>
      <w:r w:rsidR="00F52328">
        <w:rPr>
          <w:lang w:val="it-IT"/>
        </w:rPr>
        <w:t> </w:t>
      </w:r>
      <w:r w:rsidRPr="00C9575C">
        <w:rPr>
          <w:lang w:val="it-IT"/>
        </w:rPr>
        <w:t>pazienti con infezione da HIV, le esposizioni a carbovir-TP-intracellulare sono state maggiori con il regime terapeutico di abacavir 600</w:t>
      </w:r>
      <w:r w:rsidR="0084510B" w:rsidRPr="00C9575C">
        <w:rPr>
          <w:lang w:val="it-IT"/>
        </w:rPr>
        <w:t> </w:t>
      </w:r>
      <w:r w:rsidRPr="00C9575C">
        <w:rPr>
          <w:lang w:val="it-IT"/>
        </w:rPr>
        <w:t xml:space="preserve">mg una volta al giorno </w:t>
      </w:r>
      <w:r w:rsidRPr="00C9575C">
        <w:rPr>
          <w:color w:val="000000"/>
          <w:lang w:val="it-IT"/>
        </w:rPr>
        <w:t>(AUC</w:t>
      </w:r>
      <w:r w:rsidRPr="00C9575C">
        <w:rPr>
          <w:color w:val="000000"/>
          <w:vertAlign w:val="subscript"/>
          <w:lang w:val="it-IT"/>
        </w:rPr>
        <w:t xml:space="preserve">24,ss </w:t>
      </w:r>
      <w:r w:rsidRPr="00C9575C">
        <w:rPr>
          <w:color w:val="000000"/>
          <w:lang w:val="it-IT"/>
        </w:rPr>
        <w:t>+ 32 %, C</w:t>
      </w:r>
      <w:r w:rsidRPr="00C9575C">
        <w:rPr>
          <w:color w:val="000000"/>
          <w:vertAlign w:val="subscript"/>
          <w:lang w:val="it-IT"/>
        </w:rPr>
        <w:t xml:space="preserve">max24,ss </w:t>
      </w:r>
      <w:r w:rsidRPr="00C9575C">
        <w:rPr>
          <w:color w:val="000000"/>
          <w:lang w:val="it-IT"/>
        </w:rPr>
        <w:t>+ 99 % e C</w:t>
      </w:r>
      <w:r w:rsidRPr="00C9575C">
        <w:rPr>
          <w:color w:val="000000"/>
          <w:vertAlign w:val="subscript"/>
          <w:lang w:val="it-IT"/>
        </w:rPr>
        <w:t>trough</w:t>
      </w:r>
      <w:r w:rsidRPr="00C9575C">
        <w:rPr>
          <w:color w:val="000000"/>
          <w:lang w:val="it-IT"/>
        </w:rPr>
        <w:t xml:space="preserve"> + 18 %) rispetto al reg</w:t>
      </w:r>
      <w:r w:rsidR="0084510B" w:rsidRPr="00C9575C">
        <w:rPr>
          <w:color w:val="000000"/>
          <w:lang w:val="it-IT"/>
        </w:rPr>
        <w:t>ime terapeutico di abacavir 300 </w:t>
      </w:r>
      <w:r w:rsidRPr="00C9575C">
        <w:rPr>
          <w:color w:val="000000"/>
          <w:lang w:val="it-IT"/>
        </w:rPr>
        <w:t>mg due volte al giorno.</w:t>
      </w:r>
      <w:r w:rsidRPr="00C9575C">
        <w:rPr>
          <w:szCs w:val="22"/>
          <w:lang w:val="it-IT"/>
        </w:rPr>
        <w:t xml:space="preserve"> Per i pazie</w:t>
      </w:r>
      <w:r w:rsidR="0084510B" w:rsidRPr="00C9575C">
        <w:rPr>
          <w:szCs w:val="22"/>
          <w:lang w:val="it-IT"/>
        </w:rPr>
        <w:t>nti trattati con lamivudina 300 </w:t>
      </w:r>
      <w:r w:rsidRPr="00C9575C">
        <w:rPr>
          <w:szCs w:val="22"/>
          <w:lang w:val="it-IT"/>
        </w:rPr>
        <w:t xml:space="preserve">mg una volta al giorno l’emivita finale intracellulare </w:t>
      </w:r>
      <w:r w:rsidR="0084510B" w:rsidRPr="00C9575C">
        <w:rPr>
          <w:szCs w:val="22"/>
          <w:lang w:val="it-IT"/>
        </w:rPr>
        <w:t>di</w:t>
      </w:r>
      <w:r w:rsidRPr="00C9575C">
        <w:rPr>
          <w:szCs w:val="22"/>
          <w:lang w:val="it-IT"/>
        </w:rPr>
        <w:t xml:space="preserve"> lamivudina-TP</w:t>
      </w:r>
      <w:r w:rsidR="00C12AA6">
        <w:rPr>
          <w:szCs w:val="22"/>
          <w:lang w:val="it-IT"/>
        </w:rPr>
        <w:t xml:space="preserve"> e </w:t>
      </w:r>
      <w:r w:rsidRPr="00C9575C">
        <w:rPr>
          <w:szCs w:val="22"/>
          <w:lang w:val="it-IT"/>
        </w:rPr>
        <w:t xml:space="preserve">l’emivita plasmatica </w:t>
      </w:r>
      <w:r w:rsidR="0084510B" w:rsidRPr="00C9575C">
        <w:rPr>
          <w:szCs w:val="22"/>
          <w:lang w:val="it-IT"/>
        </w:rPr>
        <w:t>di</w:t>
      </w:r>
      <w:r w:rsidRPr="00C9575C">
        <w:rPr>
          <w:szCs w:val="22"/>
          <w:lang w:val="it-IT"/>
        </w:rPr>
        <w:t xml:space="preserve"> lamivudina </w:t>
      </w:r>
      <w:r w:rsidR="00C12AA6">
        <w:rPr>
          <w:szCs w:val="22"/>
          <w:lang w:val="it-IT"/>
        </w:rPr>
        <w:t>erano simili (16-19 ore e 18-19 ore, rispettivamente)</w:t>
      </w:r>
      <w:r w:rsidRPr="00C9575C">
        <w:rPr>
          <w:szCs w:val="22"/>
          <w:lang w:val="it-IT"/>
        </w:rPr>
        <w:t xml:space="preserve">. </w:t>
      </w:r>
      <w:r w:rsidR="0084510B" w:rsidRPr="00C9575C">
        <w:rPr>
          <w:lang w:val="it-IT"/>
        </w:rPr>
        <w:t>In uno studio crossover su 60 </w:t>
      </w:r>
      <w:r w:rsidRPr="00C9575C">
        <w:rPr>
          <w:lang w:val="it-IT"/>
        </w:rPr>
        <w:t>volontari sani, i parametri farmacocinetici di lamivudina-TP intracellulare sono stati simili (</w:t>
      </w:r>
      <w:r w:rsidRPr="00C9575C">
        <w:rPr>
          <w:color w:val="000000"/>
          <w:lang w:val="it-IT"/>
        </w:rPr>
        <w:t>AUC</w:t>
      </w:r>
      <w:r w:rsidRPr="00C9575C">
        <w:rPr>
          <w:color w:val="000000"/>
          <w:szCs w:val="22"/>
          <w:vertAlign w:val="subscript"/>
          <w:lang w:val="it-IT"/>
        </w:rPr>
        <w:t xml:space="preserve">24,ss </w:t>
      </w:r>
      <w:r w:rsidRPr="00C9575C">
        <w:rPr>
          <w:color w:val="000000"/>
          <w:lang w:val="it-IT"/>
        </w:rPr>
        <w:t xml:space="preserve"> e C</w:t>
      </w:r>
      <w:r w:rsidRPr="00C9575C">
        <w:rPr>
          <w:color w:val="000000"/>
          <w:szCs w:val="22"/>
          <w:vertAlign w:val="subscript"/>
          <w:lang w:val="it-IT"/>
        </w:rPr>
        <w:t>max24,ss</w:t>
      </w:r>
      <w:r w:rsidRPr="00C9575C">
        <w:rPr>
          <w:color w:val="000000"/>
          <w:lang w:val="it-IT"/>
        </w:rPr>
        <w:t xml:space="preserve"> ) o inferiori (C</w:t>
      </w:r>
      <w:r w:rsidRPr="00C9575C">
        <w:rPr>
          <w:color w:val="000000"/>
          <w:vertAlign w:val="subscript"/>
          <w:lang w:val="it-IT"/>
        </w:rPr>
        <w:t>trough</w:t>
      </w:r>
      <w:r w:rsidRPr="00C9575C">
        <w:rPr>
          <w:color w:val="000000"/>
          <w:lang w:val="it-IT"/>
        </w:rPr>
        <w:t xml:space="preserve"> - 24 %) con il regim</w:t>
      </w:r>
      <w:r w:rsidR="0084510B" w:rsidRPr="00C9575C">
        <w:rPr>
          <w:color w:val="000000"/>
          <w:lang w:val="it-IT"/>
        </w:rPr>
        <w:t>e terapeutico di lamivudina 300 </w:t>
      </w:r>
      <w:r w:rsidRPr="00C9575C">
        <w:rPr>
          <w:color w:val="000000"/>
          <w:lang w:val="it-IT"/>
        </w:rPr>
        <w:t>mg una volta al giorno rispetto al regim</w:t>
      </w:r>
      <w:r w:rsidR="0084510B" w:rsidRPr="00C9575C">
        <w:rPr>
          <w:color w:val="000000"/>
          <w:lang w:val="it-IT"/>
        </w:rPr>
        <w:t>e terapeutico di lamivudina 150 </w:t>
      </w:r>
      <w:r w:rsidRPr="00C9575C">
        <w:rPr>
          <w:color w:val="000000"/>
          <w:lang w:val="it-IT"/>
        </w:rPr>
        <w:t>mg due volte al giorno.</w:t>
      </w:r>
      <w:r w:rsidRPr="00C9575C">
        <w:rPr>
          <w:lang w:val="it-IT"/>
        </w:rPr>
        <w:t xml:space="preserve"> Complessivamente q</w:t>
      </w:r>
      <w:r w:rsidRPr="00C9575C">
        <w:rPr>
          <w:szCs w:val="22"/>
          <w:lang w:val="it-IT"/>
        </w:rPr>
        <w:t>uesti dati support</w:t>
      </w:r>
      <w:r w:rsidR="0084510B" w:rsidRPr="00C9575C">
        <w:rPr>
          <w:szCs w:val="22"/>
          <w:lang w:val="it-IT"/>
        </w:rPr>
        <w:t>ano l’impiego di lamivudina 300 mg e abacavir 600 </w:t>
      </w:r>
      <w:r w:rsidRPr="00C9575C">
        <w:rPr>
          <w:szCs w:val="22"/>
          <w:lang w:val="it-IT"/>
        </w:rPr>
        <w:t>mg una volta al giorno per il trattamento dei pazienti con infezione da HIV. Inoltre, l’efficacia e la sicurezza di questa associazione somministrata una volta al giorno, è stata dimostrata in uno studio clinico pivotal (</w:t>
      </w:r>
      <w:smartTag w:uri="urn:schemas-microsoft-com:office:smarttags" w:element="stockticker">
        <w:r w:rsidRPr="00C9575C">
          <w:rPr>
            <w:szCs w:val="22"/>
            <w:lang w:val="it-IT"/>
          </w:rPr>
          <w:t>CNA</w:t>
        </w:r>
      </w:smartTag>
      <w:r w:rsidRPr="00C9575C">
        <w:rPr>
          <w:szCs w:val="22"/>
          <w:lang w:val="it-IT"/>
        </w:rPr>
        <w:t xml:space="preserve">30021 </w:t>
      </w:r>
      <w:r w:rsidR="00D8730E" w:rsidRPr="00C9575C">
        <w:rPr>
          <w:szCs w:val="22"/>
          <w:lang w:val="it-IT"/>
        </w:rPr>
        <w:t>vedere</w:t>
      </w:r>
      <w:r w:rsidRPr="00C9575C">
        <w:rPr>
          <w:szCs w:val="22"/>
          <w:lang w:val="it-IT"/>
        </w:rPr>
        <w:t xml:space="preserve"> </w:t>
      </w:r>
      <w:r w:rsidR="00705BA4" w:rsidRPr="00C9575C">
        <w:rPr>
          <w:szCs w:val="22"/>
          <w:lang w:val="it-IT"/>
        </w:rPr>
        <w:t xml:space="preserve">paragrafo </w:t>
      </w:r>
      <w:r w:rsidRPr="00C9575C">
        <w:rPr>
          <w:szCs w:val="22"/>
          <w:lang w:val="it-IT"/>
        </w:rPr>
        <w:t>Esperienza clinica).</w:t>
      </w:r>
    </w:p>
    <w:p w14:paraId="34DBA96E" w14:textId="77777777" w:rsidR="0084378B" w:rsidRPr="00C9575C" w:rsidRDefault="0084378B">
      <w:pPr>
        <w:widowControl w:val="0"/>
        <w:tabs>
          <w:tab w:val="left" w:pos="567"/>
        </w:tabs>
        <w:rPr>
          <w:szCs w:val="22"/>
          <w:lang w:val="it-IT"/>
        </w:rPr>
      </w:pPr>
    </w:p>
    <w:p w14:paraId="69FF9DA7" w14:textId="77777777" w:rsidR="0084378B" w:rsidRPr="00C9575C" w:rsidRDefault="0084378B">
      <w:pPr>
        <w:widowControl w:val="0"/>
        <w:tabs>
          <w:tab w:val="left" w:pos="567"/>
        </w:tabs>
        <w:rPr>
          <w:szCs w:val="22"/>
          <w:u w:val="single"/>
          <w:lang w:val="it-IT"/>
        </w:rPr>
      </w:pPr>
      <w:r w:rsidRPr="00C9575C">
        <w:rPr>
          <w:szCs w:val="22"/>
          <w:u w:val="single"/>
          <w:lang w:val="it-IT"/>
        </w:rPr>
        <w:t>Popolazioni speciali</w:t>
      </w:r>
      <w:r w:rsidR="00B90200" w:rsidRPr="00C9575C">
        <w:rPr>
          <w:szCs w:val="22"/>
          <w:u w:val="single"/>
          <w:lang w:val="it-IT"/>
        </w:rPr>
        <w:t xml:space="preserve"> di pazienti</w:t>
      </w:r>
    </w:p>
    <w:p w14:paraId="0E4FEE75" w14:textId="77777777" w:rsidR="0084378B" w:rsidRPr="00C9575C" w:rsidRDefault="0084378B">
      <w:pPr>
        <w:widowControl w:val="0"/>
        <w:tabs>
          <w:tab w:val="left" w:pos="567"/>
        </w:tabs>
        <w:rPr>
          <w:i/>
          <w:szCs w:val="22"/>
          <w:u w:val="single"/>
          <w:lang w:val="it-IT"/>
        </w:rPr>
      </w:pPr>
    </w:p>
    <w:p w14:paraId="2B7BA95D" w14:textId="77777777" w:rsidR="009F49F2" w:rsidRPr="00C9575C" w:rsidRDefault="009F49F2" w:rsidP="009F49F2">
      <w:pPr>
        <w:widowControl w:val="0"/>
        <w:tabs>
          <w:tab w:val="left" w:pos="567"/>
        </w:tabs>
        <w:rPr>
          <w:i/>
          <w:szCs w:val="22"/>
          <w:lang w:val="it-IT"/>
        </w:rPr>
      </w:pPr>
      <w:r w:rsidRPr="00C9575C">
        <w:rPr>
          <w:i/>
          <w:szCs w:val="22"/>
          <w:lang w:val="it-IT"/>
        </w:rPr>
        <w:t>Compromissione epatica</w:t>
      </w:r>
    </w:p>
    <w:p w14:paraId="73FD0885" w14:textId="77777777" w:rsidR="0084378B" w:rsidRPr="00C9575C" w:rsidRDefault="0084378B">
      <w:pPr>
        <w:widowControl w:val="0"/>
        <w:tabs>
          <w:tab w:val="left" w:pos="567"/>
        </w:tabs>
        <w:rPr>
          <w:szCs w:val="22"/>
          <w:lang w:val="it-IT"/>
        </w:rPr>
      </w:pPr>
      <w:r w:rsidRPr="00C9575C">
        <w:rPr>
          <w:szCs w:val="22"/>
          <w:lang w:val="it-IT"/>
        </w:rPr>
        <w:t xml:space="preserve">I dati di farmacocinetica sono stati ottenuti da abacavir e lamivudina </w:t>
      </w:r>
      <w:r w:rsidR="00F716BC" w:rsidRPr="00C9575C">
        <w:rPr>
          <w:szCs w:val="22"/>
          <w:lang w:val="it-IT"/>
        </w:rPr>
        <w:t>separatamente</w:t>
      </w:r>
      <w:r w:rsidRPr="00C9575C">
        <w:rPr>
          <w:szCs w:val="22"/>
          <w:lang w:val="it-IT"/>
        </w:rPr>
        <w:t>.</w:t>
      </w:r>
    </w:p>
    <w:p w14:paraId="4D3CC62F" w14:textId="77777777" w:rsidR="0084378B" w:rsidRPr="00C9575C" w:rsidRDefault="0084378B">
      <w:pPr>
        <w:widowControl w:val="0"/>
        <w:tabs>
          <w:tab w:val="left" w:pos="567"/>
        </w:tabs>
        <w:rPr>
          <w:szCs w:val="22"/>
          <w:lang w:val="it-IT"/>
        </w:rPr>
      </w:pPr>
    </w:p>
    <w:p w14:paraId="2F8BDA42" w14:textId="5C0D671B" w:rsidR="0084378B" w:rsidRPr="00C9575C" w:rsidRDefault="0084378B">
      <w:pPr>
        <w:widowControl w:val="0"/>
        <w:rPr>
          <w:snapToGrid w:val="0"/>
          <w:szCs w:val="22"/>
          <w:lang w:val="it-IT"/>
        </w:rPr>
      </w:pPr>
      <w:r w:rsidRPr="00C9575C">
        <w:rPr>
          <w:szCs w:val="22"/>
          <w:lang w:val="it-IT"/>
        </w:rPr>
        <w:t xml:space="preserve">Abacavir è metabolizzato principalmente dal fegato. </w:t>
      </w:r>
      <w:r w:rsidRPr="00C9575C">
        <w:rPr>
          <w:snapToGrid w:val="0"/>
          <w:szCs w:val="22"/>
          <w:lang w:val="it-IT"/>
        </w:rPr>
        <w:t>La farmacocinetica di abacavir è stata studiata nei pazienti con lieve compromissione epatica (Child-Pugh score 5-6) trattati con una singola dose di 600 mg</w:t>
      </w:r>
      <w:r w:rsidR="00F716BC" w:rsidRPr="00C9575C">
        <w:rPr>
          <w:snapToGrid w:val="0"/>
          <w:szCs w:val="22"/>
          <w:lang w:val="it-IT"/>
        </w:rPr>
        <w:t xml:space="preserve">, </w:t>
      </w:r>
      <w:r w:rsidR="00F716BC" w:rsidRPr="00C9575C">
        <w:rPr>
          <w:snapToGrid w:val="0"/>
          <w:lang w:val="it-IT"/>
        </w:rPr>
        <w:t>la mediana (intervallo) dei valori di AUC è stata di 24,1 (da 10,4 a 54,8)</w:t>
      </w:r>
      <w:ins w:id="7" w:author="Author" w:date="2025-10-17T03:26:00Z" w16du:dateUtc="2025-10-17T01:26:00Z">
        <w:r w:rsidR="00AB2069">
          <w:rPr>
            <w:color w:val="000000"/>
            <w:szCs w:val="22"/>
            <w:lang w:val="it-IT" w:eastAsia="en-GB"/>
          </w:rPr>
          <w:t> </w:t>
        </w:r>
      </w:ins>
      <w:del w:id="8" w:author="Author" w:date="2025-10-17T03:26:00Z" w16du:dateUtc="2025-10-17T01:26:00Z">
        <w:r w:rsidR="00F716BC" w:rsidRPr="00C9575C" w:rsidDel="00AB2069">
          <w:rPr>
            <w:color w:val="000000"/>
            <w:szCs w:val="22"/>
            <w:lang w:val="it-IT" w:eastAsia="en-GB"/>
          </w:rPr>
          <w:delText xml:space="preserve"> </w:delText>
        </w:r>
      </w:del>
      <w:r w:rsidR="005175C2" w:rsidRPr="00C03451">
        <w:rPr>
          <w:color w:val="000000"/>
          <w:szCs w:val="22"/>
          <w:lang w:val="it-IT" w:eastAsia="en-GB"/>
        </w:rPr>
        <w:t>µ</w:t>
      </w:r>
      <w:r w:rsidR="00F716BC" w:rsidRPr="00C9575C">
        <w:rPr>
          <w:color w:val="000000"/>
          <w:szCs w:val="22"/>
          <w:lang w:val="it-IT" w:eastAsia="en-GB"/>
        </w:rPr>
        <w:t>g.ora/m</w:t>
      </w:r>
      <w:r w:rsidR="006F341F" w:rsidRPr="00C9575C">
        <w:rPr>
          <w:color w:val="1F497D"/>
          <w:szCs w:val="22"/>
          <w:lang w:val="it-IT" w:eastAsia="en-GB"/>
        </w:rPr>
        <w:t>L</w:t>
      </w:r>
      <w:r w:rsidRPr="00C9575C">
        <w:rPr>
          <w:snapToGrid w:val="0"/>
          <w:szCs w:val="22"/>
          <w:lang w:val="it-IT"/>
        </w:rPr>
        <w:t>. I risultati mostravano che vi era un</w:t>
      </w:r>
      <w:r w:rsidR="009D2609" w:rsidRPr="00C9575C">
        <w:rPr>
          <w:snapToGrid w:val="0"/>
          <w:szCs w:val="22"/>
          <w:lang w:val="it-IT"/>
        </w:rPr>
        <w:t xml:space="preserve"> aumento medio</w:t>
      </w:r>
      <w:r w:rsidR="00F716BC" w:rsidRPr="00C9575C">
        <w:rPr>
          <w:snapToGrid w:val="0"/>
          <w:szCs w:val="22"/>
          <w:lang w:val="it-IT"/>
        </w:rPr>
        <w:t xml:space="preserve"> </w:t>
      </w:r>
      <w:r w:rsidR="00F716BC" w:rsidRPr="00C9575C">
        <w:rPr>
          <w:color w:val="000000"/>
          <w:szCs w:val="22"/>
          <w:lang w:val="it-IT" w:eastAsia="en-GB"/>
        </w:rPr>
        <w:t>(90%</w:t>
      </w:r>
      <w:r w:rsidR="00037A93" w:rsidRPr="00C9575C">
        <w:rPr>
          <w:color w:val="000000"/>
          <w:szCs w:val="22"/>
          <w:lang w:val="it-IT" w:eastAsia="en-GB"/>
        </w:rPr>
        <w:t xml:space="preserve"> </w:t>
      </w:r>
      <w:r w:rsidR="00F716BC" w:rsidRPr="00C9575C">
        <w:rPr>
          <w:color w:val="000000"/>
          <w:szCs w:val="22"/>
          <w:lang w:val="it-IT" w:eastAsia="en-GB"/>
        </w:rPr>
        <w:t>CI)</w:t>
      </w:r>
      <w:r w:rsidR="009208B7" w:rsidRPr="00C9575C">
        <w:rPr>
          <w:snapToGrid w:val="0"/>
          <w:szCs w:val="22"/>
          <w:lang w:val="it-IT"/>
        </w:rPr>
        <w:t xml:space="preserve"> di 1,</w:t>
      </w:r>
      <w:r w:rsidR="009D2609" w:rsidRPr="00C9575C">
        <w:rPr>
          <w:snapToGrid w:val="0"/>
          <w:szCs w:val="22"/>
          <w:lang w:val="it-IT"/>
        </w:rPr>
        <w:t>89 volte [1,</w:t>
      </w:r>
      <w:r w:rsidRPr="00C9575C">
        <w:rPr>
          <w:snapToGrid w:val="0"/>
          <w:szCs w:val="22"/>
          <w:lang w:val="it-IT"/>
        </w:rPr>
        <w:t>32; 2</w:t>
      </w:r>
      <w:r w:rsidR="009D2609" w:rsidRPr="00C9575C">
        <w:rPr>
          <w:snapToGrid w:val="0"/>
          <w:szCs w:val="22"/>
          <w:lang w:val="it-IT"/>
        </w:rPr>
        <w:t>,</w:t>
      </w:r>
      <w:r w:rsidRPr="00C9575C">
        <w:rPr>
          <w:snapToGrid w:val="0"/>
          <w:szCs w:val="22"/>
          <w:lang w:val="it-IT"/>
        </w:rPr>
        <w:t>70</w:t>
      </w:r>
      <w:r w:rsidR="009D2609" w:rsidRPr="00C9575C">
        <w:rPr>
          <w:snapToGrid w:val="0"/>
          <w:szCs w:val="22"/>
          <w:lang w:val="it-IT"/>
        </w:rPr>
        <w:t>] nella AUC di abacavir, e di 1,58 volte [1,22; 2,</w:t>
      </w:r>
      <w:r w:rsidRPr="00C9575C">
        <w:rPr>
          <w:snapToGrid w:val="0"/>
          <w:szCs w:val="22"/>
          <w:lang w:val="it-IT"/>
        </w:rPr>
        <w:t xml:space="preserve">04] nell’emivita di eliminazione. Non è possibile alcuna raccomandazione </w:t>
      </w:r>
      <w:r w:rsidR="00F716BC" w:rsidRPr="00C9575C">
        <w:rPr>
          <w:snapToGrid w:val="0"/>
          <w:szCs w:val="22"/>
          <w:lang w:val="it-IT"/>
        </w:rPr>
        <w:t xml:space="preserve">definitiva </w:t>
      </w:r>
      <w:r w:rsidRPr="00C9575C">
        <w:rPr>
          <w:snapToGrid w:val="0"/>
          <w:szCs w:val="22"/>
          <w:lang w:val="it-IT"/>
        </w:rPr>
        <w:t xml:space="preserve">sulla riduzione della dose nei pazienti con </w:t>
      </w:r>
      <w:r w:rsidR="00227F80" w:rsidRPr="00C9575C">
        <w:rPr>
          <w:snapToGrid w:val="0"/>
          <w:szCs w:val="22"/>
          <w:lang w:val="it-IT"/>
        </w:rPr>
        <w:t xml:space="preserve">compromissione </w:t>
      </w:r>
      <w:r w:rsidRPr="00C9575C">
        <w:rPr>
          <w:snapToGrid w:val="0"/>
          <w:szCs w:val="22"/>
          <w:lang w:val="it-IT"/>
        </w:rPr>
        <w:t xml:space="preserve">epatica lieve a causa della </w:t>
      </w:r>
      <w:r w:rsidRPr="00C9575C">
        <w:rPr>
          <w:szCs w:val="22"/>
          <w:lang w:val="it-IT"/>
        </w:rPr>
        <w:t>considerevole variabilità dell’esposizione ad abacavir.</w:t>
      </w:r>
    </w:p>
    <w:p w14:paraId="2340E002" w14:textId="77777777" w:rsidR="0084378B" w:rsidRPr="00C9575C" w:rsidRDefault="0084378B">
      <w:pPr>
        <w:widowControl w:val="0"/>
        <w:tabs>
          <w:tab w:val="left" w:pos="567"/>
        </w:tabs>
        <w:rPr>
          <w:szCs w:val="22"/>
          <w:lang w:val="it-IT"/>
        </w:rPr>
      </w:pPr>
    </w:p>
    <w:p w14:paraId="0ADE71E4" w14:textId="77777777" w:rsidR="0084378B" w:rsidRPr="00C9575C" w:rsidRDefault="0084378B">
      <w:pPr>
        <w:widowControl w:val="0"/>
        <w:tabs>
          <w:tab w:val="left" w:pos="567"/>
        </w:tabs>
        <w:rPr>
          <w:szCs w:val="22"/>
          <w:lang w:val="it-IT"/>
        </w:rPr>
      </w:pPr>
      <w:r w:rsidRPr="00C9575C">
        <w:rPr>
          <w:szCs w:val="22"/>
          <w:lang w:val="it-IT"/>
        </w:rPr>
        <w:t xml:space="preserve">I dati ottenuti dai pazienti con </w:t>
      </w:r>
      <w:r w:rsidR="00227F80" w:rsidRPr="00C9575C">
        <w:rPr>
          <w:snapToGrid w:val="0"/>
          <w:szCs w:val="22"/>
          <w:lang w:val="it-IT"/>
        </w:rPr>
        <w:t xml:space="preserve">compromissione </w:t>
      </w:r>
      <w:r w:rsidRPr="00C9575C">
        <w:rPr>
          <w:szCs w:val="22"/>
          <w:lang w:val="it-IT"/>
        </w:rPr>
        <w:t xml:space="preserve">epatica da moderata a </w:t>
      </w:r>
      <w:r w:rsidR="00671E79" w:rsidRPr="00C9575C">
        <w:rPr>
          <w:szCs w:val="22"/>
          <w:lang w:val="it-IT"/>
        </w:rPr>
        <w:t xml:space="preserve">severa </w:t>
      </w:r>
      <w:r w:rsidRPr="00C9575C">
        <w:rPr>
          <w:szCs w:val="22"/>
          <w:lang w:val="it-IT"/>
        </w:rPr>
        <w:t xml:space="preserve">mostrano che la farmacocinetica </w:t>
      </w:r>
      <w:r w:rsidR="005873F3" w:rsidRPr="00C9575C">
        <w:rPr>
          <w:szCs w:val="22"/>
          <w:lang w:val="it-IT"/>
        </w:rPr>
        <w:t>di</w:t>
      </w:r>
      <w:r w:rsidRPr="00C9575C">
        <w:rPr>
          <w:szCs w:val="22"/>
          <w:lang w:val="it-IT"/>
        </w:rPr>
        <w:t xml:space="preserve"> lamivudina non viene alterata in maniera significativa dalla disfunzione epatica.</w:t>
      </w:r>
    </w:p>
    <w:p w14:paraId="12C3DE0B" w14:textId="77777777" w:rsidR="0084378B" w:rsidRPr="00C9575C" w:rsidRDefault="00F716BC">
      <w:pPr>
        <w:widowControl w:val="0"/>
        <w:tabs>
          <w:tab w:val="left" w:pos="567"/>
        </w:tabs>
        <w:rPr>
          <w:szCs w:val="22"/>
          <w:lang w:val="it-IT"/>
        </w:rPr>
      </w:pPr>
      <w:r w:rsidRPr="00C9575C">
        <w:rPr>
          <w:szCs w:val="22"/>
          <w:lang w:val="it-IT"/>
        </w:rPr>
        <w:t xml:space="preserve">Sulla base dei dati ottenuti </w:t>
      </w:r>
      <w:r w:rsidR="004C5683" w:rsidRPr="00C9575C">
        <w:rPr>
          <w:szCs w:val="22"/>
          <w:lang w:val="it-IT"/>
        </w:rPr>
        <w:t>da</w:t>
      </w:r>
      <w:r w:rsidRPr="00C9575C">
        <w:rPr>
          <w:szCs w:val="22"/>
          <w:lang w:val="it-IT"/>
        </w:rPr>
        <w:t xml:space="preserve"> abacavir, Kivexa non è raccomandato nei pazienti con compromissione </w:t>
      </w:r>
      <w:r w:rsidRPr="00C9575C">
        <w:rPr>
          <w:szCs w:val="22"/>
          <w:lang w:val="it-IT"/>
        </w:rPr>
        <w:lastRenderedPageBreak/>
        <w:t xml:space="preserve">epatica moderata o </w:t>
      </w:r>
      <w:r w:rsidR="00671E79" w:rsidRPr="00C9575C">
        <w:rPr>
          <w:szCs w:val="22"/>
          <w:lang w:val="it-IT"/>
        </w:rPr>
        <w:t>severa</w:t>
      </w:r>
      <w:r w:rsidRPr="00C9575C">
        <w:rPr>
          <w:szCs w:val="22"/>
          <w:lang w:val="it-IT"/>
        </w:rPr>
        <w:t>.</w:t>
      </w:r>
    </w:p>
    <w:p w14:paraId="7F2A17E5" w14:textId="77777777" w:rsidR="00F716BC" w:rsidRPr="00C9575C" w:rsidRDefault="00F716BC">
      <w:pPr>
        <w:widowControl w:val="0"/>
        <w:tabs>
          <w:tab w:val="left" w:pos="567"/>
        </w:tabs>
        <w:rPr>
          <w:szCs w:val="22"/>
          <w:lang w:val="it-IT"/>
        </w:rPr>
      </w:pPr>
    </w:p>
    <w:p w14:paraId="0CE3AC79" w14:textId="77777777" w:rsidR="00183579" w:rsidRPr="00C9575C" w:rsidRDefault="005873F3">
      <w:pPr>
        <w:widowControl w:val="0"/>
        <w:tabs>
          <w:tab w:val="left" w:pos="567"/>
        </w:tabs>
        <w:rPr>
          <w:i/>
          <w:szCs w:val="22"/>
          <w:lang w:val="it-IT"/>
        </w:rPr>
      </w:pPr>
      <w:r w:rsidRPr="00C9575C">
        <w:rPr>
          <w:i/>
          <w:szCs w:val="22"/>
          <w:lang w:val="it-IT"/>
        </w:rPr>
        <w:t>Compromissione</w:t>
      </w:r>
      <w:r w:rsidR="0084378B" w:rsidRPr="00C9575C">
        <w:rPr>
          <w:i/>
          <w:szCs w:val="22"/>
          <w:lang w:val="it-IT"/>
        </w:rPr>
        <w:t xml:space="preserve"> renale</w:t>
      </w:r>
    </w:p>
    <w:p w14:paraId="117EE312" w14:textId="0B8B35D5" w:rsidR="0084378B" w:rsidRPr="00C9575C" w:rsidRDefault="00183579">
      <w:pPr>
        <w:widowControl w:val="0"/>
        <w:tabs>
          <w:tab w:val="left" w:pos="567"/>
        </w:tabs>
        <w:rPr>
          <w:szCs w:val="22"/>
          <w:lang w:val="it-IT"/>
        </w:rPr>
      </w:pPr>
      <w:r w:rsidRPr="00C9575C">
        <w:rPr>
          <w:szCs w:val="22"/>
          <w:lang w:val="it-IT"/>
        </w:rPr>
        <w:t>I</w:t>
      </w:r>
      <w:r w:rsidR="0084378B" w:rsidRPr="00C9575C">
        <w:rPr>
          <w:szCs w:val="22"/>
          <w:lang w:val="it-IT"/>
        </w:rPr>
        <w:t xml:space="preserve"> dati di farmacocinetica sono stati ottenuti separatamente per lamivudina e abacavir. Abacavir è metabolizzato principalmente dal fegato con approssimativamente il 2% di abacavir escreto nelle urine immodificato. La farmacocinetica di abacavir in pazienti con malattia renale all’ultimo stadio è simile a quella dei pazienti con normale funzionalità renale.</w:t>
      </w:r>
      <w:r w:rsidR="005873F3" w:rsidRPr="00C9575C">
        <w:rPr>
          <w:szCs w:val="22"/>
          <w:lang w:val="it-IT"/>
        </w:rPr>
        <w:t xml:space="preserve"> </w:t>
      </w:r>
      <w:r w:rsidR="0084378B" w:rsidRPr="00C9575C">
        <w:rPr>
          <w:szCs w:val="22"/>
          <w:lang w:val="it-IT"/>
        </w:rPr>
        <w:t xml:space="preserve">Studi con lamivudina mostrano che le concentrazioni plasmatiche (AUC) vengono incrementate nei pazienti con disfunzione renale a causa della clearance ridotta. </w:t>
      </w:r>
      <w:r w:rsidRPr="00C9575C">
        <w:rPr>
          <w:szCs w:val="22"/>
          <w:lang w:val="it-IT"/>
        </w:rPr>
        <w:t>L’uso di Kivexa non è raccomandato nei pazienti con una clearance della creatinina &lt;</w:t>
      </w:r>
      <w:r w:rsidR="00F52328">
        <w:rPr>
          <w:szCs w:val="22"/>
          <w:lang w:val="it-IT"/>
        </w:rPr>
        <w:t> </w:t>
      </w:r>
      <w:r w:rsidR="005175C2" w:rsidRPr="00C9575C">
        <w:rPr>
          <w:szCs w:val="22"/>
          <w:lang w:val="it-IT"/>
        </w:rPr>
        <w:t>3</w:t>
      </w:r>
      <w:r w:rsidRPr="00C9575C">
        <w:rPr>
          <w:szCs w:val="22"/>
          <w:lang w:val="it-IT"/>
        </w:rPr>
        <w:t>0 m</w:t>
      </w:r>
      <w:r w:rsidR="006F341F" w:rsidRPr="00C9575C">
        <w:rPr>
          <w:szCs w:val="22"/>
          <w:lang w:val="it-IT"/>
        </w:rPr>
        <w:t>L</w:t>
      </w:r>
      <w:r w:rsidRPr="00C9575C">
        <w:rPr>
          <w:szCs w:val="22"/>
          <w:lang w:val="it-IT"/>
        </w:rPr>
        <w:t xml:space="preserve">/min </w:t>
      </w:r>
      <w:r w:rsidR="005873F3" w:rsidRPr="00C9575C">
        <w:rPr>
          <w:szCs w:val="22"/>
          <w:lang w:val="it-IT"/>
        </w:rPr>
        <w:t>dal momento che</w:t>
      </w:r>
      <w:r w:rsidRPr="00C9575C">
        <w:rPr>
          <w:szCs w:val="22"/>
          <w:lang w:val="it-IT"/>
        </w:rPr>
        <w:t xml:space="preserve"> non può essere fatto </w:t>
      </w:r>
      <w:r w:rsidR="006269CE" w:rsidRPr="00C9575C">
        <w:rPr>
          <w:szCs w:val="22"/>
          <w:lang w:val="it-IT"/>
        </w:rPr>
        <w:t>il</w:t>
      </w:r>
      <w:r w:rsidRPr="00C9575C">
        <w:rPr>
          <w:szCs w:val="22"/>
          <w:lang w:val="it-IT"/>
        </w:rPr>
        <w:t xml:space="preserve"> </w:t>
      </w:r>
      <w:r w:rsidR="008015AC" w:rsidRPr="00C9575C">
        <w:rPr>
          <w:szCs w:val="22"/>
          <w:lang w:val="it-IT"/>
        </w:rPr>
        <w:t xml:space="preserve">necessario </w:t>
      </w:r>
      <w:r w:rsidRPr="00C9575C">
        <w:rPr>
          <w:szCs w:val="22"/>
          <w:lang w:val="it-IT"/>
        </w:rPr>
        <w:t>aggiustamento della dose.</w:t>
      </w:r>
    </w:p>
    <w:p w14:paraId="4BD9D1C6" w14:textId="77777777" w:rsidR="0084378B" w:rsidRPr="00C9575C" w:rsidRDefault="0084378B">
      <w:pPr>
        <w:widowControl w:val="0"/>
        <w:tabs>
          <w:tab w:val="left" w:pos="567"/>
        </w:tabs>
        <w:rPr>
          <w:szCs w:val="22"/>
          <w:lang w:val="it-IT"/>
        </w:rPr>
      </w:pPr>
    </w:p>
    <w:p w14:paraId="7E518785" w14:textId="77777777" w:rsidR="00183579" w:rsidRPr="00C9575C" w:rsidRDefault="0084378B">
      <w:pPr>
        <w:widowControl w:val="0"/>
        <w:tabs>
          <w:tab w:val="left" w:pos="567"/>
        </w:tabs>
        <w:rPr>
          <w:i/>
          <w:szCs w:val="22"/>
          <w:lang w:val="it-IT"/>
        </w:rPr>
      </w:pPr>
      <w:r w:rsidRPr="00C9575C">
        <w:rPr>
          <w:i/>
          <w:szCs w:val="22"/>
          <w:lang w:val="it-IT"/>
        </w:rPr>
        <w:t xml:space="preserve">Anziani </w:t>
      </w:r>
    </w:p>
    <w:p w14:paraId="71AEAE56" w14:textId="77777777" w:rsidR="0084378B" w:rsidRPr="00C9575C" w:rsidRDefault="00183579">
      <w:pPr>
        <w:widowControl w:val="0"/>
        <w:tabs>
          <w:tab w:val="left" w:pos="567"/>
        </w:tabs>
        <w:rPr>
          <w:szCs w:val="22"/>
          <w:lang w:val="it-IT"/>
        </w:rPr>
      </w:pPr>
      <w:r w:rsidRPr="00C9575C">
        <w:rPr>
          <w:szCs w:val="22"/>
          <w:lang w:val="it-IT"/>
        </w:rPr>
        <w:t>N</w:t>
      </w:r>
      <w:r w:rsidR="0084378B" w:rsidRPr="00C9575C">
        <w:rPr>
          <w:szCs w:val="22"/>
          <w:lang w:val="it-IT"/>
        </w:rPr>
        <w:t>on sono disponibili dati di farmacocinetica nei pazienti di età superiore a 65 anni.</w:t>
      </w:r>
    </w:p>
    <w:p w14:paraId="5563097C" w14:textId="77777777" w:rsidR="0084378B" w:rsidRPr="00C9575C" w:rsidRDefault="0084378B">
      <w:pPr>
        <w:widowControl w:val="0"/>
        <w:tabs>
          <w:tab w:val="left" w:pos="567"/>
        </w:tabs>
        <w:rPr>
          <w:b/>
          <w:szCs w:val="22"/>
          <w:lang w:val="it-IT"/>
        </w:rPr>
      </w:pPr>
    </w:p>
    <w:p w14:paraId="536FB7C8" w14:textId="77777777" w:rsidR="00783DCA" w:rsidRPr="00C9575C" w:rsidRDefault="00783DCA">
      <w:pPr>
        <w:widowControl w:val="0"/>
        <w:tabs>
          <w:tab w:val="left" w:pos="567"/>
        </w:tabs>
        <w:rPr>
          <w:i/>
          <w:szCs w:val="22"/>
          <w:lang w:val="it-IT"/>
        </w:rPr>
      </w:pPr>
      <w:r w:rsidRPr="00C9575C">
        <w:rPr>
          <w:i/>
          <w:szCs w:val="22"/>
          <w:lang w:val="it-IT"/>
        </w:rPr>
        <w:t>Bambini</w:t>
      </w:r>
    </w:p>
    <w:p w14:paraId="5C01E36B" w14:textId="77777777" w:rsidR="002E1E7B" w:rsidRPr="00C9575C" w:rsidRDefault="002E1E7B" w:rsidP="002E1E7B">
      <w:pPr>
        <w:tabs>
          <w:tab w:val="left" w:pos="567"/>
        </w:tabs>
        <w:ind w:right="28"/>
        <w:rPr>
          <w:lang w:val="it-IT"/>
        </w:rPr>
      </w:pPr>
      <w:r w:rsidRPr="00C9575C">
        <w:rPr>
          <w:lang w:val="it-IT"/>
        </w:rPr>
        <w:t xml:space="preserve">Abacavir è rapidamente e ben assorbito dalle formulazioni orali quando somministrate ai bambini. Gli studi </w:t>
      </w:r>
      <w:r w:rsidR="004F10C1" w:rsidRPr="00C9575C">
        <w:rPr>
          <w:lang w:val="it-IT"/>
        </w:rPr>
        <w:t xml:space="preserve">pediatrici di </w:t>
      </w:r>
      <w:r w:rsidRPr="00C9575C">
        <w:rPr>
          <w:lang w:val="it-IT"/>
        </w:rPr>
        <w:t>farmacocinetica hanno dimostrato che la somministrazione una volta al giorno fornisce una AUC</w:t>
      </w:r>
      <w:r w:rsidRPr="00C9575C">
        <w:rPr>
          <w:vertAlign w:val="subscript"/>
          <w:lang w:val="it-IT"/>
        </w:rPr>
        <w:t>24</w:t>
      </w:r>
      <w:r w:rsidRPr="00C9575C">
        <w:rPr>
          <w:lang w:val="it-IT"/>
        </w:rPr>
        <w:t xml:space="preserve"> equivalente ad una somministrazione due volte al giorno della stessa dose giornaliera totale per entrambe le formulazioni, soluzione orale e compresse. </w:t>
      </w:r>
    </w:p>
    <w:p w14:paraId="4F7E61A7" w14:textId="77777777" w:rsidR="002E1E7B" w:rsidRPr="00C9575C" w:rsidRDefault="002E1E7B" w:rsidP="002E1E7B">
      <w:pPr>
        <w:tabs>
          <w:tab w:val="left" w:pos="567"/>
        </w:tabs>
        <w:ind w:right="28"/>
        <w:rPr>
          <w:rStyle w:val="PageNumber"/>
          <w:lang w:val="it-IT"/>
        </w:rPr>
      </w:pPr>
    </w:p>
    <w:p w14:paraId="3E751F15" w14:textId="7D894C1A" w:rsidR="004F10C1" w:rsidRPr="00C9575C" w:rsidRDefault="002E1E7B" w:rsidP="004F10C1">
      <w:pPr>
        <w:tabs>
          <w:tab w:val="left" w:pos="567"/>
        </w:tabs>
        <w:ind w:right="28"/>
        <w:rPr>
          <w:color w:val="000000"/>
          <w:lang w:val="it-IT"/>
        </w:rPr>
      </w:pPr>
      <w:r w:rsidRPr="00C9575C">
        <w:rPr>
          <w:rStyle w:val="PageNumber"/>
          <w:lang w:val="it-IT"/>
        </w:rPr>
        <w:t xml:space="preserve">La biodisponibilità assoluta di lamivudina (circa da 58 a 66 %) era </w:t>
      </w:r>
      <w:r w:rsidR="004F10C1" w:rsidRPr="00C9575C">
        <w:rPr>
          <w:rStyle w:val="PageNumber"/>
          <w:lang w:val="it-IT"/>
        </w:rPr>
        <w:t xml:space="preserve">più bassa e più variabile </w:t>
      </w:r>
      <w:r w:rsidRPr="00C9575C">
        <w:rPr>
          <w:rStyle w:val="PageNumber"/>
          <w:lang w:val="it-IT"/>
        </w:rPr>
        <w:t>nei pazienti pediatrici sotto i 12</w:t>
      </w:r>
      <w:r w:rsidR="00F52328">
        <w:rPr>
          <w:rStyle w:val="PageNumber"/>
          <w:lang w:val="it-IT"/>
        </w:rPr>
        <w:t> </w:t>
      </w:r>
      <w:r w:rsidRPr="00C9575C">
        <w:rPr>
          <w:rStyle w:val="PageNumber"/>
          <w:lang w:val="it-IT"/>
        </w:rPr>
        <w:t xml:space="preserve">anni di età. </w:t>
      </w:r>
      <w:r w:rsidR="004F10C1" w:rsidRPr="00C9575C">
        <w:rPr>
          <w:rStyle w:val="PageNumber"/>
          <w:lang w:val="it-IT"/>
        </w:rPr>
        <w:t xml:space="preserve">Tuttavia, </w:t>
      </w:r>
      <w:r w:rsidR="004F10C1" w:rsidRPr="00C9575C">
        <w:rPr>
          <w:rStyle w:val="BodyTextIndentChar"/>
          <w:lang w:val="it-IT"/>
        </w:rPr>
        <w:t>studi pediatrici di farmacocinetica con</w:t>
      </w:r>
      <w:r w:rsidR="003B6CDE" w:rsidRPr="00C9575C">
        <w:rPr>
          <w:rStyle w:val="BodyTextIndentChar"/>
          <w:lang w:val="it-IT"/>
        </w:rPr>
        <w:t xml:space="preserve"> le</w:t>
      </w:r>
      <w:r w:rsidR="004F10C1" w:rsidRPr="00C9575C">
        <w:rPr>
          <w:rStyle w:val="BodyTextIndentChar"/>
          <w:lang w:val="it-IT"/>
        </w:rPr>
        <w:t xml:space="preserve"> formulazioni in compresse, hanno dimostrato che il dosaggio una volta al giorno fornisce una </w:t>
      </w:r>
      <w:r w:rsidR="004F10C1" w:rsidRPr="00C9575C">
        <w:rPr>
          <w:color w:val="000000"/>
          <w:lang w:val="it-IT"/>
        </w:rPr>
        <w:t>AUC</w:t>
      </w:r>
      <w:r w:rsidR="004F10C1" w:rsidRPr="00C9575C">
        <w:rPr>
          <w:color w:val="000000"/>
          <w:vertAlign w:val="subscript"/>
          <w:lang w:val="it-IT"/>
        </w:rPr>
        <w:t xml:space="preserve">24  </w:t>
      </w:r>
      <w:r w:rsidR="004F10C1" w:rsidRPr="00C9575C">
        <w:rPr>
          <w:color w:val="000000"/>
          <w:lang w:val="it-IT"/>
        </w:rPr>
        <w:t xml:space="preserve">equivalente a quella del dosaggio due volte al giorno della stessa dose giornaliera totale. </w:t>
      </w:r>
    </w:p>
    <w:p w14:paraId="2E36332F" w14:textId="77777777" w:rsidR="004F10C1" w:rsidRPr="00C9575C" w:rsidRDefault="004F10C1" w:rsidP="002E1E7B">
      <w:pPr>
        <w:tabs>
          <w:tab w:val="left" w:pos="567"/>
        </w:tabs>
        <w:ind w:right="28"/>
        <w:rPr>
          <w:rStyle w:val="PageNumber"/>
          <w:lang w:val="it-IT"/>
        </w:rPr>
      </w:pPr>
    </w:p>
    <w:p w14:paraId="705661A5" w14:textId="7301EE56" w:rsidR="0084378B" w:rsidRPr="00C9575C" w:rsidRDefault="0084378B">
      <w:pPr>
        <w:widowControl w:val="0"/>
        <w:tabs>
          <w:tab w:val="left" w:pos="567"/>
        </w:tabs>
        <w:outlineLvl w:val="0"/>
        <w:rPr>
          <w:b/>
          <w:szCs w:val="22"/>
          <w:lang w:val="it-IT"/>
        </w:rPr>
      </w:pPr>
      <w:r w:rsidRPr="00C9575C">
        <w:rPr>
          <w:b/>
          <w:szCs w:val="22"/>
          <w:lang w:val="it-IT"/>
        </w:rPr>
        <w:t xml:space="preserve">5.3 </w:t>
      </w:r>
      <w:r w:rsidRPr="00C9575C">
        <w:rPr>
          <w:b/>
          <w:szCs w:val="22"/>
          <w:lang w:val="it-IT"/>
        </w:rPr>
        <w:tab/>
        <w:t>Dati preclinici di sicurezza</w:t>
      </w:r>
      <w:r w:rsidR="0092155C">
        <w:rPr>
          <w:b/>
          <w:szCs w:val="22"/>
          <w:lang w:val="it-IT"/>
        </w:rPr>
        <w:fldChar w:fldCharType="begin"/>
      </w:r>
      <w:r w:rsidR="0092155C">
        <w:rPr>
          <w:b/>
          <w:szCs w:val="22"/>
          <w:lang w:val="it-IT"/>
        </w:rPr>
        <w:instrText xml:space="preserve"> DOCVARIABLE vault_nd_88af6584-d0e8-4b41-8ae1-51b1f47696b8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3CECF366" w14:textId="77777777" w:rsidR="0084378B" w:rsidRPr="00C9575C" w:rsidRDefault="0084378B">
      <w:pPr>
        <w:widowControl w:val="0"/>
        <w:tabs>
          <w:tab w:val="left" w:pos="567"/>
        </w:tabs>
        <w:rPr>
          <w:b/>
          <w:szCs w:val="22"/>
          <w:lang w:val="it-IT"/>
        </w:rPr>
      </w:pPr>
    </w:p>
    <w:p w14:paraId="69425EA7" w14:textId="77777777" w:rsidR="0084378B" w:rsidRPr="00C9575C" w:rsidRDefault="0084378B">
      <w:pPr>
        <w:widowControl w:val="0"/>
        <w:tabs>
          <w:tab w:val="left" w:pos="567"/>
        </w:tabs>
        <w:rPr>
          <w:szCs w:val="22"/>
          <w:lang w:val="it-IT"/>
        </w:rPr>
      </w:pPr>
      <w:r w:rsidRPr="00C9575C">
        <w:rPr>
          <w:szCs w:val="22"/>
          <w:lang w:val="it-IT"/>
        </w:rPr>
        <w:t xml:space="preserve">Ad eccezione di un test negativo nel ratto </w:t>
      </w:r>
      <w:r w:rsidRPr="00C9575C">
        <w:rPr>
          <w:i/>
          <w:szCs w:val="22"/>
          <w:lang w:val="it-IT"/>
        </w:rPr>
        <w:t>in vivo</w:t>
      </w:r>
      <w:r w:rsidRPr="00C9575C">
        <w:rPr>
          <w:szCs w:val="22"/>
          <w:lang w:val="it-IT"/>
        </w:rPr>
        <w:t xml:space="preserve"> sul micronucleo non sono disponibili dati sugli effetti della combinazione abacavir e lamivudina negli animali.</w:t>
      </w:r>
    </w:p>
    <w:p w14:paraId="32361B43" w14:textId="77777777" w:rsidR="0084378B" w:rsidRPr="00C9575C" w:rsidRDefault="0084378B">
      <w:pPr>
        <w:widowControl w:val="0"/>
        <w:tabs>
          <w:tab w:val="left" w:pos="567"/>
        </w:tabs>
        <w:rPr>
          <w:szCs w:val="22"/>
          <w:lang w:val="it-IT"/>
        </w:rPr>
      </w:pPr>
    </w:p>
    <w:p w14:paraId="60C0B713" w14:textId="77777777" w:rsidR="0084378B" w:rsidRPr="00C9575C" w:rsidRDefault="00CC0BC2">
      <w:pPr>
        <w:widowControl w:val="0"/>
        <w:tabs>
          <w:tab w:val="left" w:pos="567"/>
        </w:tabs>
        <w:rPr>
          <w:szCs w:val="22"/>
          <w:u w:val="single"/>
          <w:lang w:val="it-IT"/>
        </w:rPr>
      </w:pPr>
      <w:r w:rsidRPr="00C9575C">
        <w:rPr>
          <w:szCs w:val="22"/>
          <w:u w:val="single"/>
          <w:lang w:val="it-IT"/>
        </w:rPr>
        <w:t>Mutagenesi e cancerogenesi</w:t>
      </w:r>
    </w:p>
    <w:p w14:paraId="5C3C36A8" w14:textId="77777777" w:rsidR="0084378B" w:rsidRPr="00C9575C" w:rsidRDefault="0084378B">
      <w:pPr>
        <w:widowControl w:val="0"/>
        <w:tabs>
          <w:tab w:val="left" w:pos="567"/>
        </w:tabs>
        <w:rPr>
          <w:szCs w:val="22"/>
          <w:lang w:val="it-IT"/>
        </w:rPr>
      </w:pPr>
    </w:p>
    <w:p w14:paraId="0D09B44F" w14:textId="77777777" w:rsidR="0084378B" w:rsidRPr="00C9575C" w:rsidRDefault="0084378B">
      <w:pPr>
        <w:widowControl w:val="0"/>
        <w:tabs>
          <w:tab w:val="left" w:pos="567"/>
        </w:tabs>
        <w:rPr>
          <w:szCs w:val="22"/>
          <w:lang w:val="it-IT"/>
        </w:rPr>
      </w:pPr>
      <w:r w:rsidRPr="00C9575C">
        <w:rPr>
          <w:szCs w:val="22"/>
          <w:lang w:val="it-IT"/>
        </w:rPr>
        <w:t>Né abacavir né lamivudina sono mutageni nei test sui batteri ma</w:t>
      </w:r>
      <w:r w:rsidR="002127BA" w:rsidRPr="00C9575C">
        <w:rPr>
          <w:szCs w:val="22"/>
          <w:lang w:val="it-IT"/>
        </w:rPr>
        <w:t>,</w:t>
      </w:r>
      <w:r w:rsidR="003F57AF" w:rsidRPr="00C9575C">
        <w:rPr>
          <w:szCs w:val="22"/>
          <w:lang w:val="it-IT"/>
        </w:rPr>
        <w:t xml:space="preserve"> </w:t>
      </w:r>
      <w:r w:rsidR="00E034DA" w:rsidRPr="00C9575C">
        <w:rPr>
          <w:szCs w:val="22"/>
          <w:lang w:val="it-IT"/>
        </w:rPr>
        <w:t>allo stesso modo di</w:t>
      </w:r>
      <w:r w:rsidR="00965F04" w:rsidRPr="00C9575C">
        <w:rPr>
          <w:szCs w:val="22"/>
          <w:lang w:val="it-IT"/>
        </w:rPr>
        <w:t xml:space="preserve"> </w:t>
      </w:r>
      <w:r w:rsidR="003F57AF" w:rsidRPr="00C9575C">
        <w:rPr>
          <w:szCs w:val="22"/>
          <w:lang w:val="it-IT"/>
        </w:rPr>
        <w:t xml:space="preserve">altri </w:t>
      </w:r>
      <w:r w:rsidRPr="00C9575C">
        <w:rPr>
          <w:szCs w:val="22"/>
          <w:lang w:val="it-IT"/>
        </w:rPr>
        <w:t>analoghi dei nucleosidi</w:t>
      </w:r>
      <w:r w:rsidR="002127BA" w:rsidRPr="00C9575C">
        <w:rPr>
          <w:szCs w:val="22"/>
          <w:lang w:val="it-IT"/>
        </w:rPr>
        <w:t>,</w:t>
      </w:r>
      <w:r w:rsidR="003F57AF" w:rsidRPr="00C9575C">
        <w:rPr>
          <w:szCs w:val="22"/>
          <w:lang w:val="it-IT"/>
        </w:rPr>
        <w:t xml:space="preserve"> </w:t>
      </w:r>
      <w:r w:rsidR="00183579" w:rsidRPr="00C9575C">
        <w:rPr>
          <w:szCs w:val="22"/>
          <w:lang w:val="it-IT"/>
        </w:rPr>
        <w:t xml:space="preserve">essi </w:t>
      </w:r>
      <w:r w:rsidR="003F57AF" w:rsidRPr="00C9575C">
        <w:rPr>
          <w:szCs w:val="22"/>
          <w:lang w:val="it-IT"/>
        </w:rPr>
        <w:t>inibisc</w:t>
      </w:r>
      <w:r w:rsidR="00096A73" w:rsidRPr="00C9575C">
        <w:rPr>
          <w:szCs w:val="22"/>
          <w:lang w:val="it-IT"/>
        </w:rPr>
        <w:t>ono</w:t>
      </w:r>
      <w:r w:rsidR="003F57AF" w:rsidRPr="00C9575C">
        <w:rPr>
          <w:szCs w:val="22"/>
          <w:lang w:val="it-IT"/>
        </w:rPr>
        <w:t xml:space="preserve"> la replicazione del DNA cellulare</w:t>
      </w:r>
      <w:r w:rsidRPr="00C9575C">
        <w:rPr>
          <w:szCs w:val="22"/>
          <w:lang w:val="it-IT"/>
        </w:rPr>
        <w:t xml:space="preserve"> nei test </w:t>
      </w:r>
      <w:r w:rsidRPr="00C9575C">
        <w:rPr>
          <w:i/>
          <w:szCs w:val="22"/>
          <w:lang w:val="it-IT"/>
        </w:rPr>
        <w:t>in vitro</w:t>
      </w:r>
      <w:r w:rsidRPr="00C9575C">
        <w:rPr>
          <w:szCs w:val="22"/>
          <w:lang w:val="it-IT"/>
        </w:rPr>
        <w:t xml:space="preserve"> sui mammiferi, come il test sul linfoma del topo. I risultati di un test sul micronucleo nel ratto </w:t>
      </w:r>
      <w:r w:rsidRPr="00C9575C">
        <w:rPr>
          <w:i/>
          <w:szCs w:val="22"/>
          <w:lang w:val="it-IT"/>
        </w:rPr>
        <w:t xml:space="preserve">in vivo </w:t>
      </w:r>
      <w:r w:rsidRPr="00C9575C">
        <w:rPr>
          <w:szCs w:val="22"/>
          <w:lang w:val="it-IT"/>
        </w:rPr>
        <w:t>con abacavir e lamivudina in associazione sono stati negativi.</w:t>
      </w:r>
    </w:p>
    <w:p w14:paraId="4856F60B" w14:textId="77777777" w:rsidR="0084378B" w:rsidRPr="00C9575C" w:rsidRDefault="0084378B">
      <w:pPr>
        <w:widowControl w:val="0"/>
        <w:tabs>
          <w:tab w:val="left" w:pos="567"/>
        </w:tabs>
        <w:rPr>
          <w:szCs w:val="22"/>
          <w:lang w:val="it-IT"/>
        </w:rPr>
      </w:pPr>
    </w:p>
    <w:p w14:paraId="4B29D871" w14:textId="15D8FBEA" w:rsidR="0084378B" w:rsidRPr="00C9575C" w:rsidRDefault="009923BD">
      <w:pPr>
        <w:widowControl w:val="0"/>
        <w:tabs>
          <w:tab w:val="left" w:pos="567"/>
        </w:tabs>
        <w:rPr>
          <w:szCs w:val="22"/>
          <w:lang w:val="it-IT"/>
        </w:rPr>
      </w:pPr>
      <w:r w:rsidRPr="00C9575C">
        <w:rPr>
          <w:rStyle w:val="PageNumber"/>
          <w:szCs w:val="22"/>
          <w:lang w:val="it-IT"/>
        </w:rPr>
        <w:t>L</w:t>
      </w:r>
      <w:r w:rsidR="0084378B" w:rsidRPr="00C9575C">
        <w:rPr>
          <w:rStyle w:val="PageNumber"/>
          <w:szCs w:val="22"/>
          <w:lang w:val="it-IT"/>
        </w:rPr>
        <w:t xml:space="preserve">amivudina non ha mostrato alcuna attività genotossica negli studi </w:t>
      </w:r>
      <w:r w:rsidR="0084378B" w:rsidRPr="00C9575C">
        <w:rPr>
          <w:rStyle w:val="PageNumber"/>
          <w:i/>
          <w:szCs w:val="22"/>
          <w:lang w:val="it-IT"/>
        </w:rPr>
        <w:t>in vivo</w:t>
      </w:r>
      <w:r w:rsidR="0084378B" w:rsidRPr="00C9575C">
        <w:rPr>
          <w:rStyle w:val="PageNumber"/>
          <w:szCs w:val="22"/>
          <w:lang w:val="it-IT"/>
        </w:rPr>
        <w:t xml:space="preserve"> a dosi che hanno indotto concentrazioni plasmatiche fino a </w:t>
      </w:r>
      <w:r w:rsidR="003F57AF" w:rsidRPr="00C9575C">
        <w:rPr>
          <w:rStyle w:val="PageNumber"/>
          <w:szCs w:val="22"/>
          <w:lang w:val="it-IT"/>
        </w:rPr>
        <w:t>40-50</w:t>
      </w:r>
      <w:r w:rsidR="00F52328">
        <w:rPr>
          <w:rStyle w:val="PageNumber"/>
          <w:szCs w:val="22"/>
          <w:lang w:val="it-IT"/>
        </w:rPr>
        <w:t> </w:t>
      </w:r>
      <w:r w:rsidR="0084378B" w:rsidRPr="00C9575C">
        <w:rPr>
          <w:rStyle w:val="PageNumber"/>
          <w:szCs w:val="22"/>
          <w:lang w:val="it-IT"/>
        </w:rPr>
        <w:t>volte più alte delle concentrazioni plasmatiche previste in ambito clinico.</w:t>
      </w:r>
      <w:r w:rsidR="0084378B" w:rsidRPr="00C9575C">
        <w:rPr>
          <w:szCs w:val="22"/>
          <w:lang w:val="it-IT"/>
        </w:rPr>
        <w:t xml:space="preserve"> Abacavir ha dimostrato un basso potenziale di causare danno cromosomico </w:t>
      </w:r>
      <w:r w:rsidR="0084378B" w:rsidRPr="00C9575C">
        <w:rPr>
          <w:i/>
          <w:szCs w:val="22"/>
          <w:lang w:val="it-IT"/>
        </w:rPr>
        <w:t>in vitro</w:t>
      </w:r>
      <w:r w:rsidR="0084378B" w:rsidRPr="00C9575C">
        <w:rPr>
          <w:szCs w:val="22"/>
          <w:lang w:val="it-IT"/>
        </w:rPr>
        <w:t xml:space="preserve"> ed </w:t>
      </w:r>
      <w:r w:rsidR="0084378B" w:rsidRPr="00C9575C">
        <w:rPr>
          <w:i/>
          <w:szCs w:val="22"/>
          <w:lang w:val="it-IT"/>
        </w:rPr>
        <w:t>in vivo</w:t>
      </w:r>
      <w:r w:rsidR="0084378B" w:rsidRPr="00C9575C">
        <w:rPr>
          <w:szCs w:val="22"/>
          <w:lang w:val="it-IT"/>
        </w:rPr>
        <w:t xml:space="preserve"> alle alte concentrazioni testate. </w:t>
      </w:r>
    </w:p>
    <w:p w14:paraId="1F6135BA" w14:textId="77777777" w:rsidR="0084378B" w:rsidRPr="00C9575C" w:rsidRDefault="0084378B">
      <w:pPr>
        <w:widowControl w:val="0"/>
        <w:tabs>
          <w:tab w:val="left" w:pos="567"/>
        </w:tabs>
        <w:rPr>
          <w:szCs w:val="22"/>
          <w:lang w:val="it-IT"/>
        </w:rPr>
      </w:pPr>
    </w:p>
    <w:p w14:paraId="6F56EFC4" w14:textId="251A2DC6" w:rsidR="0084378B" w:rsidRPr="00C9575C" w:rsidRDefault="0084378B">
      <w:pPr>
        <w:widowControl w:val="0"/>
        <w:rPr>
          <w:szCs w:val="22"/>
          <w:lang w:val="it-IT"/>
        </w:rPr>
      </w:pPr>
      <w:r w:rsidRPr="00C9575C">
        <w:rPr>
          <w:szCs w:val="22"/>
          <w:lang w:val="it-IT"/>
        </w:rPr>
        <w:t>Non è stato verificato il potenziale cancerogeno di un’associazione di abacavir e lamivudina. Negli studi a lungo termine di cancerogenesi per somministrazione orale ne</w:t>
      </w:r>
      <w:r w:rsidR="004746EF" w:rsidRPr="00C9575C">
        <w:rPr>
          <w:szCs w:val="22"/>
          <w:lang w:val="it-IT"/>
        </w:rPr>
        <w:t>i</w:t>
      </w:r>
      <w:r w:rsidRPr="00C9575C">
        <w:rPr>
          <w:szCs w:val="22"/>
          <w:lang w:val="it-IT"/>
        </w:rPr>
        <w:t xml:space="preserve"> ratt</w:t>
      </w:r>
      <w:r w:rsidR="004746EF" w:rsidRPr="00C9575C">
        <w:rPr>
          <w:szCs w:val="22"/>
          <w:lang w:val="it-IT"/>
        </w:rPr>
        <w:t>i</w:t>
      </w:r>
      <w:r w:rsidRPr="00C9575C">
        <w:rPr>
          <w:szCs w:val="22"/>
          <w:lang w:val="it-IT"/>
        </w:rPr>
        <w:t xml:space="preserve"> e ne</w:t>
      </w:r>
      <w:r w:rsidR="004746EF" w:rsidRPr="00C9575C">
        <w:rPr>
          <w:szCs w:val="22"/>
          <w:lang w:val="it-IT"/>
        </w:rPr>
        <w:t>i</w:t>
      </w:r>
      <w:r w:rsidRPr="00C9575C">
        <w:rPr>
          <w:szCs w:val="22"/>
          <w:lang w:val="it-IT"/>
        </w:rPr>
        <w:t xml:space="preserve"> top</w:t>
      </w:r>
      <w:r w:rsidR="004746EF" w:rsidRPr="00C9575C">
        <w:rPr>
          <w:szCs w:val="22"/>
          <w:lang w:val="it-IT"/>
        </w:rPr>
        <w:t>i</w:t>
      </w:r>
      <w:r w:rsidRPr="00C9575C">
        <w:rPr>
          <w:szCs w:val="22"/>
          <w:lang w:val="it-IT"/>
        </w:rPr>
        <w:t>, lamivudina non ha mostrato alcun potenziale cancerogeno. Gli studi di cancerogenesi</w:t>
      </w:r>
      <w:r w:rsidR="00E81E60">
        <w:rPr>
          <w:szCs w:val="22"/>
          <w:lang w:val="it-IT"/>
        </w:rPr>
        <w:t>,</w:t>
      </w:r>
      <w:r w:rsidRPr="00C9575C">
        <w:rPr>
          <w:szCs w:val="22"/>
          <w:lang w:val="it-IT"/>
        </w:rPr>
        <w:t xml:space="preserve"> mediante somministrazione orale di abacavir ne</w:t>
      </w:r>
      <w:r w:rsidR="004746EF" w:rsidRPr="00C9575C">
        <w:rPr>
          <w:szCs w:val="22"/>
          <w:lang w:val="it-IT"/>
        </w:rPr>
        <w:t>i</w:t>
      </w:r>
      <w:r w:rsidRPr="00C9575C">
        <w:rPr>
          <w:szCs w:val="22"/>
          <w:lang w:val="it-IT"/>
        </w:rPr>
        <w:t xml:space="preserve"> top</w:t>
      </w:r>
      <w:r w:rsidR="004746EF" w:rsidRPr="00C9575C">
        <w:rPr>
          <w:szCs w:val="22"/>
          <w:lang w:val="it-IT"/>
        </w:rPr>
        <w:t>i</w:t>
      </w:r>
      <w:r w:rsidRPr="00C9575C">
        <w:rPr>
          <w:szCs w:val="22"/>
          <w:lang w:val="it-IT"/>
        </w:rPr>
        <w:t xml:space="preserve"> e ne</w:t>
      </w:r>
      <w:r w:rsidR="004746EF" w:rsidRPr="00C9575C">
        <w:rPr>
          <w:szCs w:val="22"/>
          <w:lang w:val="it-IT"/>
        </w:rPr>
        <w:t>i</w:t>
      </w:r>
      <w:r w:rsidRPr="00C9575C">
        <w:rPr>
          <w:szCs w:val="22"/>
          <w:lang w:val="it-IT"/>
        </w:rPr>
        <w:t xml:space="preserve"> ratt</w:t>
      </w:r>
      <w:r w:rsidR="004746EF" w:rsidRPr="00C9575C">
        <w:rPr>
          <w:szCs w:val="22"/>
          <w:lang w:val="it-IT"/>
        </w:rPr>
        <w:t>i</w:t>
      </w:r>
      <w:r w:rsidRPr="00C9575C">
        <w:rPr>
          <w:szCs w:val="22"/>
          <w:lang w:val="it-IT"/>
        </w:rPr>
        <w:t>, hanno mostrato un aumento nell’incidenza di tumori maligni e benigni. I tumori maligni si riscontravano nella ghiandola del prepuzio dei maschi e nella ghiandola del clitoride delle femmine di entrambe le specie e nei ratti nel</w:t>
      </w:r>
      <w:r w:rsidR="004746EF" w:rsidRPr="00C9575C">
        <w:rPr>
          <w:szCs w:val="22"/>
          <w:lang w:val="it-IT"/>
        </w:rPr>
        <w:t>la ghiandola tiroide dei maschi</w:t>
      </w:r>
      <w:r w:rsidRPr="00C9575C">
        <w:rPr>
          <w:szCs w:val="22"/>
          <w:lang w:val="it-IT"/>
        </w:rPr>
        <w:t xml:space="preserve"> </w:t>
      </w:r>
      <w:r w:rsidR="004746EF" w:rsidRPr="00C9575C">
        <w:rPr>
          <w:szCs w:val="22"/>
          <w:lang w:val="it-IT"/>
        </w:rPr>
        <w:t xml:space="preserve">e </w:t>
      </w:r>
      <w:r w:rsidRPr="00C9575C">
        <w:rPr>
          <w:szCs w:val="22"/>
          <w:lang w:val="it-IT"/>
        </w:rPr>
        <w:t>nel fegato, nella vescica urinaria, nei linfonodi e nel tessuto sottocutaneo delle femmine.</w:t>
      </w:r>
    </w:p>
    <w:p w14:paraId="7539322D" w14:textId="77777777" w:rsidR="00D93236" w:rsidRPr="00C9575C" w:rsidRDefault="00D93236">
      <w:pPr>
        <w:widowControl w:val="0"/>
        <w:rPr>
          <w:szCs w:val="22"/>
          <w:lang w:val="it-IT"/>
        </w:rPr>
      </w:pPr>
    </w:p>
    <w:p w14:paraId="2E46F1D8" w14:textId="77777777" w:rsidR="0084378B" w:rsidRPr="00C9575C" w:rsidRDefault="0084378B">
      <w:pPr>
        <w:widowControl w:val="0"/>
        <w:rPr>
          <w:szCs w:val="22"/>
          <w:lang w:val="it-IT"/>
        </w:rPr>
      </w:pPr>
      <w:r w:rsidRPr="00C9575C">
        <w:rPr>
          <w:szCs w:val="22"/>
          <w:lang w:val="it-IT"/>
        </w:rPr>
        <w:t>La maggior parte di questi tumori si verificava alle più alte dosi di abacavir di 330 mg/kg/die nel topo e di 600 mg/kg/die nel ratto. L’eccezione era il tumore alla ghiandola del prepuzio che si verificava a dosi di 110 mg/kg nel topo. L’esposizione sistemica senza effetti nel topo e nel ratto era equivalente a 3-7 volte l’esposizione sistemica nell’uomo durante la terapia. Benchè</w:t>
      </w:r>
      <w:r w:rsidR="003F57AF" w:rsidRPr="00C9575C">
        <w:rPr>
          <w:szCs w:val="22"/>
          <w:lang w:val="it-IT"/>
        </w:rPr>
        <w:t xml:space="preserve"> la rilevanza clinica di queste osservazioni </w:t>
      </w:r>
      <w:r w:rsidRPr="00C9575C">
        <w:rPr>
          <w:szCs w:val="22"/>
          <w:lang w:val="it-IT"/>
        </w:rPr>
        <w:t>sia sconosciut</w:t>
      </w:r>
      <w:r w:rsidR="003F57AF" w:rsidRPr="00C9575C">
        <w:rPr>
          <w:szCs w:val="22"/>
          <w:lang w:val="it-IT"/>
        </w:rPr>
        <w:t>a</w:t>
      </w:r>
      <w:r w:rsidRPr="00C9575C">
        <w:rPr>
          <w:szCs w:val="22"/>
          <w:lang w:val="it-IT"/>
        </w:rPr>
        <w:t>, questi dati suggeriscono che il rischio di cancerogenesi nell’uomo venga superato dal potenziale beneficio clinico.</w:t>
      </w:r>
    </w:p>
    <w:p w14:paraId="72B8AAEE" w14:textId="4044FDE6" w:rsidR="00F716BC" w:rsidRDefault="00F716BC">
      <w:pPr>
        <w:widowControl w:val="0"/>
        <w:tabs>
          <w:tab w:val="left" w:pos="567"/>
        </w:tabs>
        <w:outlineLvl w:val="0"/>
        <w:rPr>
          <w:szCs w:val="22"/>
          <w:u w:val="single"/>
          <w:lang w:val="it-IT"/>
        </w:rPr>
      </w:pPr>
    </w:p>
    <w:p w14:paraId="31CD3BBE" w14:textId="77777777" w:rsidR="00F52328" w:rsidRPr="00C9575C" w:rsidRDefault="00F52328">
      <w:pPr>
        <w:widowControl w:val="0"/>
        <w:tabs>
          <w:tab w:val="left" w:pos="567"/>
        </w:tabs>
        <w:outlineLvl w:val="0"/>
        <w:rPr>
          <w:szCs w:val="22"/>
          <w:u w:val="single"/>
          <w:lang w:val="it-IT"/>
        </w:rPr>
      </w:pPr>
    </w:p>
    <w:p w14:paraId="318266E5" w14:textId="6EC1A410" w:rsidR="0084378B" w:rsidRPr="00C9575C" w:rsidRDefault="00CC0BC2">
      <w:pPr>
        <w:widowControl w:val="0"/>
        <w:tabs>
          <w:tab w:val="left" w:pos="567"/>
        </w:tabs>
        <w:outlineLvl w:val="0"/>
        <w:rPr>
          <w:szCs w:val="22"/>
          <w:u w:val="single"/>
          <w:lang w:val="it-IT"/>
        </w:rPr>
      </w:pPr>
      <w:r w:rsidRPr="00C9575C">
        <w:rPr>
          <w:szCs w:val="22"/>
          <w:u w:val="single"/>
          <w:lang w:val="it-IT"/>
        </w:rPr>
        <w:lastRenderedPageBreak/>
        <w:t>Tossicità a dosi ripetute</w:t>
      </w:r>
      <w:r w:rsidR="0092155C">
        <w:rPr>
          <w:szCs w:val="22"/>
          <w:u w:val="single"/>
          <w:lang w:val="it-IT"/>
        </w:rPr>
        <w:fldChar w:fldCharType="begin"/>
      </w:r>
      <w:r w:rsidR="0092155C">
        <w:rPr>
          <w:szCs w:val="22"/>
          <w:u w:val="single"/>
          <w:lang w:val="it-IT"/>
        </w:rPr>
        <w:instrText xml:space="preserve"> DOCVARIABLE vault_nd_fe9e60e6-57d4-4f0b-96be-be073d543732 \* MERGEFORMAT </w:instrText>
      </w:r>
      <w:r w:rsidR="0092155C">
        <w:rPr>
          <w:szCs w:val="22"/>
          <w:u w:val="single"/>
          <w:lang w:val="it-IT"/>
        </w:rPr>
        <w:fldChar w:fldCharType="separate"/>
      </w:r>
      <w:r w:rsidR="0092155C">
        <w:rPr>
          <w:szCs w:val="22"/>
          <w:u w:val="single"/>
          <w:lang w:val="it-IT"/>
        </w:rPr>
        <w:t xml:space="preserve"> </w:t>
      </w:r>
      <w:r w:rsidR="0092155C">
        <w:rPr>
          <w:szCs w:val="22"/>
          <w:u w:val="single"/>
          <w:lang w:val="it-IT"/>
        </w:rPr>
        <w:fldChar w:fldCharType="end"/>
      </w:r>
    </w:p>
    <w:p w14:paraId="72B23189" w14:textId="77777777" w:rsidR="0084378B" w:rsidRPr="00C9575C" w:rsidRDefault="0084378B">
      <w:pPr>
        <w:widowControl w:val="0"/>
        <w:tabs>
          <w:tab w:val="left" w:pos="567"/>
        </w:tabs>
        <w:rPr>
          <w:szCs w:val="22"/>
          <w:lang w:val="it-IT"/>
        </w:rPr>
      </w:pPr>
    </w:p>
    <w:p w14:paraId="39234683" w14:textId="785ACDFB" w:rsidR="0084378B" w:rsidRPr="00C9575C" w:rsidRDefault="0084378B">
      <w:pPr>
        <w:widowControl w:val="0"/>
        <w:tabs>
          <w:tab w:val="left" w:pos="567"/>
        </w:tabs>
        <w:rPr>
          <w:szCs w:val="22"/>
          <w:lang w:val="it-IT"/>
        </w:rPr>
      </w:pPr>
      <w:r w:rsidRPr="00C9575C">
        <w:rPr>
          <w:szCs w:val="22"/>
          <w:lang w:val="it-IT"/>
        </w:rPr>
        <w:t>Negli studi di tossicologia abacavir ha mostrato di aumentare il peso del fegato nei ratti e nelle scimmie. La rilevanza clinica di questa osservazione è sconosciuta. Dagli studi clinici, non si evidenzia che abacavir sia epatotossico. Inoltre</w:t>
      </w:r>
      <w:r w:rsidR="00E81E60">
        <w:rPr>
          <w:szCs w:val="22"/>
          <w:lang w:val="it-IT"/>
        </w:rPr>
        <w:t>,</w:t>
      </w:r>
      <w:r w:rsidRPr="00C9575C">
        <w:rPr>
          <w:szCs w:val="22"/>
          <w:lang w:val="it-IT"/>
        </w:rPr>
        <w:t xml:space="preserve"> non</w:t>
      </w:r>
      <w:r w:rsidR="00D33BA6" w:rsidRPr="00C9575C">
        <w:rPr>
          <w:szCs w:val="22"/>
          <w:lang w:val="it-IT"/>
        </w:rPr>
        <w:t xml:space="preserve"> è stata osservata nell’uomo un’</w:t>
      </w:r>
      <w:r w:rsidRPr="00C9575C">
        <w:rPr>
          <w:szCs w:val="22"/>
          <w:lang w:val="it-IT"/>
        </w:rPr>
        <w:t xml:space="preserve">autoinduzione del metabolismo di abacavir o induzione del metabolismo di altri farmaci metabolizzati a livello epatico. </w:t>
      </w:r>
    </w:p>
    <w:p w14:paraId="1954DF3E" w14:textId="77777777" w:rsidR="0084378B" w:rsidRPr="00C9575C" w:rsidRDefault="0084378B">
      <w:pPr>
        <w:widowControl w:val="0"/>
        <w:tabs>
          <w:tab w:val="left" w:pos="567"/>
        </w:tabs>
        <w:rPr>
          <w:szCs w:val="22"/>
          <w:lang w:val="it-IT"/>
        </w:rPr>
      </w:pPr>
    </w:p>
    <w:p w14:paraId="68050438" w14:textId="3F626935" w:rsidR="0084378B" w:rsidRPr="00C9575C" w:rsidRDefault="0084378B">
      <w:pPr>
        <w:widowControl w:val="0"/>
        <w:tabs>
          <w:tab w:val="left" w:pos="567"/>
        </w:tabs>
        <w:rPr>
          <w:szCs w:val="22"/>
          <w:lang w:val="it-IT"/>
        </w:rPr>
      </w:pPr>
      <w:r w:rsidRPr="00C9575C">
        <w:rPr>
          <w:szCs w:val="22"/>
          <w:lang w:val="it-IT"/>
        </w:rPr>
        <w:t xml:space="preserve">A seguito della somministrazione di abacavir per due anni, è stata osservata lieve degenerazione del miocardio nel cuore del topo e del ratto. Le esposizioni sistemiche erano pari a dosi da </w:t>
      </w:r>
      <w:smartTag w:uri="urn:schemas-microsoft-com:office:smarttags" w:element="metricconverter">
        <w:smartTagPr>
          <w:attr w:name="ProductID" w:val="7 a"/>
        </w:smartTagPr>
        <w:r w:rsidRPr="00C9575C">
          <w:rPr>
            <w:szCs w:val="22"/>
            <w:lang w:val="it-IT"/>
          </w:rPr>
          <w:t>7 a</w:t>
        </w:r>
      </w:smartTag>
      <w:r w:rsidRPr="00C9575C">
        <w:rPr>
          <w:szCs w:val="22"/>
          <w:lang w:val="it-IT"/>
        </w:rPr>
        <w:t xml:space="preserve"> 24</w:t>
      </w:r>
      <w:r w:rsidR="00F52328">
        <w:rPr>
          <w:szCs w:val="22"/>
          <w:lang w:val="it-IT"/>
        </w:rPr>
        <w:t> </w:t>
      </w:r>
      <w:r w:rsidRPr="00C9575C">
        <w:rPr>
          <w:szCs w:val="22"/>
          <w:lang w:val="it-IT"/>
        </w:rPr>
        <w:t>volte l’esposizione sistemica attesa nell’uomo. La rilevanza clinica di queste osservazioni non è stata determinata.</w:t>
      </w:r>
    </w:p>
    <w:p w14:paraId="237FC91D" w14:textId="77777777" w:rsidR="0084378B" w:rsidRPr="00C9575C" w:rsidRDefault="0084378B">
      <w:pPr>
        <w:widowControl w:val="0"/>
        <w:tabs>
          <w:tab w:val="left" w:pos="567"/>
        </w:tabs>
        <w:rPr>
          <w:szCs w:val="22"/>
          <w:lang w:val="it-IT"/>
        </w:rPr>
      </w:pPr>
    </w:p>
    <w:p w14:paraId="78531F2B" w14:textId="77777777" w:rsidR="0084378B" w:rsidRPr="00C9575C" w:rsidRDefault="00CC0BC2">
      <w:pPr>
        <w:widowControl w:val="0"/>
        <w:tabs>
          <w:tab w:val="left" w:pos="567"/>
        </w:tabs>
        <w:rPr>
          <w:szCs w:val="22"/>
          <w:u w:val="single"/>
          <w:lang w:val="it-IT"/>
        </w:rPr>
      </w:pPr>
      <w:r w:rsidRPr="00C9575C">
        <w:rPr>
          <w:szCs w:val="22"/>
          <w:u w:val="single"/>
          <w:lang w:val="it-IT"/>
        </w:rPr>
        <w:t>Tossicità riproduttiva</w:t>
      </w:r>
    </w:p>
    <w:p w14:paraId="27DFB952" w14:textId="77777777" w:rsidR="0084378B" w:rsidRPr="00C9575C" w:rsidRDefault="0084378B">
      <w:pPr>
        <w:widowControl w:val="0"/>
        <w:tabs>
          <w:tab w:val="left" w:pos="567"/>
        </w:tabs>
        <w:rPr>
          <w:szCs w:val="22"/>
          <w:u w:val="single"/>
          <w:lang w:val="it-IT"/>
        </w:rPr>
      </w:pPr>
    </w:p>
    <w:p w14:paraId="4CD54CA4" w14:textId="77777777" w:rsidR="0084378B" w:rsidRPr="00C9575C" w:rsidRDefault="0084378B">
      <w:pPr>
        <w:widowControl w:val="0"/>
        <w:tabs>
          <w:tab w:val="left" w:pos="567"/>
        </w:tabs>
        <w:rPr>
          <w:szCs w:val="22"/>
          <w:lang w:val="it-IT"/>
        </w:rPr>
      </w:pPr>
      <w:r w:rsidRPr="00C9575C">
        <w:rPr>
          <w:szCs w:val="22"/>
          <w:lang w:val="it-IT"/>
        </w:rPr>
        <w:t>Negli studi di tossicità riproduttiva negli animali, lamivudina e</w:t>
      </w:r>
      <w:r w:rsidR="009923BD" w:rsidRPr="00C9575C">
        <w:rPr>
          <w:szCs w:val="22"/>
          <w:lang w:val="it-IT"/>
        </w:rPr>
        <w:t xml:space="preserve"> </w:t>
      </w:r>
      <w:r w:rsidRPr="00C9575C">
        <w:rPr>
          <w:szCs w:val="22"/>
          <w:lang w:val="it-IT"/>
        </w:rPr>
        <w:t>abacavir hanno mostrato di attraversare la placenta.</w:t>
      </w:r>
    </w:p>
    <w:p w14:paraId="2DE9FEDB" w14:textId="77777777" w:rsidR="0084378B" w:rsidRPr="00C9575C" w:rsidRDefault="0084378B">
      <w:pPr>
        <w:widowControl w:val="0"/>
        <w:tabs>
          <w:tab w:val="left" w:pos="567"/>
        </w:tabs>
        <w:rPr>
          <w:i/>
          <w:szCs w:val="22"/>
          <w:u w:val="single"/>
          <w:lang w:val="it-IT"/>
        </w:rPr>
      </w:pPr>
    </w:p>
    <w:p w14:paraId="04E2D1C8" w14:textId="77777777" w:rsidR="0084378B" w:rsidRPr="00C9575C" w:rsidRDefault="009923BD">
      <w:pPr>
        <w:widowControl w:val="0"/>
        <w:tabs>
          <w:tab w:val="left" w:pos="567"/>
        </w:tabs>
        <w:rPr>
          <w:szCs w:val="22"/>
          <w:lang w:val="it-IT"/>
        </w:rPr>
      </w:pPr>
      <w:r w:rsidRPr="00C9575C">
        <w:rPr>
          <w:szCs w:val="22"/>
          <w:lang w:val="it-IT"/>
        </w:rPr>
        <w:t>La</w:t>
      </w:r>
      <w:r w:rsidR="0084378B" w:rsidRPr="00C9575C">
        <w:rPr>
          <w:szCs w:val="22"/>
          <w:lang w:val="it-IT"/>
        </w:rPr>
        <w:t xml:space="preserve">mivudina non si è dimostrata teratogena negli studi animali ma veniva evidenziato un incremento delle morti embrionali precoci nel coniglio ad esposizioni sistemiche relativamente basse comparabili a quelle ottenute nell’uomo. Un effetto simile non è stato visto nei ratti, anche per esposizioni sistemiche molto alte. </w:t>
      </w:r>
    </w:p>
    <w:p w14:paraId="0C969E4E" w14:textId="77777777" w:rsidR="0084378B" w:rsidRPr="00C9575C" w:rsidRDefault="0084378B">
      <w:pPr>
        <w:widowControl w:val="0"/>
        <w:tabs>
          <w:tab w:val="left" w:pos="567"/>
        </w:tabs>
        <w:rPr>
          <w:szCs w:val="22"/>
          <w:lang w:val="it-IT"/>
        </w:rPr>
      </w:pPr>
    </w:p>
    <w:p w14:paraId="0943D61B" w14:textId="77777777" w:rsidR="0084378B" w:rsidRPr="00C9575C" w:rsidRDefault="0084378B">
      <w:pPr>
        <w:widowControl w:val="0"/>
        <w:tabs>
          <w:tab w:val="left" w:pos="567"/>
        </w:tabs>
        <w:jc w:val="both"/>
        <w:rPr>
          <w:szCs w:val="22"/>
          <w:u w:val="single"/>
          <w:lang w:val="it-IT"/>
        </w:rPr>
      </w:pPr>
      <w:r w:rsidRPr="00C9575C">
        <w:rPr>
          <w:szCs w:val="22"/>
          <w:lang w:val="it-IT"/>
        </w:rPr>
        <w:t>Abacavir ha dimostrato tossicità nello sviluppo embrionale e fetale nel ratto ma non nel coniglio. Queste osservazioni includevano diminuzione del peso corporeo del feto, edema fetale e un incremento delle anomalie/malformazioni dello scheletro, morti precoci intra-uterine e nati morti. A causa di questa tossicità embrio-fetale, non può essere tratta alcuna conclusione riguardo il potenziale teratogeno di abacavir.</w:t>
      </w:r>
    </w:p>
    <w:p w14:paraId="0A796D07" w14:textId="77777777" w:rsidR="0084378B" w:rsidRPr="00C9575C" w:rsidRDefault="0084378B">
      <w:pPr>
        <w:widowControl w:val="0"/>
        <w:tabs>
          <w:tab w:val="left" w:pos="567"/>
        </w:tabs>
        <w:rPr>
          <w:szCs w:val="22"/>
          <w:lang w:val="it-IT"/>
        </w:rPr>
      </w:pPr>
    </w:p>
    <w:p w14:paraId="6F586741" w14:textId="77777777" w:rsidR="0084378B" w:rsidRPr="00C9575C" w:rsidRDefault="0084378B">
      <w:pPr>
        <w:widowControl w:val="0"/>
        <w:tabs>
          <w:tab w:val="left" w:pos="567"/>
        </w:tabs>
        <w:rPr>
          <w:szCs w:val="22"/>
          <w:lang w:val="it-IT"/>
        </w:rPr>
      </w:pPr>
      <w:r w:rsidRPr="00C9575C">
        <w:rPr>
          <w:szCs w:val="22"/>
          <w:lang w:val="it-IT"/>
        </w:rPr>
        <w:t>Uno studio di fertilità nel ratto ha mostrato che abacavir e lamivudina non avevano effetto sulla fertilità maschile e femminile.</w:t>
      </w:r>
    </w:p>
    <w:p w14:paraId="2D7E0DEB" w14:textId="77777777" w:rsidR="0084378B" w:rsidRPr="00C9575C" w:rsidRDefault="0084378B">
      <w:pPr>
        <w:widowControl w:val="0"/>
        <w:tabs>
          <w:tab w:val="left" w:pos="567"/>
        </w:tabs>
        <w:rPr>
          <w:b/>
          <w:szCs w:val="22"/>
          <w:lang w:val="it-IT"/>
        </w:rPr>
      </w:pPr>
    </w:p>
    <w:p w14:paraId="57E8BA06" w14:textId="77777777" w:rsidR="0084378B" w:rsidRPr="00C9575C" w:rsidRDefault="0084378B">
      <w:pPr>
        <w:widowControl w:val="0"/>
        <w:tabs>
          <w:tab w:val="left" w:pos="567"/>
        </w:tabs>
        <w:rPr>
          <w:b/>
          <w:szCs w:val="22"/>
          <w:lang w:val="it-IT"/>
        </w:rPr>
      </w:pPr>
    </w:p>
    <w:p w14:paraId="1635673A" w14:textId="26CE6245" w:rsidR="0084378B" w:rsidRPr="00C9575C" w:rsidRDefault="0084378B">
      <w:pPr>
        <w:keepNext/>
        <w:keepLines/>
        <w:widowControl w:val="0"/>
        <w:tabs>
          <w:tab w:val="left" w:pos="567"/>
        </w:tabs>
        <w:outlineLvl w:val="0"/>
        <w:rPr>
          <w:b/>
          <w:szCs w:val="22"/>
          <w:lang w:val="it-IT"/>
        </w:rPr>
      </w:pPr>
      <w:r w:rsidRPr="00C9575C">
        <w:rPr>
          <w:b/>
          <w:szCs w:val="22"/>
          <w:lang w:val="it-IT"/>
        </w:rPr>
        <w:t xml:space="preserve">6. </w:t>
      </w:r>
      <w:r w:rsidRPr="00C9575C">
        <w:rPr>
          <w:b/>
          <w:szCs w:val="22"/>
          <w:lang w:val="it-IT"/>
        </w:rPr>
        <w:tab/>
        <w:t>INFORMAZIONI FARMACEUTICHE</w:t>
      </w:r>
      <w:r w:rsidR="0092155C">
        <w:rPr>
          <w:b/>
          <w:szCs w:val="22"/>
          <w:lang w:val="it-IT"/>
        </w:rPr>
        <w:fldChar w:fldCharType="begin"/>
      </w:r>
      <w:r w:rsidR="0092155C">
        <w:rPr>
          <w:b/>
          <w:szCs w:val="22"/>
          <w:lang w:val="it-IT"/>
        </w:rPr>
        <w:instrText xml:space="preserve"> DOCVARIABLE VAULT_ND_24f7744c-c527-4074-bcf7-d9321e30d6a7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19C5D6E4" w14:textId="77777777" w:rsidR="0084378B" w:rsidRPr="00C9575C" w:rsidRDefault="0084378B">
      <w:pPr>
        <w:keepNext/>
        <w:keepLines/>
        <w:widowControl w:val="0"/>
        <w:tabs>
          <w:tab w:val="left" w:pos="567"/>
        </w:tabs>
        <w:rPr>
          <w:szCs w:val="22"/>
          <w:lang w:val="it-IT"/>
        </w:rPr>
      </w:pPr>
    </w:p>
    <w:p w14:paraId="55D1B2DB" w14:textId="65160F34" w:rsidR="0084378B" w:rsidRPr="00C9575C" w:rsidRDefault="0084378B">
      <w:pPr>
        <w:keepNext/>
        <w:keepLines/>
        <w:widowControl w:val="0"/>
        <w:tabs>
          <w:tab w:val="left" w:pos="567"/>
        </w:tabs>
        <w:outlineLvl w:val="0"/>
        <w:rPr>
          <w:b/>
          <w:szCs w:val="22"/>
          <w:lang w:val="it-IT"/>
        </w:rPr>
      </w:pPr>
      <w:r w:rsidRPr="00C9575C">
        <w:rPr>
          <w:b/>
          <w:szCs w:val="22"/>
          <w:lang w:val="it-IT"/>
        </w:rPr>
        <w:t>6.1</w:t>
      </w:r>
      <w:r w:rsidRPr="00C9575C">
        <w:rPr>
          <w:b/>
          <w:szCs w:val="22"/>
          <w:lang w:val="it-IT"/>
        </w:rPr>
        <w:tab/>
        <w:t>Elenco degli eccipienti</w:t>
      </w:r>
      <w:r w:rsidR="0092155C">
        <w:rPr>
          <w:b/>
          <w:szCs w:val="22"/>
          <w:lang w:val="it-IT"/>
        </w:rPr>
        <w:fldChar w:fldCharType="begin"/>
      </w:r>
      <w:r w:rsidR="0092155C">
        <w:rPr>
          <w:b/>
          <w:szCs w:val="22"/>
          <w:lang w:val="it-IT"/>
        </w:rPr>
        <w:instrText xml:space="preserve"> DOCVARIABLE vault_nd_83cd6142-5905-42a9-8f8c-295191e08076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68C76714" w14:textId="77777777" w:rsidR="0084378B" w:rsidRPr="00C9575C" w:rsidRDefault="0084378B">
      <w:pPr>
        <w:keepNext/>
        <w:keepLines/>
        <w:widowControl w:val="0"/>
        <w:tabs>
          <w:tab w:val="left" w:pos="567"/>
        </w:tabs>
        <w:rPr>
          <w:b/>
          <w:szCs w:val="22"/>
          <w:lang w:val="it-IT"/>
        </w:rPr>
      </w:pPr>
    </w:p>
    <w:p w14:paraId="44CA5D35" w14:textId="77777777" w:rsidR="0084378B" w:rsidRPr="00C9575C" w:rsidRDefault="0084378B">
      <w:pPr>
        <w:keepNext/>
        <w:keepLines/>
        <w:widowControl w:val="0"/>
        <w:tabs>
          <w:tab w:val="left" w:pos="567"/>
        </w:tabs>
        <w:rPr>
          <w:szCs w:val="22"/>
          <w:u w:val="single"/>
          <w:lang w:val="it-IT"/>
        </w:rPr>
      </w:pPr>
      <w:r w:rsidRPr="00C9575C">
        <w:rPr>
          <w:szCs w:val="22"/>
          <w:u w:val="single"/>
          <w:lang w:val="it-IT"/>
        </w:rPr>
        <w:t>Nucleo</w:t>
      </w:r>
      <w:r w:rsidR="00183579" w:rsidRPr="00C9575C">
        <w:rPr>
          <w:szCs w:val="22"/>
          <w:u w:val="single"/>
          <w:lang w:val="it-IT"/>
        </w:rPr>
        <w:t xml:space="preserve"> della compressa</w:t>
      </w:r>
    </w:p>
    <w:p w14:paraId="22668629" w14:textId="77777777" w:rsidR="0084378B" w:rsidRPr="00C9575C" w:rsidRDefault="0084378B">
      <w:pPr>
        <w:keepNext/>
        <w:keepLines/>
        <w:widowControl w:val="0"/>
        <w:tabs>
          <w:tab w:val="left" w:pos="567"/>
        </w:tabs>
        <w:rPr>
          <w:szCs w:val="22"/>
          <w:lang w:val="it-IT"/>
        </w:rPr>
      </w:pPr>
      <w:r w:rsidRPr="00C9575C">
        <w:rPr>
          <w:szCs w:val="22"/>
          <w:lang w:val="it-IT"/>
        </w:rPr>
        <w:t>magnesio stearato</w:t>
      </w:r>
    </w:p>
    <w:p w14:paraId="52358672" w14:textId="77777777" w:rsidR="0084378B" w:rsidRPr="00C9575C" w:rsidRDefault="0084378B">
      <w:pPr>
        <w:keepNext/>
        <w:keepLines/>
        <w:widowControl w:val="0"/>
        <w:tabs>
          <w:tab w:val="left" w:pos="567"/>
        </w:tabs>
        <w:rPr>
          <w:szCs w:val="22"/>
          <w:lang w:val="it-IT"/>
        </w:rPr>
      </w:pPr>
      <w:r w:rsidRPr="00C9575C">
        <w:rPr>
          <w:szCs w:val="22"/>
          <w:lang w:val="it-IT"/>
        </w:rPr>
        <w:t xml:space="preserve">cellulosa microcristallina </w:t>
      </w:r>
    </w:p>
    <w:p w14:paraId="6A739C0D" w14:textId="77777777" w:rsidR="0084378B" w:rsidRPr="00C9575C" w:rsidRDefault="0084378B">
      <w:pPr>
        <w:keepNext/>
        <w:keepLines/>
        <w:widowControl w:val="0"/>
        <w:tabs>
          <w:tab w:val="left" w:pos="567"/>
        </w:tabs>
        <w:rPr>
          <w:szCs w:val="22"/>
          <w:lang w:val="it-IT"/>
        </w:rPr>
      </w:pPr>
      <w:r w:rsidRPr="00C9575C">
        <w:rPr>
          <w:szCs w:val="22"/>
          <w:lang w:val="it-IT"/>
        </w:rPr>
        <w:t>sodio amido glicolato</w:t>
      </w:r>
    </w:p>
    <w:p w14:paraId="70369A5A" w14:textId="77777777" w:rsidR="0084378B" w:rsidRPr="00C9575C" w:rsidRDefault="0084378B">
      <w:pPr>
        <w:widowControl w:val="0"/>
        <w:tabs>
          <w:tab w:val="left" w:pos="567"/>
        </w:tabs>
        <w:rPr>
          <w:i/>
          <w:szCs w:val="22"/>
          <w:lang w:val="it-IT"/>
        </w:rPr>
      </w:pPr>
    </w:p>
    <w:p w14:paraId="79CC63A8" w14:textId="77777777" w:rsidR="0084378B" w:rsidRPr="00C9575C" w:rsidRDefault="0084378B">
      <w:pPr>
        <w:widowControl w:val="0"/>
        <w:tabs>
          <w:tab w:val="left" w:pos="567"/>
        </w:tabs>
        <w:rPr>
          <w:szCs w:val="22"/>
          <w:u w:val="single"/>
          <w:lang w:val="it-IT"/>
        </w:rPr>
      </w:pPr>
      <w:r w:rsidRPr="00C9575C">
        <w:rPr>
          <w:szCs w:val="22"/>
          <w:u w:val="single"/>
          <w:lang w:val="it-IT"/>
        </w:rPr>
        <w:t>Rivestimento</w:t>
      </w:r>
      <w:r w:rsidR="00183579" w:rsidRPr="00C9575C">
        <w:rPr>
          <w:szCs w:val="22"/>
          <w:u w:val="single"/>
          <w:lang w:val="it-IT"/>
        </w:rPr>
        <w:t xml:space="preserve"> della compressa</w:t>
      </w:r>
      <w:r w:rsidRPr="00C9575C">
        <w:rPr>
          <w:szCs w:val="22"/>
          <w:u w:val="single"/>
          <w:lang w:val="it-IT"/>
        </w:rPr>
        <w:t>:</w:t>
      </w:r>
    </w:p>
    <w:p w14:paraId="311812B4" w14:textId="77777777" w:rsidR="0084378B" w:rsidRPr="00C9575C" w:rsidRDefault="0084378B">
      <w:pPr>
        <w:widowControl w:val="0"/>
        <w:tabs>
          <w:tab w:val="left" w:pos="567"/>
        </w:tabs>
        <w:rPr>
          <w:szCs w:val="22"/>
          <w:lang w:val="it-IT"/>
        </w:rPr>
      </w:pPr>
      <w:r w:rsidRPr="00C9575C">
        <w:rPr>
          <w:szCs w:val="22"/>
          <w:lang w:val="it-IT"/>
        </w:rPr>
        <w:t>Opadry Orange YS-1-13065-A contenente:</w:t>
      </w:r>
    </w:p>
    <w:p w14:paraId="039241CF" w14:textId="77777777" w:rsidR="0084378B" w:rsidRPr="00C9575C" w:rsidRDefault="0084378B">
      <w:pPr>
        <w:widowControl w:val="0"/>
        <w:tabs>
          <w:tab w:val="left" w:pos="567"/>
        </w:tabs>
        <w:rPr>
          <w:szCs w:val="22"/>
          <w:lang w:val="it-IT"/>
        </w:rPr>
      </w:pPr>
      <w:r w:rsidRPr="00C9575C">
        <w:rPr>
          <w:szCs w:val="22"/>
          <w:lang w:val="it-IT"/>
        </w:rPr>
        <w:t>ipromellosa</w:t>
      </w:r>
    </w:p>
    <w:p w14:paraId="1CF36171" w14:textId="77777777" w:rsidR="0084378B" w:rsidRPr="00C9575C" w:rsidRDefault="0084378B">
      <w:pPr>
        <w:widowControl w:val="0"/>
        <w:tabs>
          <w:tab w:val="left" w:pos="567"/>
        </w:tabs>
        <w:rPr>
          <w:szCs w:val="22"/>
          <w:lang w:val="it-IT"/>
        </w:rPr>
      </w:pPr>
      <w:r w:rsidRPr="00C9575C">
        <w:rPr>
          <w:szCs w:val="22"/>
          <w:lang w:val="it-IT"/>
        </w:rPr>
        <w:t xml:space="preserve">titanio biossido </w:t>
      </w:r>
    </w:p>
    <w:p w14:paraId="3FEDEB37" w14:textId="77777777" w:rsidR="0084378B" w:rsidRPr="00C9575C" w:rsidRDefault="0084378B">
      <w:pPr>
        <w:widowControl w:val="0"/>
        <w:tabs>
          <w:tab w:val="left" w:pos="567"/>
        </w:tabs>
        <w:rPr>
          <w:szCs w:val="22"/>
          <w:lang w:val="it-IT"/>
        </w:rPr>
      </w:pPr>
      <w:r w:rsidRPr="00C9575C">
        <w:rPr>
          <w:szCs w:val="22"/>
          <w:lang w:val="it-IT"/>
        </w:rPr>
        <w:t>macrogol 400</w:t>
      </w:r>
    </w:p>
    <w:p w14:paraId="25657B8B" w14:textId="77777777" w:rsidR="0084378B" w:rsidRPr="00C9575C" w:rsidRDefault="0084378B">
      <w:pPr>
        <w:widowControl w:val="0"/>
        <w:tabs>
          <w:tab w:val="left" w:pos="567"/>
        </w:tabs>
        <w:rPr>
          <w:szCs w:val="22"/>
          <w:lang w:val="it-IT"/>
        </w:rPr>
      </w:pPr>
      <w:r w:rsidRPr="00C9575C">
        <w:rPr>
          <w:szCs w:val="22"/>
          <w:lang w:val="it-IT"/>
        </w:rPr>
        <w:t>polisorbato 80</w:t>
      </w:r>
    </w:p>
    <w:p w14:paraId="41413FD0" w14:textId="77777777" w:rsidR="0084378B" w:rsidRPr="00C9575C" w:rsidRDefault="0084378B">
      <w:pPr>
        <w:widowControl w:val="0"/>
        <w:tabs>
          <w:tab w:val="left" w:pos="567"/>
        </w:tabs>
        <w:rPr>
          <w:szCs w:val="22"/>
          <w:lang w:val="it-IT"/>
        </w:rPr>
      </w:pPr>
      <w:r w:rsidRPr="00C9575C">
        <w:rPr>
          <w:szCs w:val="22"/>
          <w:lang w:val="it-IT"/>
        </w:rPr>
        <w:t xml:space="preserve">colorante giallo tramonto </w:t>
      </w:r>
      <w:r w:rsidR="00183579" w:rsidRPr="00C9575C">
        <w:rPr>
          <w:szCs w:val="22"/>
          <w:lang w:val="it-IT"/>
        </w:rPr>
        <w:t xml:space="preserve">FCF </w:t>
      </w:r>
      <w:r w:rsidRPr="00C9575C">
        <w:rPr>
          <w:szCs w:val="22"/>
          <w:lang w:val="it-IT"/>
        </w:rPr>
        <w:t>(E110)</w:t>
      </w:r>
    </w:p>
    <w:p w14:paraId="7F39F0DD" w14:textId="77777777" w:rsidR="006927F1" w:rsidRPr="00C9575C" w:rsidRDefault="006927F1">
      <w:pPr>
        <w:widowControl w:val="0"/>
        <w:tabs>
          <w:tab w:val="left" w:pos="567"/>
        </w:tabs>
        <w:rPr>
          <w:szCs w:val="22"/>
          <w:lang w:val="it-IT"/>
        </w:rPr>
      </w:pPr>
    </w:p>
    <w:p w14:paraId="6CDA5A79" w14:textId="4E36F32F" w:rsidR="0084378B" w:rsidRPr="00C9575C" w:rsidRDefault="0084378B">
      <w:pPr>
        <w:widowControl w:val="0"/>
        <w:tabs>
          <w:tab w:val="left" w:pos="567"/>
        </w:tabs>
        <w:outlineLvl w:val="0"/>
        <w:rPr>
          <w:b/>
          <w:szCs w:val="22"/>
          <w:lang w:val="it-IT"/>
        </w:rPr>
      </w:pPr>
      <w:r w:rsidRPr="00C9575C">
        <w:rPr>
          <w:b/>
          <w:szCs w:val="22"/>
          <w:lang w:val="it-IT"/>
        </w:rPr>
        <w:t>6.2</w:t>
      </w:r>
      <w:r w:rsidRPr="00C9575C">
        <w:rPr>
          <w:b/>
          <w:szCs w:val="22"/>
          <w:lang w:val="it-IT"/>
        </w:rPr>
        <w:tab/>
        <w:t>Incompatibilità</w:t>
      </w:r>
      <w:r w:rsidR="0092155C">
        <w:rPr>
          <w:b/>
          <w:szCs w:val="22"/>
          <w:lang w:val="it-IT"/>
        </w:rPr>
        <w:fldChar w:fldCharType="begin"/>
      </w:r>
      <w:r w:rsidR="0092155C">
        <w:rPr>
          <w:b/>
          <w:szCs w:val="22"/>
          <w:lang w:val="it-IT"/>
        </w:rPr>
        <w:instrText xml:space="preserve"> DOCVARIABLE vault_nd_435c04bd-c566-4422-acff-223c6bfa96ea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0FCDCE78" w14:textId="77777777" w:rsidR="0084378B" w:rsidRPr="00C9575C" w:rsidRDefault="0084378B">
      <w:pPr>
        <w:widowControl w:val="0"/>
        <w:tabs>
          <w:tab w:val="left" w:pos="567"/>
        </w:tabs>
        <w:rPr>
          <w:b/>
          <w:szCs w:val="22"/>
          <w:lang w:val="it-IT"/>
        </w:rPr>
      </w:pPr>
    </w:p>
    <w:p w14:paraId="65768478" w14:textId="013113AC" w:rsidR="0084378B" w:rsidRPr="00C9575C" w:rsidRDefault="0084378B">
      <w:pPr>
        <w:widowControl w:val="0"/>
        <w:tabs>
          <w:tab w:val="left" w:pos="567"/>
        </w:tabs>
        <w:outlineLvl w:val="0"/>
        <w:rPr>
          <w:szCs w:val="22"/>
          <w:lang w:val="it-IT"/>
        </w:rPr>
      </w:pPr>
      <w:r w:rsidRPr="00C9575C">
        <w:rPr>
          <w:szCs w:val="22"/>
          <w:lang w:val="it-IT"/>
        </w:rPr>
        <w:t>Non pertinente.</w:t>
      </w:r>
      <w:r w:rsidR="0092155C">
        <w:rPr>
          <w:szCs w:val="22"/>
          <w:lang w:val="it-IT"/>
        </w:rPr>
        <w:fldChar w:fldCharType="begin"/>
      </w:r>
      <w:r w:rsidR="0092155C">
        <w:rPr>
          <w:szCs w:val="22"/>
          <w:lang w:val="it-IT"/>
        </w:rPr>
        <w:instrText xml:space="preserve"> DOCVARIABLE vault_nd_e681d996-1386-4a88-a97f-44f682ea7dc4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0EC4D640" w14:textId="77777777" w:rsidR="00DF4AC4" w:rsidRPr="00C9575C" w:rsidRDefault="00DF4AC4">
      <w:pPr>
        <w:widowControl w:val="0"/>
        <w:tabs>
          <w:tab w:val="left" w:pos="567"/>
        </w:tabs>
        <w:outlineLvl w:val="0"/>
        <w:rPr>
          <w:szCs w:val="22"/>
          <w:lang w:val="it-IT"/>
        </w:rPr>
      </w:pPr>
    </w:p>
    <w:p w14:paraId="4BDA7571" w14:textId="55AFF68B" w:rsidR="0084378B" w:rsidRPr="00C9575C" w:rsidRDefault="0084378B">
      <w:pPr>
        <w:widowControl w:val="0"/>
        <w:tabs>
          <w:tab w:val="left" w:pos="567"/>
        </w:tabs>
        <w:outlineLvl w:val="0"/>
        <w:rPr>
          <w:b/>
          <w:szCs w:val="22"/>
          <w:lang w:val="it-IT"/>
        </w:rPr>
      </w:pPr>
      <w:r w:rsidRPr="00C9575C">
        <w:rPr>
          <w:b/>
          <w:szCs w:val="22"/>
          <w:lang w:val="it-IT"/>
        </w:rPr>
        <w:t>6.3</w:t>
      </w:r>
      <w:r w:rsidRPr="00C9575C">
        <w:rPr>
          <w:b/>
          <w:szCs w:val="22"/>
          <w:lang w:val="it-IT"/>
        </w:rPr>
        <w:tab/>
        <w:t>Periodo di validità</w:t>
      </w:r>
      <w:r w:rsidR="0092155C">
        <w:rPr>
          <w:b/>
          <w:szCs w:val="22"/>
          <w:lang w:val="it-IT"/>
        </w:rPr>
        <w:fldChar w:fldCharType="begin"/>
      </w:r>
      <w:r w:rsidR="0092155C">
        <w:rPr>
          <w:b/>
          <w:szCs w:val="22"/>
          <w:lang w:val="it-IT"/>
        </w:rPr>
        <w:instrText xml:space="preserve"> DOCVARIABLE vault_nd_9db212b9-d634-4d55-8bf0-25f914b79d86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16D8476C" w14:textId="77777777" w:rsidR="0084378B" w:rsidRPr="00C9575C" w:rsidRDefault="0084378B">
      <w:pPr>
        <w:widowControl w:val="0"/>
        <w:tabs>
          <w:tab w:val="left" w:pos="567"/>
        </w:tabs>
        <w:rPr>
          <w:b/>
          <w:szCs w:val="22"/>
          <w:lang w:val="it-IT"/>
        </w:rPr>
      </w:pPr>
    </w:p>
    <w:p w14:paraId="0238A5C6" w14:textId="77777777" w:rsidR="0084378B" w:rsidRPr="00C9575C" w:rsidRDefault="0084378B">
      <w:pPr>
        <w:widowControl w:val="0"/>
        <w:tabs>
          <w:tab w:val="left" w:pos="567"/>
        </w:tabs>
        <w:rPr>
          <w:szCs w:val="22"/>
          <w:lang w:val="it-IT"/>
        </w:rPr>
      </w:pPr>
      <w:r w:rsidRPr="00C9575C">
        <w:rPr>
          <w:szCs w:val="22"/>
          <w:lang w:val="it-IT"/>
        </w:rPr>
        <w:t>3 anni.</w:t>
      </w:r>
    </w:p>
    <w:p w14:paraId="523C3E7F" w14:textId="3D6AEB39" w:rsidR="00D93236" w:rsidRDefault="00D93236">
      <w:pPr>
        <w:widowControl w:val="0"/>
        <w:tabs>
          <w:tab w:val="left" w:pos="567"/>
        </w:tabs>
        <w:rPr>
          <w:szCs w:val="22"/>
          <w:lang w:val="it-IT"/>
        </w:rPr>
      </w:pPr>
    </w:p>
    <w:p w14:paraId="49CEC2CC" w14:textId="77777777" w:rsidR="00F52328" w:rsidRPr="00C9575C" w:rsidRDefault="00F52328">
      <w:pPr>
        <w:widowControl w:val="0"/>
        <w:tabs>
          <w:tab w:val="left" w:pos="567"/>
        </w:tabs>
        <w:rPr>
          <w:szCs w:val="22"/>
          <w:lang w:val="it-IT"/>
        </w:rPr>
      </w:pPr>
    </w:p>
    <w:p w14:paraId="6C36765D" w14:textId="19C7F7C2" w:rsidR="0084378B" w:rsidRPr="00C9575C" w:rsidRDefault="0084378B">
      <w:pPr>
        <w:widowControl w:val="0"/>
        <w:tabs>
          <w:tab w:val="left" w:pos="567"/>
        </w:tabs>
        <w:outlineLvl w:val="0"/>
        <w:rPr>
          <w:b/>
          <w:szCs w:val="22"/>
          <w:lang w:val="it-IT"/>
        </w:rPr>
      </w:pPr>
      <w:r w:rsidRPr="00C9575C">
        <w:rPr>
          <w:b/>
          <w:szCs w:val="22"/>
          <w:lang w:val="it-IT"/>
        </w:rPr>
        <w:lastRenderedPageBreak/>
        <w:t>6.4</w:t>
      </w:r>
      <w:r w:rsidRPr="00C9575C">
        <w:rPr>
          <w:b/>
          <w:szCs w:val="22"/>
          <w:lang w:val="it-IT"/>
        </w:rPr>
        <w:tab/>
        <w:t>Precauzioni particolari per la conservazione</w:t>
      </w:r>
      <w:r w:rsidR="0092155C">
        <w:rPr>
          <w:b/>
          <w:szCs w:val="22"/>
          <w:lang w:val="it-IT"/>
        </w:rPr>
        <w:fldChar w:fldCharType="begin"/>
      </w:r>
      <w:r w:rsidR="0092155C">
        <w:rPr>
          <w:b/>
          <w:szCs w:val="22"/>
          <w:lang w:val="it-IT"/>
        </w:rPr>
        <w:instrText xml:space="preserve"> DOCVARIABLE vault_nd_34a65321-388b-4405-b2a5-1eb6267b8d17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0067B1AB" w14:textId="77777777" w:rsidR="0084378B" w:rsidRPr="00C9575C" w:rsidRDefault="0084378B">
      <w:pPr>
        <w:widowControl w:val="0"/>
        <w:tabs>
          <w:tab w:val="left" w:pos="567"/>
        </w:tabs>
        <w:rPr>
          <w:b/>
          <w:szCs w:val="22"/>
          <w:lang w:val="it-IT"/>
        </w:rPr>
      </w:pPr>
    </w:p>
    <w:p w14:paraId="2517A58B" w14:textId="511DB861" w:rsidR="0084378B" w:rsidRPr="00C9575C" w:rsidRDefault="0084378B">
      <w:pPr>
        <w:widowControl w:val="0"/>
        <w:tabs>
          <w:tab w:val="left" w:pos="567"/>
        </w:tabs>
        <w:outlineLvl w:val="0"/>
        <w:rPr>
          <w:szCs w:val="22"/>
          <w:lang w:val="it-IT"/>
        </w:rPr>
      </w:pPr>
      <w:r w:rsidRPr="00C9575C">
        <w:rPr>
          <w:szCs w:val="22"/>
          <w:lang w:val="it-IT"/>
        </w:rPr>
        <w:t xml:space="preserve">Conservare a temperatura non superiore ai </w:t>
      </w:r>
      <w:smartTag w:uri="urn:schemas-microsoft-com:office:smarttags" w:element="metricconverter">
        <w:smartTagPr>
          <w:attr w:name="ProductID" w:val="30ﾰC"/>
        </w:smartTagPr>
        <w:r w:rsidRPr="00C9575C">
          <w:rPr>
            <w:szCs w:val="22"/>
            <w:lang w:val="it-IT"/>
          </w:rPr>
          <w:t>30°C</w:t>
        </w:r>
      </w:smartTag>
      <w:r w:rsidRPr="00C9575C">
        <w:rPr>
          <w:szCs w:val="22"/>
          <w:lang w:val="it-IT"/>
        </w:rPr>
        <w:t>.</w:t>
      </w:r>
      <w:r w:rsidR="0092155C">
        <w:rPr>
          <w:szCs w:val="22"/>
          <w:lang w:val="it-IT"/>
        </w:rPr>
        <w:fldChar w:fldCharType="begin"/>
      </w:r>
      <w:r w:rsidR="0092155C">
        <w:rPr>
          <w:szCs w:val="22"/>
          <w:lang w:val="it-IT"/>
        </w:rPr>
        <w:instrText xml:space="preserve"> DOCVARIABLE vault_nd_eb870df7-32ab-4f2d-9d47-86e61063a16f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173696B9" w14:textId="77777777" w:rsidR="0084378B" w:rsidRPr="00C9575C" w:rsidRDefault="0084378B">
      <w:pPr>
        <w:widowControl w:val="0"/>
        <w:tabs>
          <w:tab w:val="left" w:pos="567"/>
        </w:tabs>
        <w:rPr>
          <w:szCs w:val="22"/>
          <w:lang w:val="it-IT"/>
        </w:rPr>
      </w:pPr>
    </w:p>
    <w:p w14:paraId="2440F52D" w14:textId="0822672A" w:rsidR="0084378B" w:rsidRPr="00C9575C" w:rsidRDefault="0084378B">
      <w:pPr>
        <w:widowControl w:val="0"/>
        <w:tabs>
          <w:tab w:val="left" w:pos="567"/>
        </w:tabs>
        <w:outlineLvl w:val="0"/>
        <w:rPr>
          <w:b/>
          <w:szCs w:val="22"/>
          <w:lang w:val="it-IT"/>
        </w:rPr>
      </w:pPr>
      <w:r w:rsidRPr="00C9575C">
        <w:rPr>
          <w:b/>
          <w:szCs w:val="22"/>
          <w:lang w:val="it-IT"/>
        </w:rPr>
        <w:t>6.5</w:t>
      </w:r>
      <w:r w:rsidRPr="00C9575C">
        <w:rPr>
          <w:b/>
          <w:szCs w:val="22"/>
          <w:lang w:val="it-IT"/>
        </w:rPr>
        <w:tab/>
        <w:t>Natura e contenuto del contenitore</w:t>
      </w:r>
      <w:r w:rsidR="0092155C">
        <w:rPr>
          <w:b/>
          <w:szCs w:val="22"/>
          <w:lang w:val="it-IT"/>
        </w:rPr>
        <w:fldChar w:fldCharType="begin"/>
      </w:r>
      <w:r w:rsidR="0092155C">
        <w:rPr>
          <w:b/>
          <w:szCs w:val="22"/>
          <w:lang w:val="it-IT"/>
        </w:rPr>
        <w:instrText xml:space="preserve"> DOCVARIABLE vault_nd_11f8f6ad-8706-42a3-bb3d-c7e5be9ce249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6B0A7B23" w14:textId="77777777" w:rsidR="0084378B" w:rsidRPr="00C9575C" w:rsidRDefault="0084378B">
      <w:pPr>
        <w:widowControl w:val="0"/>
        <w:tabs>
          <w:tab w:val="left" w:pos="567"/>
        </w:tabs>
        <w:rPr>
          <w:szCs w:val="22"/>
          <w:lang w:val="it-IT"/>
        </w:rPr>
      </w:pPr>
    </w:p>
    <w:p w14:paraId="0C22EBF9" w14:textId="77777777" w:rsidR="0084378B" w:rsidRPr="00C9575C" w:rsidRDefault="0084378B">
      <w:pPr>
        <w:widowControl w:val="0"/>
        <w:tabs>
          <w:tab w:val="left" w:pos="567"/>
        </w:tabs>
        <w:rPr>
          <w:szCs w:val="22"/>
          <w:lang w:val="it-IT"/>
        </w:rPr>
      </w:pPr>
      <w:r w:rsidRPr="00C9575C">
        <w:rPr>
          <w:szCs w:val="22"/>
          <w:lang w:val="it-IT"/>
        </w:rPr>
        <w:t>30 compresse in confezioni contenenti blister bianco opachi</w:t>
      </w:r>
      <w:r w:rsidR="00AF1EEC" w:rsidRPr="00C9575C">
        <w:rPr>
          <w:szCs w:val="22"/>
          <w:lang w:val="it-IT"/>
        </w:rPr>
        <w:t xml:space="preserve"> </w:t>
      </w:r>
      <w:r w:rsidRPr="00C9575C">
        <w:rPr>
          <w:szCs w:val="22"/>
          <w:lang w:val="it-IT"/>
        </w:rPr>
        <w:t>(PVC/PVDC</w:t>
      </w:r>
      <w:r w:rsidR="00E54E03" w:rsidRPr="00C9575C">
        <w:rPr>
          <w:szCs w:val="22"/>
          <w:lang w:val="it-IT"/>
        </w:rPr>
        <w:t>-A</w:t>
      </w:r>
      <w:r w:rsidRPr="00C9575C">
        <w:rPr>
          <w:szCs w:val="22"/>
          <w:lang w:val="it-IT"/>
        </w:rPr>
        <w:t>lluminio</w:t>
      </w:r>
      <w:r w:rsidR="00E54E03" w:rsidRPr="00C9575C">
        <w:rPr>
          <w:szCs w:val="22"/>
          <w:lang w:val="it-IT"/>
        </w:rPr>
        <w:t>/Carta</w:t>
      </w:r>
      <w:r w:rsidRPr="00C9575C">
        <w:rPr>
          <w:szCs w:val="22"/>
          <w:lang w:val="it-IT"/>
        </w:rPr>
        <w:t xml:space="preserve">) </w:t>
      </w:r>
      <w:r w:rsidR="00166C7B" w:rsidRPr="00C9575C">
        <w:rPr>
          <w:szCs w:val="22"/>
          <w:lang w:val="it-IT"/>
        </w:rPr>
        <w:t>a prova di bambino</w:t>
      </w:r>
      <w:r w:rsidRPr="00C9575C">
        <w:rPr>
          <w:szCs w:val="22"/>
          <w:lang w:val="it-IT"/>
        </w:rPr>
        <w:t>.</w:t>
      </w:r>
    </w:p>
    <w:p w14:paraId="32C3657B" w14:textId="77777777" w:rsidR="0084378B" w:rsidRPr="00C9575C" w:rsidRDefault="009D2609">
      <w:pPr>
        <w:widowControl w:val="0"/>
        <w:tabs>
          <w:tab w:val="left" w:pos="567"/>
        </w:tabs>
        <w:rPr>
          <w:szCs w:val="22"/>
          <w:lang w:val="it-IT"/>
        </w:rPr>
      </w:pPr>
      <w:r w:rsidRPr="00C9575C">
        <w:rPr>
          <w:szCs w:val="22"/>
          <w:lang w:val="it-IT"/>
        </w:rPr>
        <w:t xml:space="preserve">Confezione multipla contenente </w:t>
      </w:r>
      <w:r w:rsidR="0084378B" w:rsidRPr="00C9575C">
        <w:rPr>
          <w:szCs w:val="22"/>
          <w:lang w:val="it-IT"/>
        </w:rPr>
        <w:t>90 (3</w:t>
      </w:r>
      <w:r w:rsidRPr="00C9575C">
        <w:rPr>
          <w:szCs w:val="22"/>
          <w:lang w:val="it-IT"/>
        </w:rPr>
        <w:t xml:space="preserve"> confezioni da </w:t>
      </w:r>
      <w:r w:rsidR="0084378B" w:rsidRPr="00C9575C">
        <w:rPr>
          <w:szCs w:val="22"/>
          <w:lang w:val="it-IT"/>
        </w:rPr>
        <w:t>30) compresse in confezioni contenenti blister bianco opachi</w:t>
      </w:r>
      <w:r w:rsidR="00AF1EEC" w:rsidRPr="00C9575C">
        <w:rPr>
          <w:szCs w:val="22"/>
          <w:lang w:val="it-IT"/>
        </w:rPr>
        <w:t xml:space="preserve"> </w:t>
      </w:r>
      <w:r w:rsidR="0084378B" w:rsidRPr="00C9575C">
        <w:rPr>
          <w:szCs w:val="22"/>
          <w:lang w:val="it-IT"/>
        </w:rPr>
        <w:t>(PVC/PVDC</w:t>
      </w:r>
      <w:r w:rsidR="00AF1EEC" w:rsidRPr="00C9575C">
        <w:rPr>
          <w:szCs w:val="22"/>
          <w:lang w:val="it-IT"/>
        </w:rPr>
        <w:t>-A</w:t>
      </w:r>
      <w:r w:rsidR="0084378B" w:rsidRPr="00C9575C">
        <w:rPr>
          <w:szCs w:val="22"/>
          <w:lang w:val="it-IT"/>
        </w:rPr>
        <w:t>lluminio</w:t>
      </w:r>
      <w:r w:rsidR="00AF1EEC" w:rsidRPr="00C9575C">
        <w:rPr>
          <w:szCs w:val="22"/>
          <w:lang w:val="it-IT"/>
        </w:rPr>
        <w:t>/Carta</w:t>
      </w:r>
      <w:r w:rsidR="0084378B" w:rsidRPr="00C9575C">
        <w:rPr>
          <w:szCs w:val="22"/>
          <w:lang w:val="it-IT"/>
        </w:rPr>
        <w:t>)</w:t>
      </w:r>
      <w:r w:rsidR="00166C7B" w:rsidRPr="00C9575C">
        <w:rPr>
          <w:szCs w:val="22"/>
          <w:lang w:val="it-IT"/>
        </w:rPr>
        <w:t xml:space="preserve"> a prova di bambino</w:t>
      </w:r>
      <w:r w:rsidR="0084378B" w:rsidRPr="00C9575C">
        <w:rPr>
          <w:szCs w:val="22"/>
          <w:lang w:val="it-IT"/>
        </w:rPr>
        <w:t>.</w:t>
      </w:r>
    </w:p>
    <w:p w14:paraId="0D18F81A" w14:textId="77777777" w:rsidR="00351BB5" w:rsidRPr="00C9575C" w:rsidRDefault="00351BB5">
      <w:pPr>
        <w:widowControl w:val="0"/>
        <w:tabs>
          <w:tab w:val="left" w:pos="567"/>
        </w:tabs>
        <w:rPr>
          <w:szCs w:val="22"/>
          <w:lang w:val="it-IT"/>
        </w:rPr>
      </w:pPr>
    </w:p>
    <w:p w14:paraId="11F2BDD0" w14:textId="77777777" w:rsidR="0084378B" w:rsidRPr="00C9575C" w:rsidRDefault="0084378B">
      <w:pPr>
        <w:widowControl w:val="0"/>
        <w:tabs>
          <w:tab w:val="left" w:pos="567"/>
        </w:tabs>
        <w:rPr>
          <w:szCs w:val="22"/>
          <w:lang w:val="it-IT"/>
        </w:rPr>
      </w:pPr>
      <w:r w:rsidRPr="00C9575C">
        <w:rPr>
          <w:szCs w:val="22"/>
          <w:lang w:val="it-IT"/>
        </w:rPr>
        <w:t>È possibile che non tutte le confezioni siano commercializzate.</w:t>
      </w:r>
    </w:p>
    <w:p w14:paraId="2868892A" w14:textId="77777777" w:rsidR="0084378B" w:rsidRPr="00C9575C" w:rsidRDefault="0084378B">
      <w:pPr>
        <w:widowControl w:val="0"/>
        <w:tabs>
          <w:tab w:val="left" w:pos="567"/>
        </w:tabs>
        <w:rPr>
          <w:i/>
          <w:szCs w:val="22"/>
          <w:lang w:val="it-IT"/>
        </w:rPr>
      </w:pPr>
    </w:p>
    <w:p w14:paraId="4D62D75D" w14:textId="51107A4B" w:rsidR="0084378B" w:rsidRPr="00C9575C" w:rsidRDefault="0084378B">
      <w:pPr>
        <w:widowControl w:val="0"/>
        <w:tabs>
          <w:tab w:val="left" w:pos="567"/>
        </w:tabs>
        <w:ind w:left="567" w:hanging="567"/>
        <w:outlineLvl w:val="0"/>
        <w:rPr>
          <w:szCs w:val="22"/>
          <w:lang w:val="it-IT"/>
        </w:rPr>
      </w:pPr>
      <w:r w:rsidRPr="00C9575C">
        <w:rPr>
          <w:b/>
          <w:szCs w:val="22"/>
          <w:lang w:val="it-IT"/>
        </w:rPr>
        <w:t>6.6</w:t>
      </w:r>
      <w:r w:rsidRPr="00C9575C">
        <w:rPr>
          <w:b/>
          <w:szCs w:val="22"/>
          <w:lang w:val="it-IT"/>
        </w:rPr>
        <w:tab/>
        <w:t>Precauzioni particolari per lo smaltimento</w:t>
      </w:r>
      <w:r w:rsidR="0092155C">
        <w:rPr>
          <w:b/>
          <w:szCs w:val="22"/>
          <w:lang w:val="it-IT"/>
        </w:rPr>
        <w:fldChar w:fldCharType="begin"/>
      </w:r>
      <w:r w:rsidR="0092155C">
        <w:rPr>
          <w:b/>
          <w:szCs w:val="22"/>
          <w:lang w:val="it-IT"/>
        </w:rPr>
        <w:instrText xml:space="preserve"> DOCVARIABLE vault_nd_bab6ac4c-9a77-4357-832b-2e2dd2ae730f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63ECF315" w14:textId="77777777" w:rsidR="0084378B" w:rsidRPr="00C9575C" w:rsidRDefault="0084378B">
      <w:pPr>
        <w:widowControl w:val="0"/>
        <w:tabs>
          <w:tab w:val="left" w:pos="567"/>
        </w:tabs>
        <w:rPr>
          <w:szCs w:val="22"/>
          <w:lang w:val="it-IT"/>
        </w:rPr>
      </w:pPr>
    </w:p>
    <w:p w14:paraId="143666D7" w14:textId="58B5AFC2" w:rsidR="0084378B" w:rsidRPr="00C9575C" w:rsidRDefault="0084378B">
      <w:pPr>
        <w:widowControl w:val="0"/>
        <w:tabs>
          <w:tab w:val="left" w:pos="567"/>
        </w:tabs>
        <w:outlineLvl w:val="0"/>
        <w:rPr>
          <w:szCs w:val="22"/>
          <w:lang w:val="it-IT"/>
        </w:rPr>
      </w:pPr>
      <w:r w:rsidRPr="00C9575C">
        <w:rPr>
          <w:szCs w:val="22"/>
          <w:lang w:val="it-IT"/>
        </w:rPr>
        <w:t>Nessuna istruzione particolare</w:t>
      </w:r>
      <w:r w:rsidR="00BE0455" w:rsidRPr="00C9575C">
        <w:rPr>
          <w:szCs w:val="22"/>
          <w:lang w:val="it-IT"/>
        </w:rPr>
        <w:t xml:space="preserve"> per lo smaltimento</w:t>
      </w:r>
      <w:r w:rsidRPr="00C9575C">
        <w:rPr>
          <w:szCs w:val="22"/>
          <w:lang w:val="it-IT"/>
        </w:rPr>
        <w:t>.</w:t>
      </w:r>
      <w:r w:rsidR="0092155C">
        <w:rPr>
          <w:szCs w:val="22"/>
          <w:lang w:val="it-IT"/>
        </w:rPr>
        <w:fldChar w:fldCharType="begin"/>
      </w:r>
      <w:r w:rsidR="0092155C">
        <w:rPr>
          <w:szCs w:val="22"/>
          <w:lang w:val="it-IT"/>
        </w:rPr>
        <w:instrText xml:space="preserve"> DOCVARIABLE vault_nd_66d85444-450b-4f8b-b53e-ecca3ccf894c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06140367" w14:textId="77777777" w:rsidR="0084378B" w:rsidRPr="00C9575C" w:rsidRDefault="0084378B">
      <w:pPr>
        <w:widowControl w:val="0"/>
        <w:tabs>
          <w:tab w:val="left" w:pos="567"/>
        </w:tabs>
        <w:rPr>
          <w:szCs w:val="22"/>
          <w:lang w:val="it-IT"/>
        </w:rPr>
      </w:pPr>
    </w:p>
    <w:p w14:paraId="48D329DC" w14:textId="77777777" w:rsidR="0084378B" w:rsidRPr="00C9575C" w:rsidRDefault="0084378B">
      <w:pPr>
        <w:widowControl w:val="0"/>
        <w:tabs>
          <w:tab w:val="left" w:pos="567"/>
        </w:tabs>
        <w:rPr>
          <w:szCs w:val="22"/>
          <w:lang w:val="it-IT"/>
        </w:rPr>
      </w:pPr>
    </w:p>
    <w:p w14:paraId="67F9B389" w14:textId="7978EC91" w:rsidR="0084378B" w:rsidRPr="00C9575C" w:rsidRDefault="0084378B">
      <w:pPr>
        <w:widowControl w:val="0"/>
        <w:tabs>
          <w:tab w:val="left" w:pos="567"/>
        </w:tabs>
        <w:outlineLvl w:val="0"/>
        <w:rPr>
          <w:b/>
          <w:caps/>
          <w:szCs w:val="22"/>
          <w:lang w:val="it-IT"/>
        </w:rPr>
      </w:pPr>
      <w:r w:rsidRPr="00C9575C">
        <w:rPr>
          <w:b/>
          <w:szCs w:val="22"/>
          <w:lang w:val="it-IT"/>
        </w:rPr>
        <w:t>7.</w:t>
      </w:r>
      <w:r w:rsidRPr="00C9575C">
        <w:rPr>
          <w:b/>
          <w:szCs w:val="22"/>
          <w:lang w:val="it-IT"/>
        </w:rPr>
        <w:tab/>
      </w:r>
      <w:r w:rsidRPr="00C9575C">
        <w:rPr>
          <w:b/>
          <w:caps/>
          <w:szCs w:val="22"/>
          <w:lang w:val="it-IT"/>
        </w:rPr>
        <w:t>titolare dell'autorizzazione all'immissione in commercio</w:t>
      </w:r>
      <w:r w:rsidR="0092155C">
        <w:rPr>
          <w:b/>
          <w:caps/>
          <w:szCs w:val="22"/>
          <w:lang w:val="it-IT"/>
        </w:rPr>
        <w:fldChar w:fldCharType="begin"/>
      </w:r>
      <w:r w:rsidR="0092155C">
        <w:rPr>
          <w:b/>
          <w:caps/>
          <w:szCs w:val="22"/>
          <w:lang w:val="it-IT"/>
        </w:rPr>
        <w:instrText xml:space="preserve"> DOCVARIABLE VAULT_ND_8d8bea45-736a-44d4-ad46-1549a3bd8e2c \* MERGEFORMAT </w:instrText>
      </w:r>
      <w:r w:rsidR="0092155C">
        <w:rPr>
          <w:b/>
          <w:caps/>
          <w:szCs w:val="22"/>
          <w:lang w:val="it-IT"/>
        </w:rPr>
        <w:fldChar w:fldCharType="separate"/>
      </w:r>
      <w:r w:rsidR="0092155C">
        <w:rPr>
          <w:b/>
          <w:caps/>
          <w:szCs w:val="22"/>
          <w:lang w:val="it-IT"/>
        </w:rPr>
        <w:t xml:space="preserve"> </w:t>
      </w:r>
      <w:r w:rsidR="0092155C">
        <w:rPr>
          <w:b/>
          <w:caps/>
          <w:szCs w:val="22"/>
          <w:lang w:val="it-IT"/>
        </w:rPr>
        <w:fldChar w:fldCharType="end"/>
      </w:r>
    </w:p>
    <w:p w14:paraId="71698E12" w14:textId="77777777" w:rsidR="0084378B" w:rsidRPr="00C9575C" w:rsidRDefault="0084378B">
      <w:pPr>
        <w:widowControl w:val="0"/>
        <w:tabs>
          <w:tab w:val="left" w:pos="567"/>
        </w:tabs>
        <w:rPr>
          <w:szCs w:val="22"/>
          <w:lang w:val="it-IT"/>
        </w:rPr>
      </w:pPr>
    </w:p>
    <w:p w14:paraId="797C39AD" w14:textId="77777777" w:rsidR="00262865" w:rsidRPr="00C03451" w:rsidRDefault="00262865" w:rsidP="00262865">
      <w:pPr>
        <w:rPr>
          <w:szCs w:val="22"/>
          <w:lang w:val="it-IT"/>
        </w:rPr>
      </w:pPr>
      <w:r w:rsidRPr="00C03451">
        <w:rPr>
          <w:szCs w:val="22"/>
          <w:lang w:val="it-IT"/>
        </w:rPr>
        <w:t>ViiV Healthcare BV</w:t>
      </w:r>
    </w:p>
    <w:p w14:paraId="2DBDACD7" w14:textId="77777777" w:rsidR="006932B9" w:rsidRPr="00C03451" w:rsidRDefault="006932B9" w:rsidP="006932B9">
      <w:pPr>
        <w:rPr>
          <w:szCs w:val="22"/>
          <w:lang w:val="it-IT"/>
        </w:rPr>
      </w:pPr>
      <w:r w:rsidRPr="00C03451">
        <w:rPr>
          <w:szCs w:val="22"/>
          <w:lang w:val="it-IT"/>
        </w:rPr>
        <w:t>Van Asch van Wijckstraat 55H</w:t>
      </w:r>
    </w:p>
    <w:p w14:paraId="609C8BD8" w14:textId="77777777" w:rsidR="00BB6978" w:rsidRPr="00C03451" w:rsidRDefault="006932B9" w:rsidP="00262865">
      <w:pPr>
        <w:pStyle w:val="Header"/>
        <w:tabs>
          <w:tab w:val="clear" w:pos="4153"/>
          <w:tab w:val="clear" w:pos="8306"/>
        </w:tabs>
        <w:rPr>
          <w:szCs w:val="22"/>
          <w:lang w:val="it-IT"/>
        </w:rPr>
      </w:pPr>
      <w:r w:rsidRPr="00C03451">
        <w:rPr>
          <w:szCs w:val="22"/>
          <w:lang w:val="it-IT"/>
        </w:rPr>
        <w:t>3811 LP Amersfoort</w:t>
      </w:r>
    </w:p>
    <w:p w14:paraId="70ADD234" w14:textId="77777777" w:rsidR="00262865" w:rsidRPr="00C03451" w:rsidRDefault="00262865" w:rsidP="00262865">
      <w:pPr>
        <w:pStyle w:val="Header"/>
        <w:tabs>
          <w:tab w:val="clear" w:pos="4153"/>
          <w:tab w:val="clear" w:pos="8306"/>
        </w:tabs>
        <w:rPr>
          <w:szCs w:val="22"/>
          <w:lang w:val="it-IT"/>
        </w:rPr>
      </w:pPr>
      <w:r w:rsidRPr="00C03451">
        <w:rPr>
          <w:szCs w:val="22"/>
          <w:lang w:val="it-IT"/>
        </w:rPr>
        <w:t>Olanda</w:t>
      </w:r>
    </w:p>
    <w:p w14:paraId="576614F1" w14:textId="77777777" w:rsidR="0084378B" w:rsidRPr="00C9575C" w:rsidRDefault="0084378B">
      <w:pPr>
        <w:widowControl w:val="0"/>
        <w:tabs>
          <w:tab w:val="left" w:pos="567"/>
        </w:tabs>
        <w:rPr>
          <w:szCs w:val="22"/>
          <w:lang w:val="it-IT"/>
        </w:rPr>
      </w:pPr>
    </w:p>
    <w:p w14:paraId="023E4BBA" w14:textId="5E74A41E" w:rsidR="0084378B" w:rsidRPr="00C9575C" w:rsidRDefault="0084378B">
      <w:pPr>
        <w:widowControl w:val="0"/>
        <w:tabs>
          <w:tab w:val="left" w:pos="567"/>
        </w:tabs>
        <w:ind w:left="567" w:hanging="567"/>
        <w:outlineLvl w:val="0"/>
        <w:rPr>
          <w:b/>
          <w:caps/>
          <w:szCs w:val="22"/>
          <w:lang w:val="it-IT"/>
        </w:rPr>
      </w:pPr>
      <w:r w:rsidRPr="00C9575C">
        <w:rPr>
          <w:b/>
          <w:szCs w:val="22"/>
          <w:lang w:val="it-IT"/>
        </w:rPr>
        <w:t>8.</w:t>
      </w:r>
      <w:r w:rsidRPr="00C9575C">
        <w:rPr>
          <w:b/>
          <w:szCs w:val="22"/>
          <w:lang w:val="it-IT"/>
        </w:rPr>
        <w:tab/>
        <w:t>NUM</w:t>
      </w:r>
      <w:r w:rsidRPr="00C9575C">
        <w:rPr>
          <w:b/>
          <w:caps/>
          <w:szCs w:val="22"/>
          <w:lang w:val="it-IT"/>
        </w:rPr>
        <w:t>ERo(I) DELL’ AUTORIZZAZIONE ALL’IMMISSIONE IN COMMERCIO</w:t>
      </w:r>
      <w:r w:rsidR="0092155C">
        <w:rPr>
          <w:b/>
          <w:caps/>
          <w:szCs w:val="22"/>
          <w:lang w:val="it-IT"/>
        </w:rPr>
        <w:fldChar w:fldCharType="begin"/>
      </w:r>
      <w:r w:rsidR="0092155C">
        <w:rPr>
          <w:b/>
          <w:caps/>
          <w:szCs w:val="22"/>
          <w:lang w:val="it-IT"/>
        </w:rPr>
        <w:instrText xml:space="preserve"> DOCVARIABLE VAULT_ND_74309e7d-3d1d-4674-8822-44b51f5f5550 \* MERGEFORMAT </w:instrText>
      </w:r>
      <w:r w:rsidR="0092155C">
        <w:rPr>
          <w:b/>
          <w:caps/>
          <w:szCs w:val="22"/>
          <w:lang w:val="it-IT"/>
        </w:rPr>
        <w:fldChar w:fldCharType="separate"/>
      </w:r>
      <w:r w:rsidR="0092155C">
        <w:rPr>
          <w:b/>
          <w:caps/>
          <w:szCs w:val="22"/>
          <w:lang w:val="it-IT"/>
        </w:rPr>
        <w:t xml:space="preserve"> </w:t>
      </w:r>
      <w:r w:rsidR="0092155C">
        <w:rPr>
          <w:b/>
          <w:caps/>
          <w:szCs w:val="22"/>
          <w:lang w:val="it-IT"/>
        </w:rPr>
        <w:fldChar w:fldCharType="end"/>
      </w:r>
    </w:p>
    <w:p w14:paraId="2AEBE0CF" w14:textId="77777777" w:rsidR="0084378B" w:rsidRPr="00C9575C" w:rsidRDefault="0084378B">
      <w:pPr>
        <w:widowControl w:val="0"/>
        <w:tabs>
          <w:tab w:val="left" w:pos="567"/>
        </w:tabs>
        <w:rPr>
          <w:szCs w:val="22"/>
          <w:lang w:val="it-IT"/>
        </w:rPr>
      </w:pPr>
    </w:p>
    <w:p w14:paraId="361C2E8F" w14:textId="77777777" w:rsidR="0084378B" w:rsidRPr="00C9575C" w:rsidRDefault="0084378B">
      <w:pPr>
        <w:widowControl w:val="0"/>
        <w:tabs>
          <w:tab w:val="left" w:pos="567"/>
        </w:tabs>
        <w:rPr>
          <w:szCs w:val="22"/>
          <w:lang w:val="it-IT"/>
        </w:rPr>
      </w:pPr>
      <w:r w:rsidRPr="00C9575C">
        <w:rPr>
          <w:szCs w:val="22"/>
          <w:lang w:val="it-IT"/>
        </w:rPr>
        <w:t>EU/1/04/298/002</w:t>
      </w:r>
    </w:p>
    <w:p w14:paraId="7232E7C2" w14:textId="77777777" w:rsidR="0084378B" w:rsidRPr="00C9575C" w:rsidRDefault="0084378B">
      <w:pPr>
        <w:widowControl w:val="0"/>
        <w:tabs>
          <w:tab w:val="left" w:pos="567"/>
        </w:tabs>
        <w:rPr>
          <w:szCs w:val="22"/>
          <w:lang w:val="it-IT"/>
        </w:rPr>
      </w:pPr>
      <w:r w:rsidRPr="00C9575C">
        <w:rPr>
          <w:szCs w:val="22"/>
          <w:lang w:val="it-IT"/>
        </w:rPr>
        <w:t>EU/1/04/298/003</w:t>
      </w:r>
    </w:p>
    <w:p w14:paraId="25F1E614" w14:textId="77777777" w:rsidR="0084378B" w:rsidRPr="00C9575C" w:rsidRDefault="0084378B">
      <w:pPr>
        <w:widowControl w:val="0"/>
        <w:tabs>
          <w:tab w:val="left" w:pos="567"/>
        </w:tabs>
        <w:rPr>
          <w:szCs w:val="22"/>
          <w:lang w:val="it-IT"/>
        </w:rPr>
      </w:pPr>
    </w:p>
    <w:p w14:paraId="4C14569F" w14:textId="77777777" w:rsidR="0084378B" w:rsidRPr="00C9575C" w:rsidRDefault="0084378B">
      <w:pPr>
        <w:widowControl w:val="0"/>
        <w:tabs>
          <w:tab w:val="left" w:pos="567"/>
        </w:tabs>
        <w:rPr>
          <w:szCs w:val="22"/>
          <w:lang w:val="it-IT"/>
        </w:rPr>
      </w:pPr>
    </w:p>
    <w:p w14:paraId="434BE4EF" w14:textId="6A8E95CA" w:rsidR="0084378B" w:rsidRPr="00372EAE" w:rsidRDefault="0084378B">
      <w:pPr>
        <w:keepNext/>
        <w:keepLines/>
        <w:widowControl w:val="0"/>
        <w:tabs>
          <w:tab w:val="left" w:pos="567"/>
        </w:tabs>
        <w:outlineLvl w:val="0"/>
        <w:rPr>
          <w:b/>
          <w:caps/>
          <w:szCs w:val="22"/>
          <w:lang w:val="it-IT"/>
        </w:rPr>
      </w:pPr>
      <w:r w:rsidRPr="00372EAE">
        <w:rPr>
          <w:b/>
          <w:caps/>
          <w:szCs w:val="22"/>
          <w:lang w:val="it-IT"/>
        </w:rPr>
        <w:t>9.</w:t>
      </w:r>
      <w:r w:rsidRPr="00372EAE">
        <w:rPr>
          <w:b/>
          <w:caps/>
          <w:szCs w:val="22"/>
          <w:lang w:val="it-IT"/>
        </w:rPr>
        <w:tab/>
        <w:t>DATA DELLA PRIMA AUTORIZZAZIONE/RINNOVO DELL’AUTORIZZAZIONE</w:t>
      </w:r>
      <w:r w:rsidR="0092155C" w:rsidRPr="00372EAE">
        <w:rPr>
          <w:b/>
          <w:caps/>
          <w:szCs w:val="22"/>
          <w:lang w:val="it-IT"/>
        </w:rPr>
        <w:fldChar w:fldCharType="begin"/>
      </w:r>
      <w:r w:rsidR="0092155C" w:rsidRPr="00372EAE">
        <w:rPr>
          <w:b/>
          <w:caps/>
          <w:szCs w:val="22"/>
          <w:lang w:val="it-IT"/>
        </w:rPr>
        <w:instrText xml:space="preserve"> DOCVARIABLE VAULT_ND_6beb9bc3-7367-4737-938e-aa4061b09275 \* MERGEFORMAT </w:instrText>
      </w:r>
      <w:r w:rsidR="0092155C" w:rsidRPr="00372EAE">
        <w:rPr>
          <w:b/>
          <w:caps/>
          <w:szCs w:val="22"/>
          <w:lang w:val="it-IT"/>
        </w:rPr>
        <w:fldChar w:fldCharType="separate"/>
      </w:r>
      <w:r w:rsidR="0092155C" w:rsidRPr="00372EAE">
        <w:rPr>
          <w:b/>
          <w:caps/>
          <w:szCs w:val="22"/>
          <w:lang w:val="it-IT"/>
        </w:rPr>
        <w:t xml:space="preserve"> </w:t>
      </w:r>
      <w:r w:rsidR="0092155C" w:rsidRPr="00372EAE">
        <w:rPr>
          <w:b/>
          <w:caps/>
          <w:szCs w:val="22"/>
          <w:lang w:val="it-IT"/>
        </w:rPr>
        <w:fldChar w:fldCharType="end"/>
      </w:r>
    </w:p>
    <w:p w14:paraId="519A7020" w14:textId="77777777" w:rsidR="0084378B" w:rsidRPr="00C9575C" w:rsidRDefault="0084378B">
      <w:pPr>
        <w:keepNext/>
        <w:keepLines/>
        <w:widowControl w:val="0"/>
        <w:tabs>
          <w:tab w:val="left" w:pos="567"/>
        </w:tabs>
        <w:rPr>
          <w:caps/>
          <w:szCs w:val="22"/>
          <w:lang w:val="it-IT"/>
        </w:rPr>
      </w:pPr>
    </w:p>
    <w:p w14:paraId="2CCC6A85" w14:textId="77777777" w:rsidR="0084378B" w:rsidRPr="00F52328" w:rsidRDefault="00351BB5">
      <w:pPr>
        <w:keepNext/>
        <w:keepLines/>
        <w:widowControl w:val="0"/>
        <w:tabs>
          <w:tab w:val="left" w:pos="567"/>
        </w:tabs>
        <w:rPr>
          <w:iCs/>
          <w:caps/>
          <w:szCs w:val="22"/>
          <w:lang w:val="it-IT"/>
        </w:rPr>
      </w:pPr>
      <w:r w:rsidRPr="00F52328">
        <w:rPr>
          <w:iCs/>
          <w:szCs w:val="22"/>
          <w:lang w:val="it-IT"/>
        </w:rPr>
        <w:t xml:space="preserve">Data della prima autorizzazione: </w:t>
      </w:r>
      <w:r w:rsidR="0084378B" w:rsidRPr="00F52328">
        <w:rPr>
          <w:iCs/>
          <w:caps/>
          <w:szCs w:val="22"/>
          <w:lang w:val="it-IT"/>
        </w:rPr>
        <w:t xml:space="preserve">17 </w:t>
      </w:r>
      <w:r w:rsidR="0084378B" w:rsidRPr="00F52328">
        <w:rPr>
          <w:iCs/>
          <w:szCs w:val="22"/>
          <w:lang w:val="it-IT"/>
        </w:rPr>
        <w:t>Dicembre</w:t>
      </w:r>
      <w:r w:rsidR="0084378B" w:rsidRPr="00F52328">
        <w:rPr>
          <w:iCs/>
          <w:caps/>
          <w:szCs w:val="22"/>
          <w:lang w:val="it-IT"/>
        </w:rPr>
        <w:t xml:space="preserve"> 2004</w:t>
      </w:r>
    </w:p>
    <w:p w14:paraId="391F4390" w14:textId="77777777" w:rsidR="00351BB5" w:rsidRPr="00F52328" w:rsidRDefault="00351BB5">
      <w:pPr>
        <w:keepNext/>
        <w:keepLines/>
        <w:widowControl w:val="0"/>
        <w:tabs>
          <w:tab w:val="left" w:pos="567"/>
        </w:tabs>
        <w:rPr>
          <w:iCs/>
          <w:caps/>
          <w:szCs w:val="22"/>
          <w:lang w:val="it-IT"/>
        </w:rPr>
      </w:pPr>
      <w:r w:rsidRPr="00F52328">
        <w:rPr>
          <w:iCs/>
          <w:szCs w:val="22"/>
          <w:lang w:val="it-IT"/>
        </w:rPr>
        <w:t>Data dell’ultimo rinnovo</w:t>
      </w:r>
      <w:r w:rsidR="008E76D7" w:rsidRPr="00F52328">
        <w:rPr>
          <w:iCs/>
          <w:szCs w:val="22"/>
          <w:lang w:val="it-IT"/>
        </w:rPr>
        <w:t>:</w:t>
      </w:r>
      <w:r w:rsidR="002725E3" w:rsidRPr="00F52328">
        <w:rPr>
          <w:iCs/>
          <w:szCs w:val="22"/>
          <w:lang w:val="it-IT"/>
        </w:rPr>
        <w:t xml:space="preserve"> </w:t>
      </w:r>
      <w:r w:rsidR="009779F6" w:rsidRPr="00F52328">
        <w:rPr>
          <w:iCs/>
          <w:szCs w:val="22"/>
          <w:lang w:val="it-IT"/>
        </w:rPr>
        <w:t>17 Novembre 2014</w:t>
      </w:r>
    </w:p>
    <w:p w14:paraId="7F6FBD95" w14:textId="77777777" w:rsidR="0084378B" w:rsidRPr="00C9575C" w:rsidRDefault="0084378B">
      <w:pPr>
        <w:widowControl w:val="0"/>
        <w:tabs>
          <w:tab w:val="left" w:pos="567"/>
        </w:tabs>
        <w:rPr>
          <w:caps/>
          <w:szCs w:val="22"/>
          <w:lang w:val="it-IT"/>
        </w:rPr>
      </w:pPr>
    </w:p>
    <w:p w14:paraId="7CC8E7E6" w14:textId="77777777" w:rsidR="00D93236" w:rsidRPr="00C9575C" w:rsidRDefault="00D93236">
      <w:pPr>
        <w:widowControl w:val="0"/>
        <w:tabs>
          <w:tab w:val="left" w:pos="567"/>
        </w:tabs>
        <w:rPr>
          <w:caps/>
          <w:szCs w:val="22"/>
          <w:lang w:val="it-IT"/>
        </w:rPr>
      </w:pPr>
    </w:p>
    <w:p w14:paraId="42755C9D" w14:textId="1176A3DE" w:rsidR="0084378B" w:rsidRPr="00C9575C" w:rsidRDefault="0084378B">
      <w:pPr>
        <w:widowControl w:val="0"/>
        <w:tabs>
          <w:tab w:val="left" w:pos="567"/>
        </w:tabs>
        <w:outlineLvl w:val="0"/>
        <w:rPr>
          <w:b/>
          <w:caps/>
          <w:szCs w:val="22"/>
          <w:lang w:val="it-IT"/>
        </w:rPr>
      </w:pPr>
      <w:r w:rsidRPr="00C9575C">
        <w:rPr>
          <w:b/>
          <w:szCs w:val="22"/>
          <w:lang w:val="it-IT"/>
        </w:rPr>
        <w:t>10.</w:t>
      </w:r>
      <w:r w:rsidRPr="00C9575C">
        <w:rPr>
          <w:b/>
          <w:szCs w:val="22"/>
          <w:lang w:val="it-IT"/>
        </w:rPr>
        <w:tab/>
      </w:r>
      <w:r w:rsidRPr="00C9575C">
        <w:rPr>
          <w:b/>
          <w:caps/>
          <w:szCs w:val="22"/>
          <w:lang w:val="it-IT"/>
        </w:rPr>
        <w:t>Data DI revisione del testo</w:t>
      </w:r>
      <w:r w:rsidR="0092155C">
        <w:rPr>
          <w:b/>
          <w:caps/>
          <w:szCs w:val="22"/>
          <w:lang w:val="it-IT"/>
        </w:rPr>
        <w:fldChar w:fldCharType="begin"/>
      </w:r>
      <w:r w:rsidR="0092155C">
        <w:rPr>
          <w:b/>
          <w:caps/>
          <w:szCs w:val="22"/>
          <w:lang w:val="it-IT"/>
        </w:rPr>
        <w:instrText xml:space="preserve"> DOCVARIABLE VAULT_ND_6bc25347-7105-4bc4-b621-314260b839b7 \* MERGEFORMAT </w:instrText>
      </w:r>
      <w:r w:rsidR="0092155C">
        <w:rPr>
          <w:b/>
          <w:caps/>
          <w:szCs w:val="22"/>
          <w:lang w:val="it-IT"/>
        </w:rPr>
        <w:fldChar w:fldCharType="separate"/>
      </w:r>
      <w:r w:rsidR="0092155C">
        <w:rPr>
          <w:b/>
          <w:caps/>
          <w:szCs w:val="22"/>
          <w:lang w:val="it-IT"/>
        </w:rPr>
        <w:t xml:space="preserve"> </w:t>
      </w:r>
      <w:r w:rsidR="0092155C">
        <w:rPr>
          <w:b/>
          <w:caps/>
          <w:szCs w:val="22"/>
          <w:lang w:val="it-IT"/>
        </w:rPr>
        <w:fldChar w:fldCharType="end"/>
      </w:r>
    </w:p>
    <w:p w14:paraId="2B6EC8D4" w14:textId="77777777" w:rsidR="00011520" w:rsidRPr="00C9575C" w:rsidRDefault="00011520">
      <w:pPr>
        <w:widowControl w:val="0"/>
        <w:tabs>
          <w:tab w:val="left" w:pos="567"/>
        </w:tabs>
        <w:rPr>
          <w:szCs w:val="22"/>
          <w:lang w:val="it-IT"/>
        </w:rPr>
      </w:pPr>
    </w:p>
    <w:p w14:paraId="541B4608" w14:textId="77777777" w:rsidR="0084378B" w:rsidRPr="00C9575C" w:rsidRDefault="0084378B">
      <w:pPr>
        <w:widowControl w:val="0"/>
        <w:numPr>
          <w:ilvl w:val="12"/>
          <w:numId w:val="0"/>
        </w:numPr>
        <w:ind w:right="-2"/>
        <w:rPr>
          <w:lang w:val="it-IT" w:eastAsia="en-US"/>
        </w:rPr>
      </w:pPr>
      <w:r w:rsidRPr="00C9575C">
        <w:rPr>
          <w:szCs w:val="22"/>
          <w:lang w:val="it-IT"/>
        </w:rPr>
        <w:t xml:space="preserve">Informazioni più dettagliate su questo medicinale sono disponibili sul sito web della Agenzia Europea dei Medicinali: </w:t>
      </w:r>
      <w:hyperlink r:id="rId12" w:history="1">
        <w:r w:rsidR="005656A6" w:rsidRPr="00C9575C">
          <w:rPr>
            <w:rStyle w:val="Hyperlink"/>
            <w:lang w:val="it-IT" w:eastAsia="en-US"/>
          </w:rPr>
          <w:t>http://www.ema.europa.eu/</w:t>
        </w:r>
      </w:hyperlink>
      <w:r w:rsidRPr="00C9575C">
        <w:rPr>
          <w:lang w:val="it-IT" w:eastAsia="en-US"/>
        </w:rPr>
        <w:t>.</w:t>
      </w:r>
    </w:p>
    <w:p w14:paraId="355A72A7" w14:textId="77777777" w:rsidR="005656A6" w:rsidRPr="00C9575C" w:rsidRDefault="005656A6">
      <w:pPr>
        <w:widowControl w:val="0"/>
        <w:numPr>
          <w:ilvl w:val="12"/>
          <w:numId w:val="0"/>
        </w:numPr>
        <w:ind w:right="-2"/>
        <w:rPr>
          <w:lang w:val="it-IT" w:eastAsia="en-US"/>
        </w:rPr>
      </w:pPr>
    </w:p>
    <w:p w14:paraId="69ED5106" w14:textId="77777777" w:rsidR="0084378B" w:rsidRPr="00C9575C" w:rsidRDefault="0084378B" w:rsidP="00FA3DDD">
      <w:pPr>
        <w:widowControl w:val="0"/>
        <w:suppressAutoHyphens/>
        <w:rPr>
          <w:b/>
          <w:szCs w:val="22"/>
          <w:lang w:val="it-IT"/>
        </w:rPr>
      </w:pPr>
      <w:r w:rsidRPr="00C9575C">
        <w:rPr>
          <w:b/>
          <w:caps/>
          <w:szCs w:val="22"/>
          <w:lang w:val="it-IT"/>
        </w:rPr>
        <w:br w:type="page"/>
      </w:r>
    </w:p>
    <w:p w14:paraId="504A43A5" w14:textId="77777777" w:rsidR="0084378B" w:rsidRPr="00C9575C" w:rsidRDefault="0084378B">
      <w:pPr>
        <w:widowControl w:val="0"/>
        <w:jc w:val="center"/>
        <w:rPr>
          <w:b/>
          <w:szCs w:val="22"/>
          <w:lang w:val="it-IT"/>
        </w:rPr>
      </w:pPr>
    </w:p>
    <w:p w14:paraId="4C12036E" w14:textId="77777777" w:rsidR="00FA3DDD" w:rsidRPr="00C9575C" w:rsidRDefault="00FA3DDD">
      <w:pPr>
        <w:widowControl w:val="0"/>
        <w:jc w:val="center"/>
        <w:rPr>
          <w:b/>
          <w:szCs w:val="22"/>
          <w:lang w:val="it-IT"/>
        </w:rPr>
      </w:pPr>
    </w:p>
    <w:p w14:paraId="6A1A81C7" w14:textId="77777777" w:rsidR="00FA3DDD" w:rsidRPr="00C9575C" w:rsidRDefault="00FA3DDD">
      <w:pPr>
        <w:widowControl w:val="0"/>
        <w:jc w:val="center"/>
        <w:rPr>
          <w:b/>
          <w:szCs w:val="22"/>
          <w:lang w:val="it-IT"/>
        </w:rPr>
      </w:pPr>
    </w:p>
    <w:p w14:paraId="15F1A1F0" w14:textId="77777777" w:rsidR="0084378B" w:rsidRPr="00C9575C" w:rsidRDefault="0084378B">
      <w:pPr>
        <w:widowControl w:val="0"/>
        <w:jc w:val="center"/>
        <w:rPr>
          <w:b/>
          <w:szCs w:val="22"/>
          <w:lang w:val="it-IT"/>
        </w:rPr>
      </w:pPr>
    </w:p>
    <w:p w14:paraId="71DE2437" w14:textId="77777777" w:rsidR="0084378B" w:rsidRPr="00C9575C" w:rsidRDefault="0084378B">
      <w:pPr>
        <w:widowControl w:val="0"/>
        <w:jc w:val="center"/>
        <w:rPr>
          <w:b/>
          <w:szCs w:val="22"/>
          <w:lang w:val="it-IT"/>
        </w:rPr>
      </w:pPr>
    </w:p>
    <w:p w14:paraId="72203C60" w14:textId="77777777" w:rsidR="0084378B" w:rsidRPr="00C9575C" w:rsidRDefault="0084378B">
      <w:pPr>
        <w:widowControl w:val="0"/>
        <w:jc w:val="center"/>
        <w:rPr>
          <w:b/>
          <w:szCs w:val="22"/>
          <w:lang w:val="it-IT"/>
        </w:rPr>
      </w:pPr>
    </w:p>
    <w:p w14:paraId="59B92C61" w14:textId="77777777" w:rsidR="0084378B" w:rsidRPr="00C9575C" w:rsidRDefault="0084378B">
      <w:pPr>
        <w:widowControl w:val="0"/>
        <w:jc w:val="center"/>
        <w:rPr>
          <w:b/>
          <w:szCs w:val="22"/>
          <w:lang w:val="it-IT"/>
        </w:rPr>
      </w:pPr>
    </w:p>
    <w:p w14:paraId="2FE868AB" w14:textId="77777777" w:rsidR="0084378B" w:rsidRPr="00C9575C" w:rsidRDefault="0084378B">
      <w:pPr>
        <w:widowControl w:val="0"/>
        <w:jc w:val="center"/>
        <w:rPr>
          <w:b/>
          <w:szCs w:val="22"/>
          <w:lang w:val="it-IT"/>
        </w:rPr>
      </w:pPr>
    </w:p>
    <w:p w14:paraId="02044363" w14:textId="77777777" w:rsidR="0084378B" w:rsidRPr="00C9575C" w:rsidRDefault="0084378B">
      <w:pPr>
        <w:widowControl w:val="0"/>
        <w:jc w:val="center"/>
        <w:rPr>
          <w:b/>
          <w:szCs w:val="22"/>
          <w:lang w:val="it-IT"/>
        </w:rPr>
      </w:pPr>
    </w:p>
    <w:p w14:paraId="7899E994" w14:textId="77777777" w:rsidR="0084378B" w:rsidRPr="00C9575C" w:rsidRDefault="0084378B">
      <w:pPr>
        <w:widowControl w:val="0"/>
        <w:jc w:val="center"/>
        <w:rPr>
          <w:b/>
          <w:szCs w:val="22"/>
          <w:lang w:val="it-IT"/>
        </w:rPr>
      </w:pPr>
    </w:p>
    <w:p w14:paraId="43A2D0F3" w14:textId="77777777" w:rsidR="0084378B" w:rsidRPr="00C9575C" w:rsidRDefault="0084378B">
      <w:pPr>
        <w:widowControl w:val="0"/>
        <w:jc w:val="center"/>
        <w:rPr>
          <w:b/>
          <w:szCs w:val="22"/>
          <w:lang w:val="it-IT"/>
        </w:rPr>
      </w:pPr>
    </w:p>
    <w:p w14:paraId="5836C056" w14:textId="77777777" w:rsidR="0084378B" w:rsidRPr="00C9575C" w:rsidRDefault="0084378B">
      <w:pPr>
        <w:widowControl w:val="0"/>
        <w:jc w:val="center"/>
        <w:rPr>
          <w:b/>
          <w:szCs w:val="22"/>
          <w:lang w:val="it-IT"/>
        </w:rPr>
      </w:pPr>
    </w:p>
    <w:p w14:paraId="477D76B6" w14:textId="77777777" w:rsidR="0084378B" w:rsidRPr="00C9575C" w:rsidRDefault="0084378B">
      <w:pPr>
        <w:widowControl w:val="0"/>
        <w:jc w:val="center"/>
        <w:rPr>
          <w:b/>
          <w:szCs w:val="22"/>
          <w:lang w:val="it-IT"/>
        </w:rPr>
      </w:pPr>
    </w:p>
    <w:p w14:paraId="33400B4B" w14:textId="77777777" w:rsidR="0084378B" w:rsidRPr="00C9575C" w:rsidRDefault="0084378B">
      <w:pPr>
        <w:widowControl w:val="0"/>
        <w:jc w:val="center"/>
        <w:rPr>
          <w:b/>
          <w:szCs w:val="22"/>
          <w:lang w:val="it-IT"/>
        </w:rPr>
      </w:pPr>
    </w:p>
    <w:p w14:paraId="3AFE1AA8" w14:textId="77777777" w:rsidR="0084378B" w:rsidRPr="00C9575C" w:rsidRDefault="0084378B">
      <w:pPr>
        <w:widowControl w:val="0"/>
        <w:jc w:val="center"/>
        <w:rPr>
          <w:b/>
          <w:szCs w:val="22"/>
          <w:lang w:val="it-IT"/>
        </w:rPr>
      </w:pPr>
    </w:p>
    <w:p w14:paraId="415173C7" w14:textId="77777777" w:rsidR="0084378B" w:rsidRPr="00C9575C" w:rsidRDefault="0084378B">
      <w:pPr>
        <w:widowControl w:val="0"/>
        <w:jc w:val="center"/>
        <w:rPr>
          <w:b/>
          <w:szCs w:val="22"/>
          <w:lang w:val="it-IT"/>
        </w:rPr>
      </w:pPr>
    </w:p>
    <w:p w14:paraId="6CD35D7A" w14:textId="77777777" w:rsidR="0084378B" w:rsidRPr="00C9575C" w:rsidRDefault="0084378B">
      <w:pPr>
        <w:widowControl w:val="0"/>
        <w:jc w:val="center"/>
        <w:rPr>
          <w:b/>
          <w:szCs w:val="22"/>
          <w:lang w:val="it-IT"/>
        </w:rPr>
      </w:pPr>
    </w:p>
    <w:p w14:paraId="03B5F667" w14:textId="77777777" w:rsidR="0084378B" w:rsidRPr="00C9575C" w:rsidRDefault="0084378B">
      <w:pPr>
        <w:widowControl w:val="0"/>
        <w:jc w:val="center"/>
        <w:rPr>
          <w:b/>
          <w:szCs w:val="22"/>
          <w:lang w:val="it-IT"/>
        </w:rPr>
      </w:pPr>
    </w:p>
    <w:p w14:paraId="76BA823D" w14:textId="77777777" w:rsidR="0084378B" w:rsidRPr="00C9575C" w:rsidRDefault="0084378B">
      <w:pPr>
        <w:widowControl w:val="0"/>
        <w:jc w:val="center"/>
        <w:rPr>
          <w:b/>
          <w:szCs w:val="22"/>
          <w:lang w:val="it-IT"/>
        </w:rPr>
      </w:pPr>
    </w:p>
    <w:p w14:paraId="6C236088" w14:textId="77777777" w:rsidR="0084378B" w:rsidRPr="00C9575C" w:rsidRDefault="0084378B">
      <w:pPr>
        <w:widowControl w:val="0"/>
        <w:jc w:val="center"/>
        <w:rPr>
          <w:b/>
          <w:szCs w:val="22"/>
          <w:lang w:val="it-IT"/>
        </w:rPr>
      </w:pPr>
    </w:p>
    <w:p w14:paraId="243B43B5" w14:textId="77777777" w:rsidR="0084378B" w:rsidRPr="00C9575C" w:rsidRDefault="0084378B">
      <w:pPr>
        <w:widowControl w:val="0"/>
        <w:jc w:val="center"/>
        <w:rPr>
          <w:b/>
          <w:szCs w:val="22"/>
          <w:lang w:val="it-IT"/>
        </w:rPr>
      </w:pPr>
      <w:r w:rsidRPr="00C9575C">
        <w:rPr>
          <w:b/>
          <w:szCs w:val="22"/>
          <w:lang w:val="it-IT"/>
        </w:rPr>
        <w:t>ALLEGATO II</w:t>
      </w:r>
    </w:p>
    <w:p w14:paraId="10A14BCD" w14:textId="77777777" w:rsidR="00BE0455" w:rsidRPr="00C03451" w:rsidRDefault="00BE0455" w:rsidP="00BE0455">
      <w:pPr>
        <w:widowControl w:val="0"/>
        <w:ind w:left="1701" w:right="1416" w:hanging="567"/>
        <w:rPr>
          <w:szCs w:val="22"/>
          <w:lang w:val="it-IT"/>
        </w:rPr>
      </w:pPr>
    </w:p>
    <w:p w14:paraId="16E5B12C" w14:textId="77777777" w:rsidR="00BE0455" w:rsidRPr="00C03451" w:rsidRDefault="00BE0455" w:rsidP="00721816">
      <w:pPr>
        <w:widowControl w:val="0"/>
        <w:numPr>
          <w:ilvl w:val="0"/>
          <w:numId w:val="12"/>
        </w:numPr>
        <w:tabs>
          <w:tab w:val="left" w:pos="1701"/>
        </w:tabs>
        <w:ind w:left="1701" w:right="566" w:hanging="567"/>
        <w:rPr>
          <w:b/>
          <w:szCs w:val="22"/>
          <w:lang w:val="it-IT"/>
        </w:rPr>
      </w:pPr>
      <w:r w:rsidRPr="00C03451">
        <w:rPr>
          <w:b/>
          <w:szCs w:val="22"/>
          <w:lang w:val="it-IT"/>
        </w:rPr>
        <w:t>PRODUTTORE</w:t>
      </w:r>
      <w:del w:id="9" w:author="Author" w:date="2025-10-16T20:31:00Z" w16du:dateUtc="2025-10-16T18:31:00Z">
        <w:r w:rsidRPr="00C03451" w:rsidDel="00AF244F">
          <w:rPr>
            <w:b/>
            <w:szCs w:val="22"/>
            <w:lang w:val="it-IT"/>
          </w:rPr>
          <w:delText xml:space="preserve"> </w:delText>
        </w:r>
      </w:del>
      <w:r w:rsidRPr="00C03451">
        <w:rPr>
          <w:b/>
          <w:szCs w:val="22"/>
          <w:lang w:val="it-IT"/>
        </w:rPr>
        <w:t>(I) RESPONSABILE</w:t>
      </w:r>
      <w:del w:id="10" w:author="Author" w:date="2025-10-16T20:31:00Z" w16du:dateUtc="2025-10-16T18:31:00Z">
        <w:r w:rsidRPr="00C03451" w:rsidDel="00AF244F">
          <w:rPr>
            <w:b/>
            <w:szCs w:val="22"/>
            <w:lang w:val="it-IT"/>
          </w:rPr>
          <w:delText xml:space="preserve"> </w:delText>
        </w:r>
      </w:del>
      <w:r w:rsidRPr="00C03451">
        <w:rPr>
          <w:b/>
          <w:szCs w:val="22"/>
          <w:lang w:val="it-IT"/>
        </w:rPr>
        <w:t>(I) DEL RILASCIO DEI LOTTI</w:t>
      </w:r>
    </w:p>
    <w:p w14:paraId="04CA9338" w14:textId="77777777" w:rsidR="00BE0455" w:rsidRPr="00C03451" w:rsidRDefault="00BE0455" w:rsidP="00BE0455">
      <w:pPr>
        <w:widowControl w:val="0"/>
        <w:numPr>
          <w:ilvl w:val="12"/>
          <w:numId w:val="0"/>
        </w:numPr>
        <w:ind w:left="1701" w:right="1416" w:hanging="567"/>
        <w:rPr>
          <w:szCs w:val="22"/>
          <w:lang w:val="it-IT"/>
        </w:rPr>
      </w:pPr>
    </w:p>
    <w:p w14:paraId="6A7E8197" w14:textId="77777777" w:rsidR="00BE0455" w:rsidRPr="00C03451" w:rsidRDefault="00BE0455" w:rsidP="00721816">
      <w:pPr>
        <w:widowControl w:val="0"/>
        <w:numPr>
          <w:ilvl w:val="0"/>
          <w:numId w:val="12"/>
        </w:numPr>
        <w:tabs>
          <w:tab w:val="left" w:pos="1701"/>
          <w:tab w:val="left" w:pos="8505"/>
        </w:tabs>
        <w:ind w:left="1701" w:right="566" w:hanging="567"/>
        <w:rPr>
          <w:b/>
          <w:szCs w:val="22"/>
          <w:lang w:val="it-IT"/>
        </w:rPr>
      </w:pPr>
      <w:r w:rsidRPr="00C03451">
        <w:rPr>
          <w:b/>
          <w:szCs w:val="22"/>
          <w:lang w:val="it-IT"/>
        </w:rPr>
        <w:t>CONDIZIONI</w:t>
      </w:r>
      <w:r w:rsidRPr="00C9575C">
        <w:rPr>
          <w:b/>
          <w:lang w:val="it-IT"/>
        </w:rPr>
        <w:t xml:space="preserve"> O LIMITAZIONI DI FORNITURA E UTILIZZO</w:t>
      </w:r>
      <w:r w:rsidRPr="00C03451">
        <w:rPr>
          <w:b/>
          <w:szCs w:val="22"/>
          <w:lang w:val="it-IT"/>
        </w:rPr>
        <w:t xml:space="preserve"> </w:t>
      </w:r>
    </w:p>
    <w:p w14:paraId="123E6B2E" w14:textId="77777777" w:rsidR="00BE0455" w:rsidRPr="00C03451" w:rsidRDefault="00BE0455" w:rsidP="00BE0455">
      <w:pPr>
        <w:widowControl w:val="0"/>
        <w:tabs>
          <w:tab w:val="left" w:pos="1701"/>
          <w:tab w:val="left" w:pos="8505"/>
        </w:tabs>
        <w:ind w:right="566"/>
        <w:rPr>
          <w:b/>
          <w:szCs w:val="22"/>
          <w:lang w:val="it-IT"/>
        </w:rPr>
      </w:pPr>
    </w:p>
    <w:p w14:paraId="7FA277B5" w14:textId="77777777" w:rsidR="00BE0455" w:rsidRPr="00C03451" w:rsidRDefault="00BE0455" w:rsidP="00721816">
      <w:pPr>
        <w:widowControl w:val="0"/>
        <w:numPr>
          <w:ilvl w:val="0"/>
          <w:numId w:val="12"/>
        </w:numPr>
        <w:tabs>
          <w:tab w:val="left" w:pos="1701"/>
          <w:tab w:val="left" w:pos="8505"/>
        </w:tabs>
        <w:ind w:left="1701" w:right="566" w:hanging="567"/>
        <w:rPr>
          <w:b/>
          <w:szCs w:val="22"/>
          <w:lang w:val="it-IT"/>
        </w:rPr>
      </w:pPr>
      <w:r w:rsidRPr="00C9575C">
        <w:rPr>
          <w:b/>
          <w:lang w:val="it-IT"/>
        </w:rPr>
        <w:t>ALTRE CONDIZIONI E REQUISITI DELL’AUTORIZZAZIONE ALL’IMMISSIONE IN COMMERCIO</w:t>
      </w:r>
    </w:p>
    <w:p w14:paraId="16D75D35" w14:textId="77777777" w:rsidR="00BE0455" w:rsidRPr="00C03451" w:rsidRDefault="00BE0455" w:rsidP="00BE0455">
      <w:pPr>
        <w:widowControl w:val="0"/>
        <w:tabs>
          <w:tab w:val="left" w:pos="1701"/>
          <w:tab w:val="left" w:pos="8505"/>
        </w:tabs>
        <w:ind w:right="566"/>
        <w:rPr>
          <w:b/>
          <w:szCs w:val="22"/>
          <w:lang w:val="it-IT"/>
        </w:rPr>
      </w:pPr>
    </w:p>
    <w:p w14:paraId="5F1F76DF" w14:textId="77777777" w:rsidR="00BE0455" w:rsidRPr="00C03451" w:rsidRDefault="00BE0455" w:rsidP="00721816">
      <w:pPr>
        <w:widowControl w:val="0"/>
        <w:numPr>
          <w:ilvl w:val="0"/>
          <w:numId w:val="12"/>
        </w:numPr>
        <w:tabs>
          <w:tab w:val="left" w:pos="1701"/>
          <w:tab w:val="left" w:pos="8505"/>
        </w:tabs>
        <w:ind w:left="1701" w:right="566" w:hanging="567"/>
        <w:rPr>
          <w:b/>
          <w:szCs w:val="22"/>
          <w:lang w:val="it-IT"/>
        </w:rPr>
      </w:pPr>
      <w:r w:rsidRPr="00C9575C">
        <w:rPr>
          <w:b/>
          <w:lang w:val="it-IT"/>
        </w:rPr>
        <w:t>CONDIZIONI O LIMITAZIONI PER QUANTO RIGUARDA L’USO SICURO ED EFFICACE DEL MEDICINALE</w:t>
      </w:r>
    </w:p>
    <w:p w14:paraId="552020D4" w14:textId="77777777" w:rsidR="00BE0455" w:rsidRPr="00C03451" w:rsidRDefault="00BE0455" w:rsidP="00BE0455">
      <w:pPr>
        <w:widowControl w:val="0"/>
        <w:tabs>
          <w:tab w:val="left" w:pos="1701"/>
          <w:tab w:val="left" w:pos="8505"/>
        </w:tabs>
        <w:ind w:left="1701" w:right="566"/>
        <w:rPr>
          <w:b/>
          <w:szCs w:val="22"/>
          <w:lang w:val="it-IT"/>
        </w:rPr>
      </w:pPr>
    </w:p>
    <w:p w14:paraId="4C983A5C" w14:textId="77777777" w:rsidR="0084378B" w:rsidRPr="00C9575C" w:rsidRDefault="0084378B" w:rsidP="007D4971">
      <w:pPr>
        <w:pStyle w:val="TitleB"/>
      </w:pPr>
      <w:r w:rsidRPr="00C9575C">
        <w:br w:type="page"/>
      </w:r>
      <w:r w:rsidRPr="00C9575C">
        <w:lastRenderedPageBreak/>
        <w:t>A.</w:t>
      </w:r>
      <w:r w:rsidRPr="00C9575C">
        <w:tab/>
      </w:r>
      <w:r w:rsidR="00D34B14" w:rsidRPr="00C9575C">
        <w:t>PRODUTTORE(I)</w:t>
      </w:r>
      <w:r w:rsidRPr="00C9575C">
        <w:t xml:space="preserve"> RESPONSABILE</w:t>
      </w:r>
      <w:r w:rsidR="00D34B14" w:rsidRPr="00C9575C">
        <w:t>(I)</w:t>
      </w:r>
      <w:r w:rsidRPr="00C9575C">
        <w:t xml:space="preserve"> DEL RILASCIO DEI LOTTI</w:t>
      </w:r>
    </w:p>
    <w:p w14:paraId="0703B0FE" w14:textId="77777777" w:rsidR="0084378B" w:rsidRPr="00C9575C" w:rsidRDefault="0084378B">
      <w:pPr>
        <w:widowControl w:val="0"/>
        <w:suppressAutoHyphens/>
        <w:rPr>
          <w:szCs w:val="22"/>
          <w:lang w:val="it-IT"/>
        </w:rPr>
      </w:pPr>
    </w:p>
    <w:p w14:paraId="33A9C462" w14:textId="77777777" w:rsidR="0084378B" w:rsidRPr="00C9575C" w:rsidRDefault="0084378B">
      <w:pPr>
        <w:widowControl w:val="0"/>
        <w:suppressAutoHyphens/>
        <w:rPr>
          <w:szCs w:val="22"/>
          <w:u w:val="single"/>
          <w:lang w:val="it-IT"/>
        </w:rPr>
      </w:pPr>
      <w:r w:rsidRPr="00C9575C">
        <w:rPr>
          <w:szCs w:val="22"/>
          <w:u w:val="single"/>
          <w:lang w:val="it-IT"/>
        </w:rPr>
        <w:t>Nome e indirizzo del</w:t>
      </w:r>
      <w:r w:rsidR="00D34B14" w:rsidRPr="00C9575C">
        <w:rPr>
          <w:szCs w:val="22"/>
          <w:u w:val="single"/>
          <w:lang w:val="it-IT"/>
        </w:rPr>
        <w:t xml:space="preserve"> (dei)</w:t>
      </w:r>
      <w:r w:rsidRPr="00C9575C">
        <w:rPr>
          <w:szCs w:val="22"/>
          <w:u w:val="single"/>
          <w:lang w:val="it-IT"/>
        </w:rPr>
        <w:t xml:space="preserve"> produttore </w:t>
      </w:r>
      <w:r w:rsidR="00D34B14" w:rsidRPr="00C9575C">
        <w:rPr>
          <w:szCs w:val="22"/>
          <w:u w:val="single"/>
          <w:lang w:val="it-IT"/>
        </w:rPr>
        <w:t>(i)</w:t>
      </w:r>
      <w:r w:rsidRPr="00C9575C">
        <w:rPr>
          <w:szCs w:val="22"/>
          <w:u w:val="single"/>
          <w:lang w:val="it-IT"/>
        </w:rPr>
        <w:t>responsabile</w:t>
      </w:r>
      <w:r w:rsidR="00D34B14" w:rsidRPr="00C9575C">
        <w:rPr>
          <w:szCs w:val="22"/>
          <w:u w:val="single"/>
          <w:lang w:val="it-IT"/>
        </w:rPr>
        <w:t xml:space="preserve"> (i)</w:t>
      </w:r>
      <w:r w:rsidRPr="00C9575C">
        <w:rPr>
          <w:szCs w:val="22"/>
          <w:u w:val="single"/>
          <w:lang w:val="it-IT"/>
        </w:rPr>
        <w:t xml:space="preserve"> del rilascio dei lotti</w:t>
      </w:r>
    </w:p>
    <w:p w14:paraId="12DFC1B7" w14:textId="77777777" w:rsidR="006604B3" w:rsidRPr="00C9575C" w:rsidRDefault="006604B3" w:rsidP="008A2A04">
      <w:pPr>
        <w:numPr>
          <w:ilvl w:val="12"/>
          <w:numId w:val="0"/>
        </w:numPr>
        <w:rPr>
          <w:color w:val="000000"/>
          <w:szCs w:val="22"/>
          <w:lang w:val="it-IT"/>
        </w:rPr>
      </w:pPr>
    </w:p>
    <w:p w14:paraId="2D17425A" w14:textId="77777777" w:rsidR="008A2A04" w:rsidRPr="00C9575C" w:rsidRDefault="008A2A04" w:rsidP="008A2A04">
      <w:pPr>
        <w:numPr>
          <w:ilvl w:val="12"/>
          <w:numId w:val="0"/>
        </w:numPr>
        <w:rPr>
          <w:szCs w:val="22"/>
          <w:lang w:val="it-IT"/>
        </w:rPr>
      </w:pPr>
      <w:r w:rsidRPr="00C9575C">
        <w:rPr>
          <w:szCs w:val="22"/>
          <w:lang w:val="it-IT"/>
        </w:rPr>
        <w:t>Glaxo Wellcome S.A.,</w:t>
      </w:r>
    </w:p>
    <w:p w14:paraId="70594B5D" w14:textId="77777777" w:rsidR="008A2A04" w:rsidRPr="00C9575C" w:rsidRDefault="008A2A04" w:rsidP="008A2A04">
      <w:pPr>
        <w:numPr>
          <w:ilvl w:val="12"/>
          <w:numId w:val="0"/>
        </w:numPr>
        <w:rPr>
          <w:szCs w:val="22"/>
          <w:lang w:val="it-IT"/>
        </w:rPr>
      </w:pPr>
      <w:r w:rsidRPr="00C9575C">
        <w:rPr>
          <w:szCs w:val="22"/>
          <w:lang w:val="it-IT"/>
        </w:rPr>
        <w:t>Avenida de Extremadura 3,</w:t>
      </w:r>
    </w:p>
    <w:p w14:paraId="2CAD125E" w14:textId="77777777" w:rsidR="008A2A04" w:rsidRPr="00C9575C" w:rsidRDefault="008A2A04" w:rsidP="008A2A04">
      <w:pPr>
        <w:numPr>
          <w:ilvl w:val="12"/>
          <w:numId w:val="0"/>
        </w:numPr>
        <w:rPr>
          <w:szCs w:val="22"/>
          <w:lang w:val="it-IT"/>
        </w:rPr>
      </w:pPr>
      <w:r w:rsidRPr="00C9575C">
        <w:rPr>
          <w:szCs w:val="22"/>
          <w:lang w:val="it-IT"/>
        </w:rPr>
        <w:t>09400 Aranda de Duero Burgos,</w:t>
      </w:r>
    </w:p>
    <w:p w14:paraId="06A66310" w14:textId="77777777" w:rsidR="008A2A04" w:rsidRPr="00C9575C" w:rsidRDefault="008A2A04" w:rsidP="008A2A04">
      <w:pPr>
        <w:numPr>
          <w:ilvl w:val="12"/>
          <w:numId w:val="0"/>
        </w:numPr>
        <w:rPr>
          <w:szCs w:val="22"/>
          <w:lang w:val="it-IT"/>
        </w:rPr>
      </w:pPr>
      <w:r w:rsidRPr="00C9575C">
        <w:rPr>
          <w:szCs w:val="22"/>
          <w:lang w:val="it-IT"/>
        </w:rPr>
        <w:t>Spagna</w:t>
      </w:r>
    </w:p>
    <w:p w14:paraId="38331828" w14:textId="77777777" w:rsidR="0084378B" w:rsidRPr="00C9575C" w:rsidRDefault="0084378B">
      <w:pPr>
        <w:widowControl w:val="0"/>
        <w:suppressAutoHyphens/>
        <w:rPr>
          <w:szCs w:val="22"/>
          <w:lang w:val="it-IT"/>
        </w:rPr>
      </w:pPr>
    </w:p>
    <w:p w14:paraId="1B328AFA" w14:textId="77777777" w:rsidR="006604B3" w:rsidRPr="00C9575C" w:rsidRDefault="006604B3">
      <w:pPr>
        <w:widowControl w:val="0"/>
        <w:suppressAutoHyphens/>
        <w:rPr>
          <w:szCs w:val="22"/>
          <w:lang w:val="it-IT"/>
        </w:rPr>
      </w:pPr>
    </w:p>
    <w:p w14:paraId="7D0A677E" w14:textId="77777777" w:rsidR="0084378B" w:rsidRPr="00C9575C" w:rsidRDefault="0084378B" w:rsidP="007D4971">
      <w:pPr>
        <w:pStyle w:val="TitleB"/>
      </w:pPr>
      <w:r w:rsidRPr="00C9575C">
        <w:t>B.</w:t>
      </w:r>
      <w:r w:rsidRPr="00C9575C">
        <w:tab/>
        <w:t xml:space="preserve">CONDIZIONI </w:t>
      </w:r>
      <w:r w:rsidR="00D34B14" w:rsidRPr="00C9575C">
        <w:t xml:space="preserve">O LIMITAZIONI DI FORNITURA E UTILIZZO </w:t>
      </w:r>
    </w:p>
    <w:p w14:paraId="13314257" w14:textId="77777777" w:rsidR="0084378B" w:rsidRPr="00C9575C" w:rsidRDefault="0084378B">
      <w:pPr>
        <w:widowControl w:val="0"/>
        <w:suppressAutoHyphens/>
        <w:rPr>
          <w:szCs w:val="22"/>
          <w:lang w:val="it-IT"/>
        </w:rPr>
      </w:pPr>
    </w:p>
    <w:p w14:paraId="63CAB6EE" w14:textId="77777777" w:rsidR="0084378B" w:rsidRPr="00C9575C" w:rsidRDefault="0084378B">
      <w:pPr>
        <w:widowControl w:val="0"/>
        <w:numPr>
          <w:ilvl w:val="12"/>
          <w:numId w:val="0"/>
        </w:numPr>
        <w:suppressAutoHyphens/>
        <w:rPr>
          <w:szCs w:val="22"/>
          <w:lang w:val="it-IT"/>
        </w:rPr>
      </w:pPr>
      <w:r w:rsidRPr="00C9575C">
        <w:rPr>
          <w:szCs w:val="22"/>
          <w:lang w:val="it-IT"/>
        </w:rPr>
        <w:t>Medicinale soggetto a prescrizione medica limitativa (Vedere Allegato I: Riassunto delle Caratteristiche del Prodotto, paragrafo 4.2)</w:t>
      </w:r>
    </w:p>
    <w:p w14:paraId="72D8B28E" w14:textId="77777777" w:rsidR="00BE0455" w:rsidRPr="00C9575C" w:rsidRDefault="00BE0455" w:rsidP="00BE0455">
      <w:pPr>
        <w:widowControl w:val="0"/>
        <w:numPr>
          <w:ilvl w:val="12"/>
          <w:numId w:val="0"/>
        </w:numPr>
        <w:ind w:left="567" w:hanging="567"/>
        <w:rPr>
          <w:szCs w:val="22"/>
          <w:lang w:val="it-IT"/>
        </w:rPr>
      </w:pPr>
    </w:p>
    <w:p w14:paraId="7E46F994" w14:textId="77777777" w:rsidR="001117F3" w:rsidRPr="00C9575C" w:rsidRDefault="001117F3" w:rsidP="00BE0455">
      <w:pPr>
        <w:widowControl w:val="0"/>
        <w:numPr>
          <w:ilvl w:val="12"/>
          <w:numId w:val="0"/>
        </w:numPr>
        <w:ind w:left="567" w:hanging="567"/>
        <w:rPr>
          <w:szCs w:val="22"/>
          <w:lang w:val="it-IT"/>
        </w:rPr>
      </w:pPr>
    </w:p>
    <w:p w14:paraId="03E196AF" w14:textId="77777777" w:rsidR="00BE0455" w:rsidRPr="00C9575C" w:rsidRDefault="00BE0455" w:rsidP="00BE0455">
      <w:pPr>
        <w:pStyle w:val="TitleB"/>
        <w:tabs>
          <w:tab w:val="num" w:pos="567"/>
        </w:tabs>
        <w:suppressAutoHyphens w:val="0"/>
      </w:pPr>
      <w:r w:rsidRPr="00C9575C">
        <w:t>C.</w:t>
      </w:r>
      <w:r w:rsidRPr="00C9575C">
        <w:tab/>
        <w:t>ALTRE CONDIZIONI</w:t>
      </w:r>
      <w:r w:rsidRPr="00C9575C">
        <w:rPr>
          <w:b w:val="0"/>
        </w:rPr>
        <w:t xml:space="preserve"> </w:t>
      </w:r>
      <w:r w:rsidRPr="00C9575C">
        <w:t>E REQUISITI DELL’AUTORIZZAZIONE ALL’IMMISSIONE IN COMMERCIO</w:t>
      </w:r>
    </w:p>
    <w:p w14:paraId="005E6B0E" w14:textId="77777777" w:rsidR="00BE0455" w:rsidRPr="00C9575C" w:rsidRDefault="00BE0455" w:rsidP="00BE0455">
      <w:pPr>
        <w:widowControl w:val="0"/>
        <w:ind w:left="567" w:right="-1" w:hanging="567"/>
        <w:rPr>
          <w:szCs w:val="22"/>
          <w:lang w:val="it-IT"/>
        </w:rPr>
      </w:pPr>
    </w:p>
    <w:p w14:paraId="413DA365" w14:textId="2425CCAE" w:rsidR="00BE0455" w:rsidRPr="00C9575C" w:rsidRDefault="00BE0455" w:rsidP="00721816">
      <w:pPr>
        <w:numPr>
          <w:ilvl w:val="0"/>
          <w:numId w:val="13"/>
        </w:numPr>
        <w:tabs>
          <w:tab w:val="left" w:pos="567"/>
        </w:tabs>
        <w:spacing w:line="260" w:lineRule="exact"/>
        <w:ind w:left="284" w:right="-1" w:hanging="284"/>
        <w:rPr>
          <w:b/>
          <w:lang w:val="it-IT"/>
        </w:rPr>
      </w:pPr>
      <w:r w:rsidRPr="00C9575C">
        <w:rPr>
          <w:b/>
          <w:lang w:val="it-IT"/>
        </w:rPr>
        <w:t>Rapporti periodici di aggiornamento sulla sicurezza</w:t>
      </w:r>
      <w:r w:rsidR="00D43052">
        <w:rPr>
          <w:b/>
          <w:lang w:val="it-IT"/>
        </w:rPr>
        <w:t xml:space="preserve"> (PSUR)</w:t>
      </w:r>
    </w:p>
    <w:p w14:paraId="62B92606" w14:textId="77777777" w:rsidR="00D43052" w:rsidRDefault="00D43052" w:rsidP="00D43052">
      <w:pPr>
        <w:widowControl w:val="0"/>
        <w:ind w:right="-1"/>
        <w:rPr>
          <w:szCs w:val="22"/>
          <w:lang w:val="it-IT"/>
        </w:rPr>
      </w:pPr>
    </w:p>
    <w:p w14:paraId="74B23314" w14:textId="73F493EF" w:rsidR="00BE0455" w:rsidRPr="00C9575C" w:rsidRDefault="00D43052" w:rsidP="00E24882">
      <w:pPr>
        <w:widowControl w:val="0"/>
        <w:ind w:right="-1"/>
        <w:rPr>
          <w:szCs w:val="22"/>
          <w:lang w:val="it-IT"/>
        </w:rPr>
      </w:pPr>
      <w:r w:rsidRPr="00D43052">
        <w:rPr>
          <w:szCs w:val="22"/>
          <w:lang w:val="it-IT"/>
        </w:rPr>
        <w:t>I requisiti per la presentazione degli PSUR per questo medicinale sono definiti nell’elenco delle date di riferimento per l’Unione europea (elenco EURD) di cui all’articolo 107 quater, paragrafo 7, della Direttiva 2001/83/CE e successive modifiche, pubblicato sul sito web dell'Agenzia europea dei medicinali.</w:t>
      </w:r>
    </w:p>
    <w:p w14:paraId="5008071F" w14:textId="77777777" w:rsidR="001117F3" w:rsidRPr="00C9575C" w:rsidRDefault="001117F3" w:rsidP="00BE0455">
      <w:pPr>
        <w:widowControl w:val="0"/>
        <w:rPr>
          <w:snapToGrid w:val="0"/>
          <w:szCs w:val="22"/>
          <w:lang w:val="it-IT"/>
        </w:rPr>
      </w:pPr>
    </w:p>
    <w:p w14:paraId="5F061351" w14:textId="77777777" w:rsidR="00BE0455" w:rsidRPr="00C9575C" w:rsidRDefault="00BE0455" w:rsidP="00721816">
      <w:pPr>
        <w:pStyle w:val="TitleB"/>
        <w:numPr>
          <w:ilvl w:val="0"/>
          <w:numId w:val="14"/>
        </w:numPr>
        <w:suppressAutoHyphens w:val="0"/>
        <w:ind w:left="567" w:hanging="567"/>
        <w:rPr>
          <w:snapToGrid w:val="0"/>
        </w:rPr>
      </w:pPr>
      <w:r w:rsidRPr="00C9575C">
        <w:t>CONDIZIONI O LIMITAZIONI PER QUANTO RIGUARDA L’USO SICURO ED EFFICACE DEL MEDICINALE</w:t>
      </w:r>
    </w:p>
    <w:p w14:paraId="071FE937" w14:textId="77777777" w:rsidR="00BE0455" w:rsidRPr="00C9575C" w:rsidRDefault="00BE0455" w:rsidP="00BE0455">
      <w:pPr>
        <w:pStyle w:val="TitleB"/>
        <w:rPr>
          <w:snapToGrid w:val="0"/>
        </w:rPr>
      </w:pPr>
    </w:p>
    <w:p w14:paraId="6E428DD6" w14:textId="77777777" w:rsidR="00BE0455" w:rsidRPr="00C9575C" w:rsidRDefault="00BE0455" w:rsidP="00721816">
      <w:pPr>
        <w:pStyle w:val="EMEABodyText"/>
        <w:numPr>
          <w:ilvl w:val="0"/>
          <w:numId w:val="13"/>
        </w:numPr>
        <w:tabs>
          <w:tab w:val="left" w:pos="567"/>
        </w:tabs>
        <w:ind w:left="0" w:firstLine="0"/>
        <w:rPr>
          <w:b/>
          <w:i/>
          <w:lang w:val="it-IT"/>
        </w:rPr>
      </w:pPr>
      <w:r w:rsidRPr="00C03451">
        <w:rPr>
          <w:b/>
          <w:szCs w:val="24"/>
          <w:lang w:val="it-IT"/>
        </w:rPr>
        <w:t>Piano di gestione del rischio</w:t>
      </w:r>
      <w:r w:rsidRPr="00C9575C">
        <w:rPr>
          <w:b/>
          <w:i/>
          <w:lang w:val="it-IT"/>
        </w:rPr>
        <w:t xml:space="preserve"> </w:t>
      </w:r>
      <w:r w:rsidRPr="00C03451">
        <w:rPr>
          <w:b/>
          <w:szCs w:val="24"/>
          <w:lang w:val="it-IT"/>
        </w:rPr>
        <w:t>(RMP</w:t>
      </w:r>
      <w:r w:rsidRPr="00C9575C">
        <w:rPr>
          <w:b/>
          <w:lang w:val="it-IT"/>
        </w:rPr>
        <w:t>)</w:t>
      </w:r>
    </w:p>
    <w:p w14:paraId="0A48470D" w14:textId="77777777" w:rsidR="009923BD" w:rsidRPr="00C9575C" w:rsidRDefault="009923BD" w:rsidP="0024365E">
      <w:pPr>
        <w:pStyle w:val="EMEABodyText"/>
        <w:rPr>
          <w:szCs w:val="24"/>
          <w:lang w:val="it-IT"/>
        </w:rPr>
      </w:pPr>
    </w:p>
    <w:p w14:paraId="11DA7E64" w14:textId="59E7AD4B" w:rsidR="00BE0455" w:rsidRPr="00C9575C" w:rsidRDefault="00BE0455" w:rsidP="0024365E">
      <w:pPr>
        <w:pStyle w:val="EMEABodyText"/>
        <w:rPr>
          <w:szCs w:val="24"/>
          <w:lang w:val="it-IT"/>
        </w:rPr>
      </w:pPr>
      <w:r w:rsidRPr="00C9575C">
        <w:rPr>
          <w:szCs w:val="24"/>
          <w:lang w:val="it-IT"/>
        </w:rPr>
        <w:t xml:space="preserve">Il titolare dell’autorizzazione all'immissione in commercio </w:t>
      </w:r>
      <w:r w:rsidRPr="00C9575C">
        <w:rPr>
          <w:szCs w:val="22"/>
          <w:lang w:val="it-IT" w:eastAsia="it-IT"/>
        </w:rPr>
        <w:t xml:space="preserve">deve effettuare </w:t>
      </w:r>
      <w:r w:rsidRPr="00C9575C">
        <w:rPr>
          <w:szCs w:val="24"/>
          <w:lang w:val="it-IT"/>
        </w:rPr>
        <w:t xml:space="preserve">le attività e </w:t>
      </w:r>
      <w:r w:rsidR="00641D24">
        <w:rPr>
          <w:szCs w:val="24"/>
          <w:lang w:val="it-IT"/>
        </w:rPr>
        <w:t>le azioni</w:t>
      </w:r>
      <w:r w:rsidRPr="00C9575C">
        <w:rPr>
          <w:szCs w:val="24"/>
          <w:lang w:val="it-IT"/>
        </w:rPr>
        <w:t xml:space="preserve"> di farmacovigilanza richiest</w:t>
      </w:r>
      <w:r w:rsidR="00641D24">
        <w:rPr>
          <w:szCs w:val="24"/>
          <w:lang w:val="it-IT"/>
        </w:rPr>
        <w:t>e</w:t>
      </w:r>
      <w:r w:rsidRPr="00C9575C">
        <w:rPr>
          <w:szCs w:val="24"/>
          <w:lang w:val="it-IT"/>
        </w:rPr>
        <w:t xml:space="preserve"> e dettagliat</w:t>
      </w:r>
      <w:r w:rsidR="00641D24">
        <w:rPr>
          <w:szCs w:val="24"/>
          <w:lang w:val="it-IT"/>
        </w:rPr>
        <w:t>e</w:t>
      </w:r>
      <w:r w:rsidRPr="00C9575C">
        <w:rPr>
          <w:szCs w:val="24"/>
          <w:lang w:val="it-IT"/>
        </w:rPr>
        <w:t xml:space="preserve"> nel RMP </w:t>
      </w:r>
      <w:r w:rsidR="00641D24">
        <w:rPr>
          <w:szCs w:val="24"/>
          <w:lang w:val="it-IT"/>
        </w:rPr>
        <w:t>approvato</w:t>
      </w:r>
      <w:r w:rsidR="00641D24" w:rsidRPr="00C9575C">
        <w:rPr>
          <w:szCs w:val="24"/>
          <w:lang w:val="it-IT"/>
        </w:rPr>
        <w:t xml:space="preserve"> </w:t>
      </w:r>
      <w:r w:rsidRPr="00C9575C">
        <w:rPr>
          <w:szCs w:val="24"/>
          <w:lang w:val="it-IT"/>
        </w:rPr>
        <w:t xml:space="preserve">e </w:t>
      </w:r>
      <w:r w:rsidR="0024365E" w:rsidRPr="00C9575C">
        <w:rPr>
          <w:szCs w:val="24"/>
          <w:lang w:val="it-IT"/>
        </w:rPr>
        <w:t>presentato nel modulo 1.8.2 d</w:t>
      </w:r>
      <w:r w:rsidRPr="00C9575C">
        <w:rPr>
          <w:szCs w:val="24"/>
          <w:lang w:val="it-IT"/>
        </w:rPr>
        <w:t xml:space="preserve">ell’autorizzazione all'immissione in commercio e </w:t>
      </w:r>
      <w:r w:rsidR="00641D24">
        <w:rPr>
          <w:szCs w:val="24"/>
          <w:lang w:val="it-IT"/>
        </w:rPr>
        <w:t xml:space="preserve">in ogni </w:t>
      </w:r>
      <w:r w:rsidRPr="00C9575C">
        <w:rPr>
          <w:szCs w:val="24"/>
          <w:lang w:val="it-IT"/>
        </w:rPr>
        <w:t xml:space="preserve">successivo aggiornamento </w:t>
      </w:r>
      <w:r w:rsidR="00641D24">
        <w:rPr>
          <w:szCs w:val="24"/>
          <w:lang w:val="it-IT"/>
        </w:rPr>
        <w:t>approvato</w:t>
      </w:r>
      <w:r w:rsidR="00641D24" w:rsidRPr="00C9575C">
        <w:rPr>
          <w:szCs w:val="24"/>
          <w:lang w:val="it-IT"/>
        </w:rPr>
        <w:t xml:space="preserve"> </w:t>
      </w:r>
      <w:r w:rsidRPr="00C9575C">
        <w:rPr>
          <w:szCs w:val="24"/>
          <w:lang w:val="it-IT"/>
        </w:rPr>
        <w:t xml:space="preserve">del </w:t>
      </w:r>
      <w:r w:rsidRPr="00C9575C">
        <w:rPr>
          <w:lang w:val="it-IT"/>
        </w:rPr>
        <w:t>RMP</w:t>
      </w:r>
      <w:r w:rsidRPr="00C9575C">
        <w:rPr>
          <w:szCs w:val="24"/>
          <w:lang w:val="it-IT"/>
        </w:rPr>
        <w:t>.</w:t>
      </w:r>
    </w:p>
    <w:p w14:paraId="062F6C71" w14:textId="77777777" w:rsidR="00BE0455" w:rsidRPr="00C9575C" w:rsidRDefault="00BE0455" w:rsidP="00BE0455">
      <w:pPr>
        <w:ind w:right="-1"/>
        <w:rPr>
          <w:i/>
          <w:u w:val="single"/>
          <w:lang w:val="it-IT"/>
        </w:rPr>
      </w:pPr>
    </w:p>
    <w:p w14:paraId="645FE1AC" w14:textId="329DE76A" w:rsidR="00BE0455" w:rsidRPr="00C03451" w:rsidRDefault="00641D24" w:rsidP="00BE0455">
      <w:pPr>
        <w:pStyle w:val="EMEABodyText"/>
        <w:rPr>
          <w:szCs w:val="24"/>
          <w:lang w:val="it-IT"/>
        </w:rPr>
      </w:pPr>
      <w:r>
        <w:rPr>
          <w:szCs w:val="24"/>
          <w:lang w:val="it-IT"/>
        </w:rPr>
        <w:t>Il</w:t>
      </w:r>
      <w:r w:rsidR="00F52328">
        <w:rPr>
          <w:szCs w:val="24"/>
          <w:lang w:val="it-IT"/>
        </w:rPr>
        <w:t xml:space="preserve"> </w:t>
      </w:r>
      <w:r w:rsidR="00BE0455" w:rsidRPr="00C03451">
        <w:rPr>
          <w:szCs w:val="24"/>
          <w:lang w:val="it-IT"/>
        </w:rPr>
        <w:t>RMP aggiornato deve essere presentato:</w:t>
      </w:r>
    </w:p>
    <w:p w14:paraId="4D616D48" w14:textId="77777777" w:rsidR="00BE0455" w:rsidRPr="00C9575C" w:rsidRDefault="00BE0455" w:rsidP="00BE0455">
      <w:pPr>
        <w:pStyle w:val="EMEABodyText"/>
        <w:rPr>
          <w:szCs w:val="24"/>
          <w:lang w:val="it-IT"/>
        </w:rPr>
      </w:pPr>
    </w:p>
    <w:p w14:paraId="2DAA4F47" w14:textId="77777777" w:rsidR="00BE0455" w:rsidRPr="00C03451" w:rsidRDefault="00BE0455" w:rsidP="00E24882">
      <w:pPr>
        <w:numPr>
          <w:ilvl w:val="0"/>
          <w:numId w:val="15"/>
        </w:numPr>
        <w:suppressLineNumbers/>
        <w:tabs>
          <w:tab w:val="left" w:pos="567"/>
        </w:tabs>
        <w:spacing w:line="260" w:lineRule="exact"/>
        <w:ind w:right="-1" w:hanging="436"/>
        <w:rPr>
          <w:iCs/>
          <w:szCs w:val="22"/>
          <w:lang w:val="it-IT"/>
        </w:rPr>
      </w:pPr>
      <w:r w:rsidRPr="00C03451">
        <w:rPr>
          <w:iCs/>
          <w:szCs w:val="22"/>
          <w:lang w:val="it-IT"/>
        </w:rPr>
        <w:t>su richiesta dell’Agenzia europea per i medicinali;</w:t>
      </w:r>
    </w:p>
    <w:p w14:paraId="79B034C0" w14:textId="77777777" w:rsidR="00930507" w:rsidRPr="00C03451" w:rsidRDefault="00930507" w:rsidP="00930507">
      <w:pPr>
        <w:suppressLineNumbers/>
        <w:tabs>
          <w:tab w:val="left" w:pos="567"/>
        </w:tabs>
        <w:spacing w:line="260" w:lineRule="exact"/>
        <w:ind w:left="360" w:right="-1"/>
        <w:rPr>
          <w:iCs/>
          <w:szCs w:val="22"/>
          <w:lang w:val="it-IT"/>
        </w:rPr>
      </w:pPr>
    </w:p>
    <w:p w14:paraId="77E4A168" w14:textId="3EB4414E" w:rsidR="00BE0455" w:rsidRPr="00C9575C" w:rsidRDefault="00BE0455" w:rsidP="00E24882">
      <w:pPr>
        <w:numPr>
          <w:ilvl w:val="0"/>
          <w:numId w:val="15"/>
        </w:numPr>
        <w:suppressLineNumbers/>
        <w:tabs>
          <w:tab w:val="clear" w:pos="720"/>
          <w:tab w:val="left" w:pos="567"/>
        </w:tabs>
        <w:spacing w:line="260" w:lineRule="exact"/>
        <w:ind w:left="567" w:right="-1" w:hanging="283"/>
        <w:rPr>
          <w:szCs w:val="24"/>
          <w:lang w:val="it-IT"/>
        </w:rPr>
      </w:pPr>
      <w:r w:rsidRPr="00C03451">
        <w:rPr>
          <w:iCs/>
          <w:szCs w:val="22"/>
          <w:lang w:val="it-IT"/>
        </w:rPr>
        <w:t>ogni volta che il sistema di gestione del rischio è modificato, in particolare a seguito del ricevimento di nuove informazioni</w:t>
      </w:r>
      <w:r w:rsidRPr="00C03451">
        <w:rPr>
          <w:szCs w:val="24"/>
          <w:lang w:val="it-IT"/>
        </w:rPr>
        <w:t xml:space="preserve"> che possono portare a un cambiamento significativo del profilo beneficio/rischio o </w:t>
      </w:r>
      <w:r w:rsidR="00A40B49">
        <w:rPr>
          <w:szCs w:val="24"/>
          <w:lang w:val="it-IT"/>
        </w:rPr>
        <w:t>a seguito</w:t>
      </w:r>
      <w:r w:rsidRPr="00C03451">
        <w:rPr>
          <w:szCs w:val="24"/>
          <w:lang w:val="it-IT"/>
        </w:rPr>
        <w:t xml:space="preserve"> del raggiungimento di un importante obiettivo (di farmacovigilanza o di minimizzazione del rischio).</w:t>
      </w:r>
    </w:p>
    <w:p w14:paraId="5FB657FE" w14:textId="77777777" w:rsidR="00B0725E" w:rsidRPr="00BB4B32" w:rsidRDefault="00B0725E" w:rsidP="00B0725E">
      <w:pPr>
        <w:rPr>
          <w:ins w:id="11" w:author="Author"/>
          <w:snapToGrid w:val="0"/>
        </w:rPr>
      </w:pPr>
    </w:p>
    <w:p w14:paraId="715AA2B5" w14:textId="77777777" w:rsidR="00B0725E" w:rsidRPr="003E1330" w:rsidRDefault="00B0725E" w:rsidP="00B0725E">
      <w:pPr>
        <w:pStyle w:val="ListParagraph"/>
        <w:numPr>
          <w:ilvl w:val="0"/>
          <w:numId w:val="39"/>
        </w:numPr>
        <w:spacing w:after="0" w:line="240" w:lineRule="auto"/>
        <w:ind w:left="567" w:hanging="567"/>
        <w:contextualSpacing w:val="0"/>
        <w:rPr>
          <w:ins w:id="12" w:author="Author"/>
          <w:rFonts w:ascii="Times New Roman" w:eastAsia="Times New Roman" w:hAnsi="Times New Roman"/>
          <w:b/>
          <w:szCs w:val="20"/>
          <w:lang w:val="en-GB" w:eastAsia="it-IT"/>
          <w:rPrChange w:id="13" w:author="Author">
            <w:rPr>
              <w:ins w:id="14" w:author="Author"/>
              <w:noProof/>
            </w:rPr>
          </w:rPrChange>
        </w:rPr>
      </w:pPr>
      <w:ins w:id="15" w:author="Author">
        <w:r w:rsidRPr="003E1330">
          <w:rPr>
            <w:rFonts w:ascii="Times New Roman" w:eastAsia="Times New Roman" w:hAnsi="Times New Roman"/>
            <w:b/>
            <w:szCs w:val="20"/>
            <w:lang w:val="en-GB" w:eastAsia="it-IT"/>
            <w:rPrChange w:id="16" w:author="Author">
              <w:rPr>
                <w:b/>
              </w:rPr>
            </w:rPrChange>
          </w:rPr>
          <w:t>Misure aggiuntive di minimizzazione del rischio</w:t>
        </w:r>
      </w:ins>
    </w:p>
    <w:p w14:paraId="3D20E820" w14:textId="77777777" w:rsidR="00B0725E" w:rsidRDefault="00B0725E" w:rsidP="00B0725E">
      <w:pPr>
        <w:rPr>
          <w:ins w:id="17" w:author="Author"/>
          <w:b/>
        </w:rPr>
      </w:pPr>
    </w:p>
    <w:p w14:paraId="3275DC88" w14:textId="77777777" w:rsidR="00B0725E" w:rsidRPr="006A1F2F" w:rsidRDefault="00B0725E" w:rsidP="00B0725E">
      <w:pPr>
        <w:rPr>
          <w:ins w:id="18" w:author="Author"/>
          <w:b/>
          <w:u w:val="single"/>
          <w:lang w:val="it-IT"/>
          <w:rPrChange w:id="19" w:author="Author">
            <w:rPr>
              <w:ins w:id="20" w:author="Author"/>
              <w:b/>
            </w:rPr>
          </w:rPrChange>
        </w:rPr>
      </w:pPr>
      <w:ins w:id="21" w:author="Author">
        <w:r w:rsidRPr="006A1F2F">
          <w:rPr>
            <w:b/>
            <w:u w:val="single"/>
            <w:lang w:val="it-IT"/>
            <w:rPrChange w:id="22" w:author="Author">
              <w:rPr>
                <w:b/>
              </w:rPr>
            </w:rPrChange>
          </w:rPr>
          <w:t>Ipersensibilità ad abacavir</w:t>
        </w:r>
      </w:ins>
    </w:p>
    <w:p w14:paraId="6E9A1D21" w14:textId="77777777" w:rsidR="00B0725E" w:rsidRPr="003E1330" w:rsidRDefault="00B0725E" w:rsidP="00B0725E">
      <w:pPr>
        <w:rPr>
          <w:ins w:id="23" w:author="Author"/>
          <w:bCs/>
          <w:lang w:val="it-IT"/>
          <w:rPrChange w:id="24" w:author="Author">
            <w:rPr>
              <w:ins w:id="25" w:author="Author"/>
              <w:bCs/>
            </w:rPr>
          </w:rPrChange>
        </w:rPr>
      </w:pPr>
    </w:p>
    <w:p w14:paraId="295C5F05" w14:textId="77777777" w:rsidR="00B0725E" w:rsidRPr="003E1330" w:rsidRDefault="00B0725E" w:rsidP="00B0725E">
      <w:pPr>
        <w:rPr>
          <w:ins w:id="26" w:author="Author"/>
          <w:bCs/>
          <w:lang w:val="it-IT"/>
          <w:rPrChange w:id="27" w:author="Author">
            <w:rPr>
              <w:ins w:id="28" w:author="Author"/>
              <w:bCs/>
            </w:rPr>
          </w:rPrChange>
        </w:rPr>
      </w:pPr>
      <w:ins w:id="29" w:author="Author">
        <w:r w:rsidRPr="003E1330">
          <w:rPr>
            <w:bCs/>
            <w:lang w:val="it-IT"/>
            <w:rPrChange w:id="30" w:author="Author">
              <w:rPr>
                <w:bCs/>
              </w:rPr>
            </w:rPrChange>
          </w:rPr>
          <w:t>In ogni confezione di un medicinale contenente ABC è inclusa una scheda di ‘Allerta’ che i pazienti devono portare sempre con sé.</w:t>
        </w:r>
        <w:r w:rsidRPr="003E1330">
          <w:rPr>
            <w:lang w:val="it-IT"/>
            <w:rPrChange w:id="31" w:author="Author">
              <w:rPr/>
            </w:rPrChange>
          </w:rPr>
          <w:t xml:space="preserve"> </w:t>
        </w:r>
        <w:r w:rsidRPr="003E1330">
          <w:rPr>
            <w:bCs/>
            <w:lang w:val="it-IT"/>
            <w:rPrChange w:id="32" w:author="Author">
              <w:rPr>
                <w:bCs/>
              </w:rPr>
            </w:rPrChange>
          </w:rPr>
          <w:t>Questa scheda descrive i sintomi della reazione allergica e avverte i pazienti che tali reazioni possono essere pericolose per la vita se il trattamento con un medicinale contenente ABC è continuato. La scheda di allerta avverte inoltre il paziente che, se il trattamento con un medicinale contenente ABC viene interrotto a causa di questo tipo di reazioni, il paziente non deve mai più assumere di nuovo un medicinale contenente ABC o qualsiasi altro medicinale contenente ABC, poiché ciò potrebbe causare un abbassamento della pressione sanguigna pericoloso per la vita o la morte.</w:t>
        </w:r>
      </w:ins>
    </w:p>
    <w:p w14:paraId="19111622" w14:textId="77777777" w:rsidR="00BE0455" w:rsidRPr="00C9575C" w:rsidRDefault="00BE0455" w:rsidP="00721816">
      <w:pPr>
        <w:suppressLineNumbers/>
        <w:tabs>
          <w:tab w:val="left" w:pos="567"/>
        </w:tabs>
        <w:spacing w:line="260" w:lineRule="exact"/>
        <w:ind w:right="-1"/>
        <w:rPr>
          <w:szCs w:val="24"/>
          <w:lang w:val="it-IT"/>
        </w:rPr>
      </w:pPr>
    </w:p>
    <w:p w14:paraId="18D70CEE" w14:textId="77777777" w:rsidR="0084378B" w:rsidRPr="00C9575C" w:rsidRDefault="0084378B">
      <w:pPr>
        <w:widowControl w:val="0"/>
        <w:tabs>
          <w:tab w:val="left" w:pos="567"/>
        </w:tabs>
        <w:rPr>
          <w:szCs w:val="22"/>
          <w:lang w:val="it-IT"/>
        </w:rPr>
      </w:pPr>
    </w:p>
    <w:p w14:paraId="0D17D823" w14:textId="77777777" w:rsidR="0084378B" w:rsidRPr="00C9575C" w:rsidRDefault="0084378B">
      <w:pPr>
        <w:widowControl w:val="0"/>
        <w:tabs>
          <w:tab w:val="left" w:pos="567"/>
        </w:tabs>
        <w:rPr>
          <w:szCs w:val="22"/>
          <w:lang w:val="it-IT"/>
        </w:rPr>
      </w:pPr>
    </w:p>
    <w:p w14:paraId="66CB69BD" w14:textId="77777777" w:rsidR="0084378B" w:rsidRPr="00C9575C" w:rsidRDefault="0084378B">
      <w:pPr>
        <w:widowControl w:val="0"/>
        <w:tabs>
          <w:tab w:val="left" w:pos="567"/>
        </w:tabs>
        <w:suppressAutoHyphens/>
        <w:rPr>
          <w:szCs w:val="22"/>
          <w:lang w:val="it-IT"/>
        </w:rPr>
      </w:pPr>
    </w:p>
    <w:p w14:paraId="24A46C40" w14:textId="77777777" w:rsidR="0084378B" w:rsidRPr="00C9575C" w:rsidRDefault="0084378B">
      <w:pPr>
        <w:widowControl w:val="0"/>
        <w:tabs>
          <w:tab w:val="left" w:pos="567"/>
        </w:tabs>
        <w:suppressAutoHyphens/>
        <w:rPr>
          <w:szCs w:val="22"/>
          <w:lang w:val="it-IT"/>
        </w:rPr>
      </w:pPr>
    </w:p>
    <w:p w14:paraId="52D99F00" w14:textId="77777777" w:rsidR="0084378B" w:rsidRPr="00C9575C" w:rsidRDefault="0084378B">
      <w:pPr>
        <w:widowControl w:val="0"/>
        <w:tabs>
          <w:tab w:val="left" w:pos="567"/>
        </w:tabs>
        <w:suppressAutoHyphens/>
        <w:rPr>
          <w:szCs w:val="22"/>
          <w:lang w:val="it-IT"/>
        </w:rPr>
      </w:pPr>
    </w:p>
    <w:p w14:paraId="01B5B558" w14:textId="77777777" w:rsidR="0084378B" w:rsidRPr="00C9575C" w:rsidRDefault="0084378B">
      <w:pPr>
        <w:widowControl w:val="0"/>
        <w:tabs>
          <w:tab w:val="left" w:pos="567"/>
        </w:tabs>
        <w:suppressAutoHyphens/>
        <w:rPr>
          <w:szCs w:val="22"/>
          <w:lang w:val="it-IT"/>
        </w:rPr>
      </w:pPr>
    </w:p>
    <w:p w14:paraId="32FAAB7D" w14:textId="77777777" w:rsidR="0084378B" w:rsidRPr="00C9575C" w:rsidRDefault="0084378B">
      <w:pPr>
        <w:widowControl w:val="0"/>
        <w:tabs>
          <w:tab w:val="left" w:pos="567"/>
        </w:tabs>
        <w:suppressAutoHyphens/>
        <w:rPr>
          <w:szCs w:val="22"/>
          <w:lang w:val="it-IT"/>
        </w:rPr>
      </w:pPr>
    </w:p>
    <w:p w14:paraId="5591AEEE" w14:textId="77777777" w:rsidR="0084378B" w:rsidRPr="00C9575C" w:rsidRDefault="0084378B">
      <w:pPr>
        <w:widowControl w:val="0"/>
        <w:tabs>
          <w:tab w:val="left" w:pos="567"/>
        </w:tabs>
        <w:suppressAutoHyphens/>
        <w:rPr>
          <w:szCs w:val="22"/>
          <w:lang w:val="it-IT"/>
        </w:rPr>
      </w:pPr>
    </w:p>
    <w:p w14:paraId="50F0CD1B" w14:textId="77777777" w:rsidR="0084378B" w:rsidRPr="00C9575C" w:rsidRDefault="0084378B">
      <w:pPr>
        <w:widowControl w:val="0"/>
        <w:tabs>
          <w:tab w:val="left" w:pos="567"/>
        </w:tabs>
        <w:suppressAutoHyphens/>
        <w:rPr>
          <w:szCs w:val="22"/>
          <w:lang w:val="it-IT"/>
        </w:rPr>
      </w:pPr>
    </w:p>
    <w:p w14:paraId="40F96D2F" w14:textId="77777777" w:rsidR="0084378B" w:rsidRPr="00C9575C" w:rsidRDefault="0084378B">
      <w:pPr>
        <w:widowControl w:val="0"/>
        <w:tabs>
          <w:tab w:val="left" w:pos="567"/>
        </w:tabs>
        <w:suppressAutoHyphens/>
        <w:rPr>
          <w:szCs w:val="22"/>
          <w:lang w:val="it-IT"/>
        </w:rPr>
      </w:pPr>
    </w:p>
    <w:p w14:paraId="3BDE7EE3" w14:textId="77777777" w:rsidR="0084378B" w:rsidRPr="00C9575C" w:rsidRDefault="0084378B">
      <w:pPr>
        <w:widowControl w:val="0"/>
        <w:tabs>
          <w:tab w:val="left" w:pos="567"/>
        </w:tabs>
        <w:suppressAutoHyphens/>
        <w:rPr>
          <w:szCs w:val="22"/>
          <w:lang w:val="it-IT"/>
        </w:rPr>
      </w:pPr>
    </w:p>
    <w:p w14:paraId="61B6A9FF" w14:textId="77777777" w:rsidR="0084378B" w:rsidRPr="00C9575C" w:rsidRDefault="0084378B">
      <w:pPr>
        <w:widowControl w:val="0"/>
        <w:tabs>
          <w:tab w:val="left" w:pos="567"/>
        </w:tabs>
        <w:suppressAutoHyphens/>
        <w:rPr>
          <w:szCs w:val="22"/>
          <w:lang w:val="it-IT"/>
        </w:rPr>
      </w:pPr>
    </w:p>
    <w:p w14:paraId="37A48C2E" w14:textId="77777777" w:rsidR="0084378B" w:rsidRPr="00C9575C" w:rsidRDefault="0084378B">
      <w:pPr>
        <w:widowControl w:val="0"/>
        <w:tabs>
          <w:tab w:val="left" w:pos="567"/>
        </w:tabs>
        <w:suppressAutoHyphens/>
        <w:rPr>
          <w:szCs w:val="22"/>
          <w:lang w:val="it-IT"/>
        </w:rPr>
      </w:pPr>
    </w:p>
    <w:p w14:paraId="3EA293CF" w14:textId="77777777" w:rsidR="0084378B" w:rsidRPr="00C9575C" w:rsidRDefault="0084378B">
      <w:pPr>
        <w:widowControl w:val="0"/>
        <w:tabs>
          <w:tab w:val="left" w:pos="567"/>
        </w:tabs>
        <w:suppressAutoHyphens/>
        <w:rPr>
          <w:szCs w:val="22"/>
          <w:lang w:val="it-IT"/>
        </w:rPr>
      </w:pPr>
    </w:p>
    <w:p w14:paraId="7E0D3088" w14:textId="77777777" w:rsidR="0084378B" w:rsidRPr="00C9575C" w:rsidRDefault="0084378B">
      <w:pPr>
        <w:widowControl w:val="0"/>
        <w:tabs>
          <w:tab w:val="left" w:pos="567"/>
        </w:tabs>
        <w:suppressAutoHyphens/>
        <w:rPr>
          <w:szCs w:val="22"/>
          <w:lang w:val="it-IT"/>
        </w:rPr>
      </w:pPr>
    </w:p>
    <w:p w14:paraId="5B0BC46B" w14:textId="77777777" w:rsidR="0084378B" w:rsidRPr="00C9575C" w:rsidRDefault="0084378B">
      <w:pPr>
        <w:widowControl w:val="0"/>
        <w:tabs>
          <w:tab w:val="left" w:pos="567"/>
        </w:tabs>
        <w:suppressAutoHyphens/>
        <w:rPr>
          <w:szCs w:val="22"/>
          <w:lang w:val="it-IT"/>
        </w:rPr>
      </w:pPr>
    </w:p>
    <w:p w14:paraId="6D7B362D" w14:textId="77777777" w:rsidR="0084378B" w:rsidRPr="00C9575C" w:rsidRDefault="0084378B">
      <w:pPr>
        <w:widowControl w:val="0"/>
        <w:tabs>
          <w:tab w:val="left" w:pos="567"/>
        </w:tabs>
        <w:suppressAutoHyphens/>
        <w:rPr>
          <w:szCs w:val="22"/>
          <w:lang w:val="it-IT"/>
        </w:rPr>
      </w:pPr>
    </w:p>
    <w:p w14:paraId="2ADA5F79" w14:textId="77777777" w:rsidR="0084378B" w:rsidRPr="00C9575C" w:rsidRDefault="0084378B">
      <w:pPr>
        <w:widowControl w:val="0"/>
        <w:tabs>
          <w:tab w:val="left" w:pos="567"/>
        </w:tabs>
        <w:suppressAutoHyphens/>
        <w:rPr>
          <w:szCs w:val="22"/>
          <w:lang w:val="it-IT"/>
        </w:rPr>
      </w:pPr>
    </w:p>
    <w:p w14:paraId="168D7A01" w14:textId="77777777" w:rsidR="0084378B" w:rsidRPr="00C9575C" w:rsidRDefault="0084378B">
      <w:pPr>
        <w:widowControl w:val="0"/>
        <w:tabs>
          <w:tab w:val="left" w:pos="567"/>
        </w:tabs>
        <w:suppressAutoHyphens/>
        <w:rPr>
          <w:szCs w:val="22"/>
          <w:lang w:val="it-IT"/>
        </w:rPr>
      </w:pPr>
    </w:p>
    <w:p w14:paraId="4C8E320F" w14:textId="77777777" w:rsidR="0084378B" w:rsidRPr="00C9575C" w:rsidRDefault="0084378B">
      <w:pPr>
        <w:widowControl w:val="0"/>
        <w:tabs>
          <w:tab w:val="left" w:pos="567"/>
        </w:tabs>
        <w:suppressAutoHyphens/>
        <w:rPr>
          <w:szCs w:val="22"/>
          <w:lang w:val="it-IT"/>
        </w:rPr>
      </w:pPr>
    </w:p>
    <w:p w14:paraId="06233E0C" w14:textId="77777777" w:rsidR="0084378B" w:rsidRPr="00C9575C" w:rsidRDefault="0084378B">
      <w:pPr>
        <w:widowControl w:val="0"/>
        <w:tabs>
          <w:tab w:val="left" w:pos="567"/>
        </w:tabs>
        <w:suppressAutoHyphens/>
        <w:rPr>
          <w:szCs w:val="22"/>
          <w:lang w:val="it-IT"/>
        </w:rPr>
      </w:pPr>
    </w:p>
    <w:p w14:paraId="1110089C" w14:textId="77777777" w:rsidR="0084378B" w:rsidRPr="00C9575C" w:rsidRDefault="0084378B">
      <w:pPr>
        <w:widowControl w:val="0"/>
        <w:tabs>
          <w:tab w:val="left" w:pos="567"/>
        </w:tabs>
        <w:suppressAutoHyphens/>
        <w:rPr>
          <w:szCs w:val="22"/>
          <w:lang w:val="it-IT"/>
        </w:rPr>
      </w:pPr>
    </w:p>
    <w:p w14:paraId="2F270FA1" w14:textId="77777777" w:rsidR="0084378B" w:rsidRPr="00C9575C" w:rsidRDefault="0084378B">
      <w:pPr>
        <w:widowControl w:val="0"/>
        <w:tabs>
          <w:tab w:val="left" w:pos="567"/>
        </w:tabs>
        <w:suppressAutoHyphens/>
        <w:rPr>
          <w:szCs w:val="22"/>
          <w:lang w:val="it-IT"/>
        </w:rPr>
      </w:pPr>
    </w:p>
    <w:p w14:paraId="088F6DDB" w14:textId="3DCD8755" w:rsidR="0084378B" w:rsidRPr="00C9575C" w:rsidRDefault="0084378B">
      <w:pPr>
        <w:widowControl w:val="0"/>
        <w:jc w:val="center"/>
        <w:outlineLvl w:val="0"/>
        <w:rPr>
          <w:b/>
          <w:szCs w:val="22"/>
          <w:lang w:val="it-IT"/>
        </w:rPr>
      </w:pPr>
      <w:r w:rsidRPr="00C9575C">
        <w:rPr>
          <w:b/>
          <w:szCs w:val="22"/>
          <w:lang w:val="it-IT"/>
        </w:rPr>
        <w:t>ALLEGATO III</w:t>
      </w:r>
      <w:r w:rsidR="0092155C">
        <w:rPr>
          <w:b/>
          <w:szCs w:val="22"/>
          <w:lang w:val="it-IT"/>
        </w:rPr>
        <w:fldChar w:fldCharType="begin"/>
      </w:r>
      <w:r w:rsidR="0092155C">
        <w:rPr>
          <w:b/>
          <w:szCs w:val="22"/>
          <w:lang w:val="it-IT"/>
        </w:rPr>
        <w:instrText xml:space="preserve"> DOCVARIABLE VAULT_ND_d7e9c676-3229-4812-9d3d-9943e946a50e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01762049" w14:textId="77777777" w:rsidR="0084378B" w:rsidRPr="00C9575C" w:rsidRDefault="0084378B">
      <w:pPr>
        <w:widowControl w:val="0"/>
        <w:tabs>
          <w:tab w:val="left" w:pos="567"/>
        </w:tabs>
        <w:rPr>
          <w:szCs w:val="22"/>
          <w:lang w:val="it-IT"/>
        </w:rPr>
      </w:pPr>
    </w:p>
    <w:p w14:paraId="2BC14D10" w14:textId="1EAA8E92" w:rsidR="0084378B" w:rsidRPr="00C9575C" w:rsidRDefault="0084378B">
      <w:pPr>
        <w:widowControl w:val="0"/>
        <w:tabs>
          <w:tab w:val="left" w:pos="567"/>
        </w:tabs>
        <w:suppressAutoHyphens/>
        <w:jc w:val="center"/>
        <w:outlineLvl w:val="0"/>
        <w:rPr>
          <w:szCs w:val="22"/>
          <w:lang w:val="it-IT"/>
        </w:rPr>
      </w:pPr>
      <w:r w:rsidRPr="00C9575C">
        <w:rPr>
          <w:b/>
          <w:szCs w:val="22"/>
          <w:lang w:val="it-IT"/>
        </w:rPr>
        <w:t>ETICHETTATURA E FOGLIO ILLUSTRATIVO</w:t>
      </w:r>
      <w:r w:rsidR="0092155C">
        <w:rPr>
          <w:b/>
          <w:szCs w:val="22"/>
          <w:lang w:val="it-IT"/>
        </w:rPr>
        <w:fldChar w:fldCharType="begin"/>
      </w:r>
      <w:r w:rsidR="0092155C">
        <w:rPr>
          <w:b/>
          <w:szCs w:val="22"/>
          <w:lang w:val="it-IT"/>
        </w:rPr>
        <w:instrText xml:space="preserve"> DOCVARIABLE VAULT_ND_33edaecc-7f9c-4bf3-94cc-7b4dda5b33c1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31B62FAA" w14:textId="77777777" w:rsidR="0084378B" w:rsidRPr="00C9575C" w:rsidRDefault="0084378B">
      <w:pPr>
        <w:widowControl w:val="0"/>
        <w:tabs>
          <w:tab w:val="left" w:pos="567"/>
        </w:tabs>
        <w:suppressAutoHyphens/>
        <w:jc w:val="center"/>
        <w:rPr>
          <w:szCs w:val="22"/>
          <w:lang w:val="it-IT"/>
        </w:rPr>
      </w:pPr>
    </w:p>
    <w:p w14:paraId="354F4B5D" w14:textId="77777777" w:rsidR="0084378B" w:rsidRPr="00C9575C" w:rsidRDefault="0084378B">
      <w:pPr>
        <w:widowControl w:val="0"/>
        <w:tabs>
          <w:tab w:val="left" w:pos="567"/>
        </w:tabs>
        <w:jc w:val="both"/>
        <w:rPr>
          <w:szCs w:val="22"/>
          <w:lang w:val="it-IT"/>
        </w:rPr>
      </w:pPr>
      <w:r w:rsidRPr="00C9575C">
        <w:rPr>
          <w:szCs w:val="22"/>
          <w:lang w:val="it-IT"/>
        </w:rPr>
        <w:br w:type="page"/>
      </w:r>
    </w:p>
    <w:p w14:paraId="3E0AEC44" w14:textId="77777777" w:rsidR="0084378B" w:rsidRPr="00C9575C" w:rsidRDefault="0084378B">
      <w:pPr>
        <w:widowControl w:val="0"/>
        <w:tabs>
          <w:tab w:val="left" w:pos="567"/>
        </w:tabs>
        <w:jc w:val="both"/>
        <w:rPr>
          <w:szCs w:val="22"/>
          <w:lang w:val="it-IT"/>
        </w:rPr>
      </w:pPr>
    </w:p>
    <w:p w14:paraId="4416B4BF" w14:textId="77777777" w:rsidR="0084378B" w:rsidRPr="00C9575C" w:rsidRDefault="0084378B">
      <w:pPr>
        <w:widowControl w:val="0"/>
        <w:tabs>
          <w:tab w:val="left" w:pos="567"/>
        </w:tabs>
        <w:jc w:val="both"/>
        <w:rPr>
          <w:szCs w:val="22"/>
          <w:lang w:val="it-IT"/>
        </w:rPr>
      </w:pPr>
    </w:p>
    <w:p w14:paraId="3620E2D9" w14:textId="77777777" w:rsidR="0084378B" w:rsidRPr="00C9575C" w:rsidRDefault="0084378B">
      <w:pPr>
        <w:widowControl w:val="0"/>
        <w:tabs>
          <w:tab w:val="left" w:pos="567"/>
        </w:tabs>
        <w:jc w:val="both"/>
        <w:rPr>
          <w:szCs w:val="22"/>
          <w:lang w:val="it-IT"/>
        </w:rPr>
      </w:pPr>
    </w:p>
    <w:p w14:paraId="26AB620B" w14:textId="77777777" w:rsidR="0084378B" w:rsidRPr="00C9575C" w:rsidRDefault="0084378B">
      <w:pPr>
        <w:widowControl w:val="0"/>
        <w:tabs>
          <w:tab w:val="left" w:pos="567"/>
        </w:tabs>
        <w:jc w:val="both"/>
        <w:rPr>
          <w:szCs w:val="22"/>
          <w:lang w:val="it-IT"/>
        </w:rPr>
      </w:pPr>
    </w:p>
    <w:p w14:paraId="17DD1737" w14:textId="77777777" w:rsidR="0084378B" w:rsidRPr="00C9575C" w:rsidRDefault="0084378B">
      <w:pPr>
        <w:widowControl w:val="0"/>
        <w:tabs>
          <w:tab w:val="left" w:pos="567"/>
        </w:tabs>
        <w:jc w:val="both"/>
        <w:rPr>
          <w:szCs w:val="22"/>
          <w:lang w:val="it-IT"/>
        </w:rPr>
      </w:pPr>
    </w:p>
    <w:p w14:paraId="17D05CF1" w14:textId="77777777" w:rsidR="0084378B" w:rsidRPr="00C9575C" w:rsidRDefault="0084378B">
      <w:pPr>
        <w:widowControl w:val="0"/>
        <w:tabs>
          <w:tab w:val="left" w:pos="567"/>
        </w:tabs>
        <w:jc w:val="both"/>
        <w:rPr>
          <w:szCs w:val="22"/>
          <w:lang w:val="it-IT"/>
        </w:rPr>
      </w:pPr>
    </w:p>
    <w:p w14:paraId="2F8A59BA" w14:textId="77777777" w:rsidR="0084378B" w:rsidRPr="00C9575C" w:rsidRDefault="0084378B">
      <w:pPr>
        <w:widowControl w:val="0"/>
        <w:tabs>
          <w:tab w:val="left" w:pos="567"/>
        </w:tabs>
        <w:jc w:val="both"/>
        <w:rPr>
          <w:szCs w:val="22"/>
          <w:lang w:val="it-IT"/>
        </w:rPr>
      </w:pPr>
    </w:p>
    <w:p w14:paraId="69A0F5AE" w14:textId="77777777" w:rsidR="0084378B" w:rsidRPr="00C9575C" w:rsidRDefault="0084378B">
      <w:pPr>
        <w:widowControl w:val="0"/>
        <w:tabs>
          <w:tab w:val="left" w:pos="567"/>
        </w:tabs>
        <w:jc w:val="both"/>
        <w:rPr>
          <w:szCs w:val="22"/>
          <w:lang w:val="it-IT"/>
        </w:rPr>
      </w:pPr>
    </w:p>
    <w:p w14:paraId="5EFE0E7E" w14:textId="77777777" w:rsidR="0084378B" w:rsidRPr="00C9575C" w:rsidRDefault="0084378B">
      <w:pPr>
        <w:widowControl w:val="0"/>
        <w:tabs>
          <w:tab w:val="left" w:pos="567"/>
        </w:tabs>
        <w:jc w:val="both"/>
        <w:rPr>
          <w:szCs w:val="22"/>
          <w:lang w:val="it-IT"/>
        </w:rPr>
      </w:pPr>
    </w:p>
    <w:p w14:paraId="537EE265" w14:textId="77777777" w:rsidR="0084378B" w:rsidRPr="00C9575C" w:rsidRDefault="0084378B">
      <w:pPr>
        <w:widowControl w:val="0"/>
        <w:tabs>
          <w:tab w:val="left" w:pos="567"/>
        </w:tabs>
        <w:jc w:val="both"/>
        <w:rPr>
          <w:szCs w:val="22"/>
          <w:lang w:val="it-IT"/>
        </w:rPr>
      </w:pPr>
    </w:p>
    <w:p w14:paraId="45C028BD" w14:textId="77777777" w:rsidR="0084378B" w:rsidRPr="00C9575C" w:rsidRDefault="0084378B">
      <w:pPr>
        <w:widowControl w:val="0"/>
        <w:tabs>
          <w:tab w:val="left" w:pos="567"/>
        </w:tabs>
        <w:jc w:val="both"/>
        <w:rPr>
          <w:szCs w:val="22"/>
          <w:lang w:val="it-IT"/>
        </w:rPr>
      </w:pPr>
    </w:p>
    <w:p w14:paraId="77E7B1A6" w14:textId="77777777" w:rsidR="0084378B" w:rsidRPr="00C9575C" w:rsidRDefault="0084378B">
      <w:pPr>
        <w:widowControl w:val="0"/>
        <w:tabs>
          <w:tab w:val="left" w:pos="567"/>
        </w:tabs>
        <w:jc w:val="both"/>
        <w:rPr>
          <w:szCs w:val="22"/>
          <w:lang w:val="it-IT"/>
        </w:rPr>
      </w:pPr>
    </w:p>
    <w:p w14:paraId="0E972917" w14:textId="77777777" w:rsidR="0084378B" w:rsidRPr="00C9575C" w:rsidRDefault="0084378B">
      <w:pPr>
        <w:widowControl w:val="0"/>
        <w:tabs>
          <w:tab w:val="left" w:pos="567"/>
        </w:tabs>
        <w:jc w:val="both"/>
        <w:rPr>
          <w:szCs w:val="22"/>
          <w:lang w:val="it-IT"/>
        </w:rPr>
      </w:pPr>
    </w:p>
    <w:p w14:paraId="58100D87" w14:textId="77777777" w:rsidR="0084378B" w:rsidRPr="00C9575C" w:rsidRDefault="0084378B">
      <w:pPr>
        <w:widowControl w:val="0"/>
        <w:tabs>
          <w:tab w:val="left" w:pos="567"/>
        </w:tabs>
        <w:jc w:val="both"/>
        <w:rPr>
          <w:szCs w:val="22"/>
          <w:lang w:val="it-IT"/>
        </w:rPr>
      </w:pPr>
    </w:p>
    <w:p w14:paraId="7AE3DA64" w14:textId="77777777" w:rsidR="0084378B" w:rsidRPr="00C9575C" w:rsidRDefault="0084378B">
      <w:pPr>
        <w:widowControl w:val="0"/>
        <w:tabs>
          <w:tab w:val="left" w:pos="567"/>
        </w:tabs>
        <w:jc w:val="both"/>
        <w:rPr>
          <w:szCs w:val="22"/>
          <w:lang w:val="it-IT"/>
        </w:rPr>
      </w:pPr>
    </w:p>
    <w:p w14:paraId="123E332E" w14:textId="77777777" w:rsidR="0084378B" w:rsidRPr="00C9575C" w:rsidRDefault="0084378B">
      <w:pPr>
        <w:widowControl w:val="0"/>
        <w:tabs>
          <w:tab w:val="left" w:pos="567"/>
        </w:tabs>
        <w:jc w:val="both"/>
        <w:rPr>
          <w:szCs w:val="22"/>
          <w:lang w:val="it-IT"/>
        </w:rPr>
      </w:pPr>
    </w:p>
    <w:p w14:paraId="773E2122" w14:textId="77777777" w:rsidR="0084378B" w:rsidRPr="00C9575C" w:rsidRDefault="0084378B">
      <w:pPr>
        <w:widowControl w:val="0"/>
        <w:tabs>
          <w:tab w:val="left" w:pos="567"/>
        </w:tabs>
        <w:jc w:val="both"/>
        <w:rPr>
          <w:szCs w:val="22"/>
          <w:lang w:val="it-IT"/>
        </w:rPr>
      </w:pPr>
    </w:p>
    <w:p w14:paraId="258A02C0" w14:textId="77777777" w:rsidR="0084378B" w:rsidRPr="00C9575C" w:rsidRDefault="0084378B">
      <w:pPr>
        <w:widowControl w:val="0"/>
        <w:tabs>
          <w:tab w:val="left" w:pos="567"/>
        </w:tabs>
        <w:jc w:val="both"/>
        <w:rPr>
          <w:szCs w:val="22"/>
          <w:lang w:val="it-IT"/>
        </w:rPr>
      </w:pPr>
    </w:p>
    <w:p w14:paraId="3A983AB8" w14:textId="77777777" w:rsidR="0084378B" w:rsidRPr="00C9575C" w:rsidRDefault="0084378B">
      <w:pPr>
        <w:widowControl w:val="0"/>
        <w:tabs>
          <w:tab w:val="left" w:pos="567"/>
        </w:tabs>
        <w:jc w:val="both"/>
        <w:rPr>
          <w:szCs w:val="22"/>
          <w:lang w:val="it-IT"/>
        </w:rPr>
      </w:pPr>
    </w:p>
    <w:p w14:paraId="7D117CCE" w14:textId="77777777" w:rsidR="0084378B" w:rsidRPr="00C9575C" w:rsidRDefault="0084378B">
      <w:pPr>
        <w:widowControl w:val="0"/>
        <w:tabs>
          <w:tab w:val="left" w:pos="567"/>
        </w:tabs>
        <w:jc w:val="both"/>
        <w:rPr>
          <w:szCs w:val="22"/>
          <w:lang w:val="it-IT"/>
        </w:rPr>
      </w:pPr>
    </w:p>
    <w:p w14:paraId="22EDF47B" w14:textId="77777777" w:rsidR="0084378B" w:rsidRPr="00C9575C" w:rsidRDefault="0084378B">
      <w:pPr>
        <w:widowControl w:val="0"/>
        <w:tabs>
          <w:tab w:val="left" w:pos="567"/>
        </w:tabs>
        <w:jc w:val="both"/>
        <w:rPr>
          <w:szCs w:val="22"/>
          <w:lang w:val="it-IT"/>
        </w:rPr>
      </w:pPr>
    </w:p>
    <w:p w14:paraId="1DC8E016" w14:textId="77777777" w:rsidR="0084378B" w:rsidRPr="00C9575C" w:rsidRDefault="0084378B">
      <w:pPr>
        <w:widowControl w:val="0"/>
        <w:tabs>
          <w:tab w:val="left" w:pos="567"/>
        </w:tabs>
        <w:jc w:val="both"/>
        <w:rPr>
          <w:szCs w:val="22"/>
          <w:lang w:val="it-IT"/>
        </w:rPr>
      </w:pPr>
    </w:p>
    <w:p w14:paraId="3E4977D2" w14:textId="080145EB" w:rsidR="0084378B" w:rsidRPr="00C9575C" w:rsidRDefault="0084378B" w:rsidP="005670D2">
      <w:pPr>
        <w:pStyle w:val="TitleA"/>
      </w:pPr>
      <w:r w:rsidRPr="00C9575C">
        <w:t>A. ETICHETTATURA</w:t>
      </w:r>
      <w:fldSimple w:instr=" DOCVARIABLE VAULT_ND_97128f65-baaa-439d-b527-b3119ea559ce \* MERGEFORMAT ">
        <w:r w:rsidR="0092155C">
          <w:t xml:space="preserve"> </w:t>
        </w:r>
      </w:fldSimple>
    </w:p>
    <w:p w14:paraId="2386863D" w14:textId="77777777" w:rsidR="0084378B" w:rsidRPr="00C9575C" w:rsidRDefault="0084378B">
      <w:pPr>
        <w:widowControl w:val="0"/>
        <w:tabs>
          <w:tab w:val="left" w:pos="567"/>
        </w:tabs>
        <w:jc w:val="both"/>
        <w:rPr>
          <w:szCs w:val="22"/>
          <w:lang w:val="it-IT"/>
        </w:rPr>
      </w:pPr>
    </w:p>
    <w:p w14:paraId="7AD8888E" w14:textId="77777777" w:rsidR="0084378B" w:rsidRPr="00C9575C" w:rsidRDefault="0084378B">
      <w:pPr>
        <w:widowControl w:val="0"/>
        <w:tabs>
          <w:tab w:val="left" w:pos="567"/>
        </w:tabs>
        <w:jc w:val="both"/>
        <w:rPr>
          <w:szCs w:val="22"/>
          <w:lang w:val="it-IT"/>
        </w:rPr>
      </w:pPr>
    </w:p>
    <w:p w14:paraId="5FFBAAD7" w14:textId="77777777" w:rsidR="0084378B" w:rsidRPr="00C9575C" w:rsidRDefault="0084378B">
      <w:pPr>
        <w:widowControl w:val="0"/>
        <w:tabs>
          <w:tab w:val="left" w:pos="567"/>
        </w:tabs>
        <w:jc w:val="both"/>
        <w:rPr>
          <w:szCs w:val="22"/>
          <w:lang w:val="it-IT"/>
        </w:rPr>
      </w:pPr>
    </w:p>
    <w:p w14:paraId="54D5F2AA" w14:textId="77777777" w:rsidR="0084378B" w:rsidRPr="00C9575C" w:rsidRDefault="0084378B">
      <w:pPr>
        <w:widowControl w:val="0"/>
        <w:tabs>
          <w:tab w:val="left" w:pos="567"/>
        </w:tabs>
        <w:jc w:val="both"/>
        <w:rPr>
          <w:szCs w:val="22"/>
          <w:lang w:val="it-IT"/>
        </w:rPr>
      </w:pPr>
    </w:p>
    <w:p w14:paraId="2ECB4790" w14:textId="77777777" w:rsidR="0084378B" w:rsidRPr="00C9575C" w:rsidRDefault="0084378B">
      <w:pPr>
        <w:widowControl w:val="0"/>
        <w:tabs>
          <w:tab w:val="left" w:pos="567"/>
        </w:tabs>
        <w:jc w:val="both"/>
        <w:rPr>
          <w:szCs w:val="22"/>
          <w:lang w:val="it-IT"/>
        </w:rPr>
      </w:pPr>
    </w:p>
    <w:p w14:paraId="4785370E" w14:textId="77777777" w:rsidR="0084378B" w:rsidRPr="00C9575C" w:rsidRDefault="0084378B">
      <w:pPr>
        <w:widowControl w:val="0"/>
        <w:tabs>
          <w:tab w:val="left" w:pos="567"/>
        </w:tabs>
        <w:jc w:val="both"/>
        <w:rPr>
          <w:szCs w:val="22"/>
          <w:lang w:val="it-IT"/>
        </w:rPr>
      </w:pPr>
    </w:p>
    <w:p w14:paraId="5C9DE276" w14:textId="77777777" w:rsidR="0084378B" w:rsidRPr="00C9575C" w:rsidRDefault="0084378B">
      <w:pPr>
        <w:widowControl w:val="0"/>
        <w:tabs>
          <w:tab w:val="left" w:pos="567"/>
        </w:tabs>
        <w:jc w:val="both"/>
        <w:rPr>
          <w:szCs w:val="22"/>
          <w:lang w:val="it-IT"/>
        </w:rPr>
      </w:pPr>
    </w:p>
    <w:p w14:paraId="3005A28F" w14:textId="77777777" w:rsidR="0084378B" w:rsidRPr="00C9575C" w:rsidRDefault="0084378B">
      <w:pPr>
        <w:widowControl w:val="0"/>
        <w:tabs>
          <w:tab w:val="left" w:pos="567"/>
        </w:tabs>
        <w:jc w:val="both"/>
        <w:rPr>
          <w:szCs w:val="22"/>
          <w:lang w:val="it-IT"/>
        </w:rPr>
      </w:pPr>
      <w:r w:rsidRPr="00C9575C">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354348BB" w14:textId="77777777">
        <w:trPr>
          <w:trHeight w:val="858"/>
        </w:trPr>
        <w:tc>
          <w:tcPr>
            <w:tcW w:w="9298" w:type="dxa"/>
            <w:tcBorders>
              <w:bottom w:val="single" w:sz="4" w:space="0" w:color="auto"/>
            </w:tcBorders>
          </w:tcPr>
          <w:p w14:paraId="633A0BAF" w14:textId="77777777" w:rsidR="0084378B" w:rsidRPr="00C9575C" w:rsidRDefault="0084378B">
            <w:pPr>
              <w:widowControl w:val="0"/>
              <w:shd w:val="clear" w:color="auto" w:fill="FFFFFF"/>
              <w:suppressAutoHyphens/>
              <w:rPr>
                <w:b/>
                <w:szCs w:val="22"/>
                <w:lang w:val="it-IT"/>
              </w:rPr>
            </w:pPr>
            <w:r w:rsidRPr="00C9575C">
              <w:rPr>
                <w:b/>
                <w:szCs w:val="22"/>
                <w:lang w:val="it-IT"/>
              </w:rPr>
              <w:lastRenderedPageBreak/>
              <w:t>INFORMAZIONI DA APPORRE SUL CONFEZIONAMENTO ESTERNO</w:t>
            </w:r>
          </w:p>
          <w:p w14:paraId="44DF1A35" w14:textId="77777777" w:rsidR="0084378B" w:rsidRPr="00C9575C" w:rsidRDefault="0084378B">
            <w:pPr>
              <w:widowControl w:val="0"/>
              <w:shd w:val="clear" w:color="auto" w:fill="FFFFFF"/>
              <w:suppressAutoHyphens/>
              <w:rPr>
                <w:b/>
                <w:szCs w:val="22"/>
                <w:u w:val="single"/>
                <w:lang w:val="it-IT"/>
              </w:rPr>
            </w:pPr>
          </w:p>
          <w:p w14:paraId="3DFD30BB" w14:textId="14CC730D" w:rsidR="0084378B" w:rsidRPr="00C9575C" w:rsidRDefault="00AC107C">
            <w:pPr>
              <w:pStyle w:val="Heading9"/>
              <w:keepNext w:val="0"/>
              <w:widowControl w:val="0"/>
              <w:rPr>
                <w:color w:val="000000"/>
                <w:szCs w:val="22"/>
              </w:rPr>
            </w:pPr>
            <w:r>
              <w:rPr>
                <w:rFonts w:ascii="ZWAdobeF" w:hAnsi="ZWAdobeF" w:cs="ZWAdobeF"/>
                <w:b w:val="0"/>
                <w:sz w:val="2"/>
                <w:szCs w:val="2"/>
              </w:rPr>
              <w:t>0B</w:t>
            </w:r>
            <w:r w:rsidR="0084378B" w:rsidRPr="00C9575C">
              <w:rPr>
                <w:color w:val="000000"/>
                <w:szCs w:val="22"/>
              </w:rPr>
              <w:t>ASTUCCIO ESTERNO CONFEZIONE IN BLISTER</w:t>
            </w:r>
            <w:r w:rsidR="0092155C">
              <w:rPr>
                <w:color w:val="000000"/>
                <w:szCs w:val="22"/>
              </w:rPr>
              <w:fldChar w:fldCharType="begin"/>
            </w:r>
            <w:r w:rsidR="0092155C">
              <w:rPr>
                <w:color w:val="000000"/>
                <w:szCs w:val="22"/>
              </w:rPr>
              <w:instrText xml:space="preserve"> DOCVARIABLE VAULT_ND_2450f32d-32c8-4db6-9a27-d0ffdfbbf5f9 \* MERGEFORMAT </w:instrText>
            </w:r>
            <w:r w:rsidR="0092155C">
              <w:rPr>
                <w:color w:val="000000"/>
                <w:szCs w:val="22"/>
              </w:rPr>
              <w:fldChar w:fldCharType="separate"/>
            </w:r>
            <w:r w:rsidR="0092155C">
              <w:rPr>
                <w:color w:val="000000"/>
                <w:szCs w:val="22"/>
              </w:rPr>
              <w:t xml:space="preserve"> </w:t>
            </w:r>
            <w:r w:rsidR="0092155C">
              <w:rPr>
                <w:color w:val="000000"/>
                <w:szCs w:val="22"/>
              </w:rPr>
              <w:fldChar w:fldCharType="end"/>
            </w:r>
          </w:p>
        </w:tc>
      </w:tr>
    </w:tbl>
    <w:p w14:paraId="7149FCC1" w14:textId="77777777" w:rsidR="0084378B" w:rsidRPr="00C9575C" w:rsidRDefault="0084378B">
      <w:pPr>
        <w:widowControl w:val="0"/>
        <w:tabs>
          <w:tab w:val="left" w:pos="567"/>
        </w:tabs>
        <w:rPr>
          <w:szCs w:val="22"/>
          <w:lang w:val="it-IT"/>
        </w:rPr>
      </w:pPr>
    </w:p>
    <w:p w14:paraId="3E727B9D" w14:textId="77777777" w:rsidR="0084378B" w:rsidRPr="00C9575C" w:rsidRDefault="0084378B">
      <w:pPr>
        <w:widowControl w:val="0"/>
        <w:tabs>
          <w:tab w:val="left"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E14E488" w14:textId="77777777">
        <w:tc>
          <w:tcPr>
            <w:tcW w:w="9298" w:type="dxa"/>
          </w:tcPr>
          <w:p w14:paraId="48FD077B" w14:textId="77777777" w:rsidR="0084378B" w:rsidRPr="00C9575C" w:rsidRDefault="0084378B">
            <w:pPr>
              <w:widowControl w:val="0"/>
              <w:suppressAutoHyphens/>
              <w:ind w:left="567" w:hanging="567"/>
              <w:rPr>
                <w:b/>
                <w:szCs w:val="22"/>
                <w:lang w:val="it-IT"/>
              </w:rPr>
            </w:pPr>
            <w:r w:rsidRPr="00C9575C">
              <w:rPr>
                <w:b/>
                <w:szCs w:val="22"/>
                <w:lang w:val="it-IT"/>
              </w:rPr>
              <w:t>1.</w:t>
            </w:r>
            <w:r w:rsidRPr="00C9575C">
              <w:rPr>
                <w:b/>
                <w:szCs w:val="22"/>
                <w:lang w:val="it-IT"/>
              </w:rPr>
              <w:tab/>
              <w:t>DENOMINAZIONE DEL MEDICINALE</w:t>
            </w:r>
          </w:p>
        </w:tc>
      </w:tr>
    </w:tbl>
    <w:p w14:paraId="72900FFE" w14:textId="77777777" w:rsidR="0084378B" w:rsidRPr="00C9575C" w:rsidRDefault="0084378B">
      <w:pPr>
        <w:widowControl w:val="0"/>
        <w:suppressAutoHyphens/>
        <w:rPr>
          <w:szCs w:val="22"/>
          <w:lang w:val="it-IT"/>
        </w:rPr>
      </w:pPr>
    </w:p>
    <w:p w14:paraId="1BC27445" w14:textId="77777777" w:rsidR="0084378B" w:rsidRPr="00C9575C" w:rsidRDefault="0084378B">
      <w:pPr>
        <w:widowControl w:val="0"/>
        <w:suppressAutoHyphens/>
        <w:rPr>
          <w:szCs w:val="22"/>
          <w:lang w:val="it-IT"/>
        </w:rPr>
      </w:pPr>
      <w:r w:rsidRPr="00C9575C">
        <w:rPr>
          <w:szCs w:val="22"/>
          <w:lang w:val="it-IT"/>
        </w:rPr>
        <w:t xml:space="preserve">Kivexa 600 mg/300 mg compresse rivestite con film </w:t>
      </w:r>
    </w:p>
    <w:p w14:paraId="0DF32B40" w14:textId="77777777" w:rsidR="0084378B" w:rsidRPr="00C9575C" w:rsidRDefault="0084378B">
      <w:pPr>
        <w:widowControl w:val="0"/>
        <w:suppressAutoHyphens/>
        <w:rPr>
          <w:szCs w:val="22"/>
          <w:lang w:val="it-IT"/>
        </w:rPr>
      </w:pPr>
      <w:r w:rsidRPr="00C9575C">
        <w:rPr>
          <w:szCs w:val="22"/>
          <w:lang w:val="it-IT"/>
        </w:rPr>
        <w:t>abacavir/lamivudina</w:t>
      </w:r>
    </w:p>
    <w:p w14:paraId="44CEE1DC" w14:textId="77777777" w:rsidR="0084378B" w:rsidRPr="00C9575C" w:rsidRDefault="0084378B">
      <w:pPr>
        <w:widowControl w:val="0"/>
        <w:suppressAutoHyphens/>
        <w:rPr>
          <w:szCs w:val="22"/>
          <w:lang w:val="it-IT"/>
        </w:rPr>
      </w:pPr>
    </w:p>
    <w:p w14:paraId="4FBB83D2"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56D236F1" w14:textId="77777777">
        <w:tc>
          <w:tcPr>
            <w:tcW w:w="9298" w:type="dxa"/>
          </w:tcPr>
          <w:p w14:paraId="67BCF364" w14:textId="77777777" w:rsidR="0084378B" w:rsidRPr="00C9575C" w:rsidRDefault="0084378B">
            <w:pPr>
              <w:widowControl w:val="0"/>
              <w:suppressAutoHyphens/>
              <w:ind w:left="567" w:hanging="567"/>
              <w:rPr>
                <w:szCs w:val="22"/>
                <w:lang w:val="it-IT"/>
              </w:rPr>
            </w:pPr>
            <w:r w:rsidRPr="00C9575C">
              <w:rPr>
                <w:b/>
                <w:szCs w:val="22"/>
                <w:lang w:val="it-IT"/>
              </w:rPr>
              <w:t>2.</w:t>
            </w:r>
            <w:r w:rsidRPr="00C9575C">
              <w:rPr>
                <w:b/>
                <w:szCs w:val="22"/>
                <w:lang w:val="it-IT"/>
              </w:rPr>
              <w:tab/>
              <w:t>COMPOSIZIONE QUALITATIVA E QUANTITATIVA</w:t>
            </w:r>
          </w:p>
        </w:tc>
      </w:tr>
    </w:tbl>
    <w:p w14:paraId="59929FCE" w14:textId="77777777" w:rsidR="0084378B" w:rsidRPr="00C9575C" w:rsidRDefault="0084378B">
      <w:pPr>
        <w:widowControl w:val="0"/>
        <w:tabs>
          <w:tab w:val="left" w:pos="567"/>
        </w:tabs>
        <w:rPr>
          <w:szCs w:val="22"/>
          <w:lang w:val="it-IT"/>
        </w:rPr>
      </w:pPr>
    </w:p>
    <w:p w14:paraId="69097D06" w14:textId="1E23F555" w:rsidR="0084378B" w:rsidRPr="00C9575C" w:rsidRDefault="004D6F25" w:rsidP="004D6F25">
      <w:pPr>
        <w:pStyle w:val="Heading5"/>
        <w:keepNext w:val="0"/>
        <w:widowControl w:val="0"/>
        <w:rPr>
          <w:b w:val="0"/>
          <w:szCs w:val="22"/>
        </w:rPr>
      </w:pPr>
      <w:r w:rsidRPr="00C9575C">
        <w:rPr>
          <w:b w:val="0"/>
          <w:szCs w:val="22"/>
        </w:rPr>
        <w:t xml:space="preserve">Ogni </w:t>
      </w:r>
      <w:r w:rsidR="0084378B" w:rsidRPr="00C9575C">
        <w:rPr>
          <w:b w:val="0"/>
          <w:szCs w:val="22"/>
        </w:rPr>
        <w:t>compressa rivestita con film contiene</w:t>
      </w:r>
      <w:r w:rsidRPr="00C9575C">
        <w:rPr>
          <w:b w:val="0"/>
          <w:szCs w:val="22"/>
        </w:rPr>
        <w:t xml:space="preserve"> </w:t>
      </w:r>
      <w:r w:rsidR="009B4066" w:rsidRPr="00C9575C">
        <w:rPr>
          <w:b w:val="0"/>
          <w:szCs w:val="22"/>
        </w:rPr>
        <w:t>600 </w:t>
      </w:r>
      <w:r w:rsidR="0084378B" w:rsidRPr="00C9575C">
        <w:rPr>
          <w:b w:val="0"/>
          <w:szCs w:val="22"/>
        </w:rPr>
        <w:t>mg</w:t>
      </w:r>
      <w:r w:rsidRPr="00C9575C">
        <w:rPr>
          <w:b w:val="0"/>
          <w:szCs w:val="22"/>
        </w:rPr>
        <w:t xml:space="preserve"> di abacavir</w:t>
      </w:r>
      <w:r w:rsidR="0084378B" w:rsidRPr="00C9575C">
        <w:rPr>
          <w:b w:val="0"/>
          <w:szCs w:val="22"/>
        </w:rPr>
        <w:t xml:space="preserve"> (come solfato)</w:t>
      </w:r>
      <w:r w:rsidR="00AD7C15" w:rsidRPr="00C9575C">
        <w:rPr>
          <w:b w:val="0"/>
          <w:szCs w:val="22"/>
        </w:rPr>
        <w:t xml:space="preserve"> e</w:t>
      </w:r>
      <w:r w:rsidR="000D6F17" w:rsidRPr="00C9575C">
        <w:rPr>
          <w:b w:val="0"/>
          <w:szCs w:val="22"/>
        </w:rPr>
        <w:t xml:space="preserve"> </w:t>
      </w:r>
      <w:r w:rsidR="009B4066" w:rsidRPr="00C9575C">
        <w:rPr>
          <w:b w:val="0"/>
          <w:szCs w:val="22"/>
        </w:rPr>
        <w:t>300 </w:t>
      </w:r>
      <w:r w:rsidR="0084378B" w:rsidRPr="00C9575C">
        <w:rPr>
          <w:b w:val="0"/>
          <w:szCs w:val="22"/>
        </w:rPr>
        <w:t>mg</w:t>
      </w:r>
      <w:r w:rsidRPr="00C9575C">
        <w:rPr>
          <w:b w:val="0"/>
          <w:szCs w:val="22"/>
        </w:rPr>
        <w:t xml:space="preserve"> di lamivudina</w:t>
      </w:r>
      <w:r w:rsidR="0092155C">
        <w:rPr>
          <w:b w:val="0"/>
          <w:szCs w:val="22"/>
        </w:rPr>
        <w:fldChar w:fldCharType="begin"/>
      </w:r>
      <w:r w:rsidR="0092155C">
        <w:rPr>
          <w:b w:val="0"/>
          <w:szCs w:val="22"/>
        </w:rPr>
        <w:instrText xml:space="preserve"> DOCVARIABLE vault_nd_5128e849-de9b-498c-a86e-803d1ee73d3b \* MERGEFORMAT </w:instrText>
      </w:r>
      <w:r w:rsidR="0092155C">
        <w:rPr>
          <w:b w:val="0"/>
          <w:szCs w:val="22"/>
        </w:rPr>
        <w:fldChar w:fldCharType="separate"/>
      </w:r>
      <w:r w:rsidR="0092155C">
        <w:rPr>
          <w:b w:val="0"/>
          <w:szCs w:val="22"/>
        </w:rPr>
        <w:t xml:space="preserve"> </w:t>
      </w:r>
      <w:r w:rsidR="0092155C">
        <w:rPr>
          <w:b w:val="0"/>
          <w:szCs w:val="22"/>
        </w:rPr>
        <w:fldChar w:fldCharType="end"/>
      </w:r>
    </w:p>
    <w:p w14:paraId="2C0E2B31" w14:textId="77777777" w:rsidR="0084378B" w:rsidRPr="00C9575C" w:rsidRDefault="0084378B">
      <w:pPr>
        <w:widowControl w:val="0"/>
        <w:suppressAutoHyphens/>
        <w:rPr>
          <w:szCs w:val="22"/>
          <w:lang w:val="it-IT"/>
        </w:rPr>
      </w:pPr>
    </w:p>
    <w:p w14:paraId="369BD2BD"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D440694" w14:textId="77777777">
        <w:tc>
          <w:tcPr>
            <w:tcW w:w="9298" w:type="dxa"/>
          </w:tcPr>
          <w:p w14:paraId="12F071A2" w14:textId="77777777" w:rsidR="0084378B" w:rsidRPr="00C9575C" w:rsidRDefault="0084378B">
            <w:pPr>
              <w:widowControl w:val="0"/>
              <w:suppressAutoHyphens/>
              <w:ind w:left="567" w:hanging="567"/>
              <w:rPr>
                <w:b/>
                <w:szCs w:val="22"/>
                <w:lang w:val="it-IT"/>
              </w:rPr>
            </w:pPr>
            <w:r w:rsidRPr="00C9575C">
              <w:rPr>
                <w:b/>
                <w:szCs w:val="22"/>
                <w:lang w:val="it-IT"/>
              </w:rPr>
              <w:t>3.</w:t>
            </w:r>
            <w:r w:rsidRPr="00C9575C">
              <w:rPr>
                <w:b/>
                <w:szCs w:val="22"/>
                <w:lang w:val="it-IT"/>
              </w:rPr>
              <w:tab/>
              <w:t>ELENCO DEGLI ECCIPIENTI</w:t>
            </w:r>
          </w:p>
        </w:tc>
      </w:tr>
    </w:tbl>
    <w:p w14:paraId="25BD347C" w14:textId="77777777" w:rsidR="0084378B" w:rsidRPr="00C9575C" w:rsidRDefault="0084378B">
      <w:pPr>
        <w:widowControl w:val="0"/>
        <w:suppressAutoHyphens/>
        <w:rPr>
          <w:szCs w:val="22"/>
          <w:lang w:val="it-IT"/>
        </w:rPr>
      </w:pPr>
    </w:p>
    <w:p w14:paraId="66932EEB" w14:textId="77777777" w:rsidR="0084378B" w:rsidRPr="00C9575C" w:rsidRDefault="00AD7C15">
      <w:pPr>
        <w:widowControl w:val="0"/>
        <w:suppressAutoHyphens/>
        <w:rPr>
          <w:szCs w:val="22"/>
          <w:lang w:val="it-IT"/>
        </w:rPr>
      </w:pPr>
      <w:r w:rsidRPr="00C9575C">
        <w:rPr>
          <w:szCs w:val="22"/>
          <w:lang w:val="it-IT"/>
        </w:rPr>
        <w:t xml:space="preserve">Contiene il colorante giallo tramonto (E110), vedere foglio illustrativo per ulteriori informazioni </w:t>
      </w:r>
    </w:p>
    <w:p w14:paraId="377BDE37" w14:textId="77777777" w:rsidR="00AD7C15" w:rsidRPr="00C9575C" w:rsidRDefault="00AD7C15">
      <w:pPr>
        <w:widowControl w:val="0"/>
        <w:suppressAutoHyphens/>
        <w:rPr>
          <w:szCs w:val="22"/>
          <w:lang w:val="it-IT"/>
        </w:rPr>
      </w:pPr>
    </w:p>
    <w:p w14:paraId="2608AC97" w14:textId="77777777" w:rsidR="00AD7C15" w:rsidRPr="00C9575C" w:rsidRDefault="00AD7C15">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4D407DE7" w14:textId="77777777">
        <w:tc>
          <w:tcPr>
            <w:tcW w:w="9298" w:type="dxa"/>
          </w:tcPr>
          <w:p w14:paraId="35D1D0B5" w14:textId="77777777" w:rsidR="0084378B" w:rsidRPr="00C9575C" w:rsidRDefault="0084378B">
            <w:pPr>
              <w:widowControl w:val="0"/>
              <w:suppressAutoHyphens/>
              <w:ind w:left="567" w:hanging="567"/>
              <w:rPr>
                <w:b/>
                <w:szCs w:val="22"/>
                <w:lang w:val="it-IT"/>
              </w:rPr>
            </w:pPr>
            <w:r w:rsidRPr="00C9575C">
              <w:rPr>
                <w:b/>
                <w:szCs w:val="22"/>
                <w:lang w:val="it-IT"/>
              </w:rPr>
              <w:t>4.</w:t>
            </w:r>
            <w:r w:rsidRPr="00C9575C">
              <w:rPr>
                <w:b/>
                <w:szCs w:val="22"/>
                <w:lang w:val="it-IT"/>
              </w:rPr>
              <w:tab/>
              <w:t>FORMA FARMACEUTICA E CONTENUTO</w:t>
            </w:r>
          </w:p>
        </w:tc>
      </w:tr>
    </w:tbl>
    <w:p w14:paraId="3E2AF211" w14:textId="77777777" w:rsidR="0084378B" w:rsidRPr="00C9575C" w:rsidRDefault="0084378B">
      <w:pPr>
        <w:widowControl w:val="0"/>
        <w:suppressAutoHyphens/>
        <w:rPr>
          <w:szCs w:val="22"/>
          <w:lang w:val="it-IT"/>
        </w:rPr>
      </w:pPr>
    </w:p>
    <w:p w14:paraId="10954647" w14:textId="77777777" w:rsidR="0084378B" w:rsidRPr="00C9575C" w:rsidRDefault="0084378B">
      <w:pPr>
        <w:widowControl w:val="0"/>
        <w:tabs>
          <w:tab w:val="left" w:pos="567"/>
        </w:tabs>
        <w:rPr>
          <w:szCs w:val="22"/>
          <w:lang w:val="it-IT"/>
        </w:rPr>
      </w:pPr>
      <w:r w:rsidRPr="00C9575C">
        <w:rPr>
          <w:szCs w:val="22"/>
          <w:lang w:val="it-IT"/>
        </w:rPr>
        <w:t>30 compresse rivestite con film</w:t>
      </w:r>
    </w:p>
    <w:p w14:paraId="49B5CBF0" w14:textId="77777777" w:rsidR="0084378B" w:rsidRPr="00C9575C" w:rsidRDefault="0084378B">
      <w:pPr>
        <w:widowControl w:val="0"/>
        <w:suppressAutoHyphens/>
        <w:rPr>
          <w:szCs w:val="22"/>
          <w:lang w:val="it-IT"/>
        </w:rPr>
      </w:pPr>
    </w:p>
    <w:p w14:paraId="5E5D8E3A" w14:textId="77777777" w:rsidR="0084378B" w:rsidRPr="00C9575C" w:rsidRDefault="0084378B">
      <w:pPr>
        <w:widowControl w:val="0"/>
        <w:suppressAutoHyphens/>
        <w:rPr>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447F27" w14:paraId="423EDFFF" w14:textId="77777777">
        <w:tc>
          <w:tcPr>
            <w:tcW w:w="9298" w:type="dxa"/>
          </w:tcPr>
          <w:p w14:paraId="46263152" w14:textId="77777777" w:rsidR="0084378B" w:rsidRPr="00C9575C" w:rsidRDefault="0084378B">
            <w:pPr>
              <w:widowControl w:val="0"/>
              <w:suppressAutoHyphens/>
              <w:ind w:left="567" w:hanging="567"/>
              <w:rPr>
                <w:szCs w:val="22"/>
                <w:lang w:val="it-IT"/>
              </w:rPr>
            </w:pPr>
            <w:r w:rsidRPr="00C9575C">
              <w:rPr>
                <w:b/>
                <w:szCs w:val="22"/>
                <w:lang w:val="it-IT"/>
              </w:rPr>
              <w:t>5.</w:t>
            </w:r>
            <w:r w:rsidRPr="00C9575C">
              <w:rPr>
                <w:b/>
                <w:szCs w:val="22"/>
                <w:lang w:val="it-IT"/>
              </w:rPr>
              <w:tab/>
              <w:t>MODO E VIA(E) DI SOMMINISTRAZIONE</w:t>
            </w:r>
          </w:p>
        </w:tc>
      </w:tr>
    </w:tbl>
    <w:p w14:paraId="0123FEE0" w14:textId="77777777" w:rsidR="0084378B" w:rsidRPr="00C9575C" w:rsidRDefault="0084378B">
      <w:pPr>
        <w:widowControl w:val="0"/>
        <w:suppressAutoHyphens/>
        <w:rPr>
          <w:szCs w:val="22"/>
          <w:lang w:val="it-IT"/>
        </w:rPr>
      </w:pPr>
    </w:p>
    <w:p w14:paraId="5CF5848E" w14:textId="77777777" w:rsidR="00AD7C15" w:rsidRPr="00C9575C" w:rsidRDefault="00AD7C15" w:rsidP="00AD7C15">
      <w:pPr>
        <w:widowControl w:val="0"/>
        <w:suppressAutoHyphens/>
        <w:rPr>
          <w:szCs w:val="22"/>
          <w:lang w:val="it-IT"/>
        </w:rPr>
      </w:pPr>
      <w:r w:rsidRPr="00C9575C">
        <w:rPr>
          <w:szCs w:val="22"/>
          <w:lang w:val="it-IT"/>
        </w:rPr>
        <w:t>Leggere il foglio illustrativo prima dell’uso</w:t>
      </w:r>
      <w:r w:rsidR="00BD7D2B" w:rsidRPr="00C9575C">
        <w:rPr>
          <w:szCs w:val="22"/>
          <w:lang w:val="it-IT"/>
        </w:rPr>
        <w:t>.</w:t>
      </w:r>
    </w:p>
    <w:p w14:paraId="51EB29BB" w14:textId="77777777" w:rsidR="004D6F25" w:rsidRPr="00C9575C" w:rsidRDefault="004D6F25" w:rsidP="004D6F25">
      <w:pPr>
        <w:widowControl w:val="0"/>
        <w:tabs>
          <w:tab w:val="left" w:pos="567"/>
        </w:tabs>
        <w:rPr>
          <w:szCs w:val="22"/>
          <w:lang w:val="it-IT"/>
        </w:rPr>
      </w:pPr>
    </w:p>
    <w:p w14:paraId="45ACD0B0" w14:textId="77777777" w:rsidR="004D6F25" w:rsidRPr="00C9575C" w:rsidRDefault="004D6F25" w:rsidP="004D6F25">
      <w:pPr>
        <w:widowControl w:val="0"/>
        <w:tabs>
          <w:tab w:val="left" w:pos="567"/>
        </w:tabs>
        <w:rPr>
          <w:szCs w:val="22"/>
          <w:lang w:val="it-IT"/>
        </w:rPr>
      </w:pPr>
      <w:r w:rsidRPr="00C9575C">
        <w:rPr>
          <w:szCs w:val="22"/>
          <w:lang w:val="it-IT"/>
        </w:rPr>
        <w:t>Uso orale</w:t>
      </w:r>
    </w:p>
    <w:p w14:paraId="11CEBD0B"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FDF93B5" w14:textId="77777777">
        <w:tc>
          <w:tcPr>
            <w:tcW w:w="9298" w:type="dxa"/>
          </w:tcPr>
          <w:p w14:paraId="4336FEF3" w14:textId="77777777" w:rsidR="0084378B" w:rsidRPr="00C9575C" w:rsidRDefault="0084378B" w:rsidP="00922052">
            <w:pPr>
              <w:widowControl w:val="0"/>
              <w:suppressAutoHyphens/>
              <w:ind w:left="567" w:hanging="567"/>
              <w:rPr>
                <w:b/>
                <w:szCs w:val="22"/>
                <w:lang w:val="it-IT"/>
              </w:rPr>
            </w:pPr>
            <w:r w:rsidRPr="00C9575C">
              <w:rPr>
                <w:b/>
                <w:szCs w:val="22"/>
                <w:lang w:val="it-IT"/>
              </w:rPr>
              <w:t>6</w:t>
            </w:r>
            <w:r w:rsidRPr="00C9575C">
              <w:rPr>
                <w:b/>
                <w:szCs w:val="22"/>
                <w:lang w:val="it-IT"/>
              </w:rPr>
              <w:tab/>
              <w:t>AV</w:t>
            </w:r>
            <w:smartTag w:uri="schemas-GSKSiteLocations-com/fourthcoffee" w:element="flavor">
              <w:r w:rsidRPr="00C9575C">
                <w:rPr>
                  <w:b/>
                  <w:szCs w:val="22"/>
                  <w:lang w:val="it-IT"/>
                </w:rPr>
                <w:t>VER</w:t>
              </w:r>
            </w:smartTag>
            <w:r w:rsidRPr="00C9575C">
              <w:rPr>
                <w:b/>
                <w:szCs w:val="22"/>
                <w:lang w:val="it-IT"/>
              </w:rPr>
              <w:t xml:space="preserve">TENZA PARTICOLARE CHE PRESCRIVA DI TENERE IL MEDICINALE FUORI DALLA </w:t>
            </w:r>
            <w:r w:rsidR="00922052" w:rsidRPr="00C9575C">
              <w:rPr>
                <w:b/>
                <w:szCs w:val="22"/>
                <w:lang w:val="it-IT"/>
              </w:rPr>
              <w:t xml:space="preserve">VISTA </w:t>
            </w:r>
            <w:r w:rsidRPr="00C9575C">
              <w:rPr>
                <w:b/>
                <w:szCs w:val="22"/>
                <w:lang w:val="it-IT"/>
              </w:rPr>
              <w:t xml:space="preserve">E DALLA </w:t>
            </w:r>
            <w:r w:rsidR="00922052" w:rsidRPr="00C9575C">
              <w:rPr>
                <w:b/>
                <w:szCs w:val="22"/>
                <w:lang w:val="it-IT"/>
              </w:rPr>
              <w:t xml:space="preserve">PORTATA </w:t>
            </w:r>
            <w:r w:rsidRPr="00C9575C">
              <w:rPr>
                <w:b/>
                <w:szCs w:val="22"/>
                <w:lang w:val="it-IT"/>
              </w:rPr>
              <w:t>DEI BAMBINI</w:t>
            </w:r>
          </w:p>
        </w:tc>
      </w:tr>
    </w:tbl>
    <w:p w14:paraId="2F326205" w14:textId="77777777" w:rsidR="0084378B" w:rsidRPr="00C9575C" w:rsidRDefault="0084378B">
      <w:pPr>
        <w:widowControl w:val="0"/>
        <w:suppressAutoHyphens/>
        <w:rPr>
          <w:szCs w:val="22"/>
          <w:lang w:val="it-IT"/>
        </w:rPr>
      </w:pPr>
    </w:p>
    <w:p w14:paraId="3AE7166F" w14:textId="77777777" w:rsidR="0084378B" w:rsidRPr="00C9575C" w:rsidRDefault="0084378B">
      <w:pPr>
        <w:widowControl w:val="0"/>
        <w:suppressAutoHyphens/>
        <w:rPr>
          <w:szCs w:val="22"/>
          <w:lang w:val="it-IT"/>
        </w:rPr>
      </w:pPr>
      <w:r w:rsidRPr="00C9575C">
        <w:rPr>
          <w:szCs w:val="22"/>
          <w:lang w:val="it-IT"/>
        </w:rPr>
        <w:t xml:space="preserve">Tenere fuori dalla </w:t>
      </w:r>
      <w:r w:rsidR="00922052" w:rsidRPr="00C9575C">
        <w:rPr>
          <w:szCs w:val="22"/>
          <w:lang w:val="it-IT"/>
        </w:rPr>
        <w:t xml:space="preserve">vista </w:t>
      </w:r>
      <w:r w:rsidRPr="00C9575C">
        <w:rPr>
          <w:szCs w:val="22"/>
          <w:lang w:val="it-IT"/>
        </w:rPr>
        <w:t xml:space="preserve">e dalla </w:t>
      </w:r>
      <w:r w:rsidR="00922052" w:rsidRPr="00C9575C">
        <w:rPr>
          <w:szCs w:val="22"/>
          <w:lang w:val="it-IT"/>
        </w:rPr>
        <w:t xml:space="preserve">portata </w:t>
      </w:r>
      <w:r w:rsidRPr="00C9575C">
        <w:rPr>
          <w:szCs w:val="22"/>
          <w:lang w:val="it-IT"/>
        </w:rPr>
        <w:t>dei bambini</w:t>
      </w:r>
      <w:r w:rsidR="00BD7D2B" w:rsidRPr="00C9575C">
        <w:rPr>
          <w:szCs w:val="22"/>
          <w:lang w:val="it-IT"/>
        </w:rPr>
        <w:t>.</w:t>
      </w:r>
    </w:p>
    <w:p w14:paraId="4E547824" w14:textId="77777777" w:rsidR="0084378B" w:rsidRPr="00C9575C" w:rsidRDefault="0084378B">
      <w:pPr>
        <w:widowControl w:val="0"/>
        <w:suppressAutoHyphens/>
        <w:rPr>
          <w:szCs w:val="22"/>
          <w:lang w:val="it-IT"/>
        </w:rPr>
      </w:pPr>
    </w:p>
    <w:p w14:paraId="1991D26D"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CD5F8F2" w14:textId="77777777">
        <w:tc>
          <w:tcPr>
            <w:tcW w:w="9298" w:type="dxa"/>
          </w:tcPr>
          <w:p w14:paraId="0A424ECE" w14:textId="77777777" w:rsidR="0084378B" w:rsidRPr="00C9575C" w:rsidRDefault="0084378B">
            <w:pPr>
              <w:widowControl w:val="0"/>
              <w:suppressAutoHyphens/>
              <w:ind w:left="567" w:hanging="567"/>
              <w:rPr>
                <w:b/>
                <w:szCs w:val="22"/>
                <w:lang w:val="it-IT"/>
              </w:rPr>
            </w:pPr>
            <w:r w:rsidRPr="00C9575C">
              <w:rPr>
                <w:b/>
                <w:szCs w:val="22"/>
                <w:lang w:val="it-IT"/>
              </w:rPr>
              <w:t>7.</w:t>
            </w:r>
            <w:r w:rsidRPr="00C9575C">
              <w:rPr>
                <w:b/>
                <w:szCs w:val="22"/>
                <w:lang w:val="it-IT"/>
              </w:rPr>
              <w:tab/>
              <w:t>ALTRA(E) AV</w:t>
            </w:r>
            <w:smartTag w:uri="schemas-GSKSiteLocations-com/fourthcoffee" w:element="flavor">
              <w:r w:rsidRPr="00C9575C">
                <w:rPr>
                  <w:b/>
                  <w:szCs w:val="22"/>
                  <w:lang w:val="it-IT"/>
                </w:rPr>
                <w:t>VER</w:t>
              </w:r>
            </w:smartTag>
            <w:r w:rsidRPr="00C9575C">
              <w:rPr>
                <w:b/>
                <w:szCs w:val="22"/>
                <w:lang w:val="it-IT"/>
              </w:rPr>
              <w:t>TENZA(E) PARTICOLARE(I), SE NECESSARIO</w:t>
            </w:r>
          </w:p>
        </w:tc>
      </w:tr>
    </w:tbl>
    <w:p w14:paraId="27BC3A07" w14:textId="77777777" w:rsidR="0084378B" w:rsidRPr="00C9575C" w:rsidRDefault="0084378B">
      <w:pPr>
        <w:widowControl w:val="0"/>
        <w:suppressAutoHyphens/>
        <w:rPr>
          <w:szCs w:val="22"/>
          <w:lang w:val="it-IT"/>
        </w:rPr>
      </w:pPr>
    </w:p>
    <w:p w14:paraId="7B0AD769" w14:textId="77777777" w:rsidR="0084378B" w:rsidRPr="00C9575C" w:rsidRDefault="0084378B">
      <w:pPr>
        <w:widowControl w:val="0"/>
        <w:rPr>
          <w:color w:val="000000"/>
          <w:szCs w:val="22"/>
          <w:lang w:val="it-IT"/>
        </w:rPr>
      </w:pPr>
      <w:r w:rsidRPr="00C9575C">
        <w:rPr>
          <w:b/>
          <w:color w:val="000000"/>
          <w:szCs w:val="22"/>
          <w:lang w:val="it-IT"/>
        </w:rPr>
        <w:t>Staccare l’acclus</w:t>
      </w:r>
      <w:r w:rsidR="00FE7231" w:rsidRPr="00C9575C">
        <w:rPr>
          <w:b/>
          <w:color w:val="000000"/>
          <w:szCs w:val="22"/>
          <w:lang w:val="it-IT"/>
        </w:rPr>
        <w:t>a Scheda di Allerta</w:t>
      </w:r>
      <w:r w:rsidR="006572C7" w:rsidRPr="00C9575C">
        <w:rPr>
          <w:b/>
          <w:color w:val="000000"/>
          <w:szCs w:val="22"/>
          <w:lang w:val="it-IT"/>
        </w:rPr>
        <w:t xml:space="preserve"> </w:t>
      </w:r>
      <w:r w:rsidRPr="00C9575C">
        <w:rPr>
          <w:b/>
          <w:color w:val="000000"/>
          <w:szCs w:val="22"/>
          <w:lang w:val="it-IT"/>
        </w:rPr>
        <w:t>cont</w:t>
      </w:r>
      <w:r w:rsidR="00FE7231" w:rsidRPr="00C9575C">
        <w:rPr>
          <w:b/>
          <w:color w:val="000000"/>
          <w:szCs w:val="22"/>
          <w:lang w:val="it-IT"/>
        </w:rPr>
        <w:t>enente</w:t>
      </w:r>
      <w:r w:rsidRPr="00C9575C">
        <w:rPr>
          <w:b/>
          <w:color w:val="000000"/>
          <w:szCs w:val="22"/>
          <w:lang w:val="it-IT"/>
        </w:rPr>
        <w:t xml:space="preserve"> importanti informazioni sulla sicurezza</w:t>
      </w:r>
    </w:p>
    <w:p w14:paraId="69F6D22D" w14:textId="77777777" w:rsidR="0084378B" w:rsidRPr="00C9575C" w:rsidRDefault="0084378B">
      <w:pPr>
        <w:widowControl w:val="0"/>
        <w:rPr>
          <w:b/>
          <w:color w:val="000000"/>
          <w:szCs w:val="22"/>
          <w:lang w:val="it-IT"/>
        </w:rPr>
      </w:pPr>
    </w:p>
    <w:p w14:paraId="3CE9EC14" w14:textId="77777777" w:rsidR="0084378B" w:rsidRPr="00C9575C" w:rsidRDefault="0084378B">
      <w:pPr>
        <w:widowControl w:val="0"/>
        <w:rPr>
          <w:color w:val="000000"/>
          <w:szCs w:val="22"/>
          <w:lang w:val="it-IT"/>
        </w:rPr>
      </w:pPr>
      <w:r w:rsidRPr="00C9575C">
        <w:rPr>
          <w:color w:val="000000"/>
          <w:szCs w:val="22"/>
          <w:lang w:val="it-IT"/>
        </w:rPr>
        <w:t>ATTENZIONE!</w:t>
      </w:r>
      <w:r w:rsidRPr="00C9575C">
        <w:rPr>
          <w:b/>
          <w:color w:val="000000"/>
          <w:szCs w:val="22"/>
          <w:lang w:val="it-IT"/>
        </w:rPr>
        <w:t xml:space="preserve"> </w:t>
      </w:r>
      <w:r w:rsidRPr="00C9575C">
        <w:rPr>
          <w:color w:val="000000"/>
          <w:szCs w:val="22"/>
          <w:lang w:val="it-IT"/>
        </w:rPr>
        <w:t>In caso di qualsiasi sintomo che indichi reazioni di ipersensibilità contattare il medico IMMEDIATAMENTE</w:t>
      </w:r>
    </w:p>
    <w:p w14:paraId="75128C09" w14:textId="77777777" w:rsidR="0084378B" w:rsidRPr="00C9575C" w:rsidRDefault="0084378B">
      <w:pPr>
        <w:widowControl w:val="0"/>
        <w:rPr>
          <w:color w:val="000000"/>
          <w:szCs w:val="22"/>
          <w:lang w:val="it-IT"/>
        </w:rPr>
      </w:pPr>
    </w:p>
    <w:p w14:paraId="63932E21" w14:textId="77777777" w:rsidR="0084378B" w:rsidRPr="00C9575C" w:rsidRDefault="0084378B">
      <w:pPr>
        <w:widowControl w:val="0"/>
        <w:rPr>
          <w:color w:val="000000"/>
          <w:szCs w:val="22"/>
          <w:lang w:val="it-IT"/>
        </w:rPr>
      </w:pPr>
      <w:r w:rsidRPr="00C9575C">
        <w:rPr>
          <w:b/>
          <w:color w:val="000000"/>
          <w:szCs w:val="22"/>
          <w:lang w:val="it-IT"/>
        </w:rPr>
        <w:t>“Tirare qui”</w:t>
      </w:r>
    </w:p>
    <w:p w14:paraId="205D8161" w14:textId="77777777" w:rsidR="0084378B" w:rsidRPr="00C9575C" w:rsidRDefault="0084378B">
      <w:pPr>
        <w:widowControl w:val="0"/>
        <w:suppressAutoHyphens/>
        <w:rPr>
          <w:szCs w:val="22"/>
          <w:lang w:val="it-IT"/>
        </w:rPr>
      </w:pPr>
    </w:p>
    <w:p w14:paraId="3E393477" w14:textId="77777777" w:rsidR="0084378B" w:rsidRPr="00C9575C" w:rsidRDefault="0084378B">
      <w:pPr>
        <w:widowControl w:val="0"/>
        <w:suppressAutoHyphens/>
        <w:rPr>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3608386" w14:textId="77777777" w:rsidTr="00266FE5">
        <w:tc>
          <w:tcPr>
            <w:tcW w:w="9298" w:type="dxa"/>
          </w:tcPr>
          <w:p w14:paraId="339E84FC" w14:textId="77777777" w:rsidR="0084378B" w:rsidRPr="00C9575C" w:rsidRDefault="0084378B">
            <w:pPr>
              <w:widowControl w:val="0"/>
              <w:suppressAutoHyphens/>
              <w:ind w:left="567" w:hanging="567"/>
              <w:rPr>
                <w:b/>
                <w:szCs w:val="22"/>
                <w:lang w:val="it-IT"/>
              </w:rPr>
            </w:pPr>
            <w:r w:rsidRPr="00C9575C">
              <w:rPr>
                <w:b/>
                <w:szCs w:val="22"/>
                <w:lang w:val="it-IT"/>
              </w:rPr>
              <w:t>8.</w:t>
            </w:r>
            <w:r w:rsidRPr="00C9575C">
              <w:rPr>
                <w:b/>
                <w:szCs w:val="22"/>
                <w:lang w:val="it-IT"/>
              </w:rPr>
              <w:tab/>
              <w:t>DATA DI SCADENZA</w:t>
            </w:r>
          </w:p>
        </w:tc>
      </w:tr>
    </w:tbl>
    <w:p w14:paraId="08A28C91" w14:textId="77777777" w:rsidR="0084378B" w:rsidRPr="00C9575C" w:rsidRDefault="0084378B">
      <w:pPr>
        <w:widowControl w:val="0"/>
        <w:suppressAutoHyphens/>
        <w:rPr>
          <w:szCs w:val="22"/>
          <w:lang w:val="it-IT"/>
        </w:rPr>
      </w:pPr>
    </w:p>
    <w:p w14:paraId="5EF744D4" w14:textId="77777777" w:rsidR="0084378B" w:rsidRPr="00C9575C" w:rsidRDefault="0084378B">
      <w:pPr>
        <w:widowControl w:val="0"/>
        <w:suppressAutoHyphens/>
        <w:rPr>
          <w:szCs w:val="22"/>
          <w:lang w:val="it-IT"/>
        </w:rPr>
      </w:pPr>
      <w:r w:rsidRPr="00C9575C">
        <w:rPr>
          <w:szCs w:val="22"/>
          <w:lang w:val="it-IT"/>
        </w:rPr>
        <w:t>Scad.</w:t>
      </w:r>
    </w:p>
    <w:p w14:paraId="6AEAE7F7" w14:textId="77777777" w:rsidR="007A5E20" w:rsidRPr="00C9575C" w:rsidRDefault="007A5E20">
      <w:pPr>
        <w:widowControl w:val="0"/>
        <w:suppressAutoHyphens/>
        <w:rPr>
          <w:szCs w:val="22"/>
          <w:lang w:val="it-IT"/>
        </w:rPr>
      </w:pPr>
    </w:p>
    <w:p w14:paraId="50D1CE6A" w14:textId="77777777" w:rsidR="007A5E20" w:rsidRPr="00C9575C" w:rsidRDefault="007A5E20">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4403F4D9" w14:textId="77777777">
        <w:tc>
          <w:tcPr>
            <w:tcW w:w="9298" w:type="dxa"/>
          </w:tcPr>
          <w:p w14:paraId="1BE890B3" w14:textId="77777777" w:rsidR="0084378B" w:rsidRPr="00C9575C" w:rsidRDefault="0084378B">
            <w:pPr>
              <w:widowControl w:val="0"/>
              <w:suppressAutoHyphens/>
              <w:ind w:left="567" w:hanging="567"/>
              <w:rPr>
                <w:b/>
                <w:szCs w:val="22"/>
                <w:lang w:val="it-IT"/>
              </w:rPr>
            </w:pPr>
            <w:r w:rsidRPr="00C9575C">
              <w:rPr>
                <w:b/>
                <w:szCs w:val="22"/>
                <w:lang w:val="it-IT"/>
              </w:rPr>
              <w:t>9.</w:t>
            </w:r>
            <w:r w:rsidRPr="00C9575C">
              <w:rPr>
                <w:b/>
                <w:szCs w:val="22"/>
                <w:lang w:val="it-IT"/>
              </w:rPr>
              <w:tab/>
              <w:t>PRECAUZIONI PARTICOLARI PER LA CONSERVAZIONE</w:t>
            </w:r>
          </w:p>
        </w:tc>
      </w:tr>
    </w:tbl>
    <w:p w14:paraId="66D51028" w14:textId="77777777" w:rsidR="0084378B" w:rsidRPr="00C9575C" w:rsidRDefault="0084378B">
      <w:pPr>
        <w:widowControl w:val="0"/>
        <w:tabs>
          <w:tab w:val="left" w:pos="567"/>
        </w:tabs>
        <w:rPr>
          <w:szCs w:val="22"/>
          <w:lang w:val="it-IT"/>
        </w:rPr>
      </w:pPr>
    </w:p>
    <w:p w14:paraId="16D9BAE1" w14:textId="77777777" w:rsidR="0084378B" w:rsidRPr="00C9575C" w:rsidRDefault="0084378B">
      <w:pPr>
        <w:widowControl w:val="0"/>
        <w:tabs>
          <w:tab w:val="left" w:pos="567"/>
        </w:tabs>
        <w:rPr>
          <w:szCs w:val="22"/>
          <w:lang w:val="it-IT"/>
        </w:rPr>
      </w:pPr>
      <w:r w:rsidRPr="00C9575C">
        <w:rPr>
          <w:szCs w:val="22"/>
          <w:lang w:val="it-IT"/>
        </w:rPr>
        <w:t>Conservare a t</w:t>
      </w:r>
      <w:r w:rsidR="00B512B4" w:rsidRPr="00C9575C">
        <w:rPr>
          <w:szCs w:val="22"/>
          <w:lang w:val="it-IT"/>
        </w:rPr>
        <w:t xml:space="preserve">emperatura non superiore ai </w:t>
      </w:r>
      <w:smartTag w:uri="urn:schemas-microsoft-com:office:smarttags" w:element="metricconverter">
        <w:smartTagPr>
          <w:attr w:name="ProductID" w:val="30ﾰC"/>
        </w:smartTagPr>
        <w:r w:rsidR="00B512B4" w:rsidRPr="00C9575C">
          <w:rPr>
            <w:szCs w:val="22"/>
            <w:lang w:val="it-IT"/>
          </w:rPr>
          <w:t>30°</w:t>
        </w:r>
        <w:r w:rsidRPr="00C9575C">
          <w:rPr>
            <w:szCs w:val="22"/>
            <w:lang w:val="it-IT"/>
          </w:rPr>
          <w:t>C</w:t>
        </w:r>
      </w:smartTag>
    </w:p>
    <w:p w14:paraId="39E3163E" w14:textId="77777777" w:rsidR="0084378B" w:rsidRPr="00C9575C" w:rsidRDefault="0084378B">
      <w:pPr>
        <w:widowControl w:val="0"/>
        <w:suppressAutoHyphens/>
        <w:rPr>
          <w:szCs w:val="22"/>
          <w:lang w:val="it-IT"/>
        </w:rPr>
      </w:pPr>
    </w:p>
    <w:p w14:paraId="57D90D75"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354C966" w14:textId="77777777">
        <w:tc>
          <w:tcPr>
            <w:tcW w:w="9298" w:type="dxa"/>
          </w:tcPr>
          <w:p w14:paraId="3CE61F8A" w14:textId="77777777" w:rsidR="0084378B" w:rsidRPr="00C9575C" w:rsidRDefault="0084378B">
            <w:pPr>
              <w:widowControl w:val="0"/>
              <w:suppressAutoHyphens/>
              <w:ind w:left="567" w:hanging="567"/>
              <w:rPr>
                <w:b/>
                <w:szCs w:val="22"/>
                <w:lang w:val="it-IT"/>
              </w:rPr>
            </w:pPr>
            <w:r w:rsidRPr="00C9575C">
              <w:rPr>
                <w:b/>
                <w:szCs w:val="22"/>
                <w:lang w:val="it-IT"/>
              </w:rPr>
              <w:t>10.</w:t>
            </w:r>
            <w:r w:rsidRPr="00C9575C">
              <w:rPr>
                <w:b/>
                <w:szCs w:val="22"/>
                <w:lang w:val="it-IT"/>
              </w:rPr>
              <w:tab/>
              <w:t>PRECAUZIONI PARTICOLARI PER LO SMALTIMENTO DEL MEDICINALE NON UTILIZZATO O DEI RIFIUTI DERIVATI DA TALE MEDICINALE, SE NECESSARIO</w:t>
            </w:r>
          </w:p>
        </w:tc>
      </w:tr>
    </w:tbl>
    <w:p w14:paraId="46BF26D8" w14:textId="77777777" w:rsidR="0084378B" w:rsidRPr="00C9575C" w:rsidRDefault="0084378B">
      <w:pPr>
        <w:widowControl w:val="0"/>
        <w:suppressAutoHyphens/>
        <w:rPr>
          <w:szCs w:val="22"/>
          <w:lang w:val="it-IT"/>
        </w:rPr>
      </w:pPr>
    </w:p>
    <w:p w14:paraId="2E420FAD"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7EA6883B" w14:textId="77777777">
        <w:tc>
          <w:tcPr>
            <w:tcW w:w="9298" w:type="dxa"/>
          </w:tcPr>
          <w:p w14:paraId="37602635" w14:textId="77777777" w:rsidR="0084378B" w:rsidRPr="00C9575C" w:rsidRDefault="0084378B">
            <w:pPr>
              <w:widowControl w:val="0"/>
              <w:suppressAutoHyphens/>
              <w:ind w:left="567" w:hanging="567"/>
              <w:rPr>
                <w:b/>
                <w:szCs w:val="22"/>
                <w:lang w:val="it-IT"/>
              </w:rPr>
            </w:pPr>
            <w:r w:rsidRPr="00C9575C">
              <w:rPr>
                <w:b/>
                <w:szCs w:val="22"/>
                <w:lang w:val="it-IT"/>
              </w:rPr>
              <w:t>11.</w:t>
            </w:r>
            <w:r w:rsidRPr="00C9575C">
              <w:rPr>
                <w:b/>
                <w:szCs w:val="22"/>
                <w:lang w:val="it-IT"/>
              </w:rPr>
              <w:tab/>
              <w:t>NOME E INDIRIZZO DEL TITOLARE DELL'AUTORIZZAZIONE ALL’IMMISSIONE IN COMMERCIO</w:t>
            </w:r>
          </w:p>
        </w:tc>
      </w:tr>
    </w:tbl>
    <w:p w14:paraId="55C53C7D" w14:textId="77777777" w:rsidR="0084378B" w:rsidRPr="00C9575C" w:rsidRDefault="0084378B">
      <w:pPr>
        <w:widowControl w:val="0"/>
        <w:suppressAutoHyphens/>
        <w:rPr>
          <w:szCs w:val="22"/>
          <w:lang w:val="it-IT"/>
        </w:rPr>
      </w:pPr>
    </w:p>
    <w:p w14:paraId="0AAE6766" w14:textId="77777777" w:rsidR="006C04AA" w:rsidRPr="00C03451" w:rsidRDefault="006C04AA" w:rsidP="006C04AA">
      <w:pPr>
        <w:rPr>
          <w:szCs w:val="22"/>
          <w:lang w:val="it-IT"/>
        </w:rPr>
      </w:pPr>
      <w:r w:rsidRPr="00C03451">
        <w:rPr>
          <w:szCs w:val="22"/>
          <w:lang w:val="it-IT"/>
        </w:rPr>
        <w:t>ViiV Healthcare BV</w:t>
      </w:r>
    </w:p>
    <w:p w14:paraId="5FC15B51" w14:textId="77777777" w:rsidR="009373EB" w:rsidRPr="00C03451" w:rsidRDefault="009373EB" w:rsidP="009373EB">
      <w:pPr>
        <w:rPr>
          <w:szCs w:val="22"/>
          <w:lang w:val="it-IT"/>
        </w:rPr>
      </w:pPr>
      <w:r w:rsidRPr="00C03451">
        <w:rPr>
          <w:szCs w:val="22"/>
          <w:lang w:val="it-IT"/>
        </w:rPr>
        <w:t>Van Asch van Wijckstraat 55H</w:t>
      </w:r>
    </w:p>
    <w:p w14:paraId="17D91329" w14:textId="77777777" w:rsidR="00BB6978" w:rsidRPr="00C03451" w:rsidRDefault="009373EB" w:rsidP="006C04AA">
      <w:pPr>
        <w:pStyle w:val="Header"/>
        <w:tabs>
          <w:tab w:val="clear" w:pos="4153"/>
          <w:tab w:val="clear" w:pos="8306"/>
        </w:tabs>
        <w:rPr>
          <w:szCs w:val="22"/>
          <w:lang w:val="it-IT"/>
        </w:rPr>
      </w:pPr>
      <w:r w:rsidRPr="00C03451">
        <w:rPr>
          <w:szCs w:val="22"/>
          <w:lang w:val="it-IT"/>
        </w:rPr>
        <w:t>3811 LP Amersfoort</w:t>
      </w:r>
    </w:p>
    <w:p w14:paraId="7DC0D279" w14:textId="77777777" w:rsidR="006C04AA" w:rsidRPr="00C03451" w:rsidRDefault="006C04AA" w:rsidP="006C04AA">
      <w:pPr>
        <w:pStyle w:val="Header"/>
        <w:tabs>
          <w:tab w:val="clear" w:pos="4153"/>
          <w:tab w:val="clear" w:pos="8306"/>
        </w:tabs>
        <w:rPr>
          <w:szCs w:val="22"/>
          <w:lang w:val="it-IT"/>
        </w:rPr>
      </w:pPr>
      <w:r w:rsidRPr="00C03451">
        <w:rPr>
          <w:szCs w:val="22"/>
          <w:lang w:val="it-IT"/>
        </w:rPr>
        <w:t>Olanda</w:t>
      </w:r>
    </w:p>
    <w:p w14:paraId="69577034" w14:textId="77777777" w:rsidR="0084378B" w:rsidRPr="00C03451" w:rsidRDefault="0084378B">
      <w:pPr>
        <w:widowControl w:val="0"/>
        <w:suppressAutoHyphens/>
        <w:rPr>
          <w:szCs w:val="22"/>
          <w:lang w:val="it-IT"/>
        </w:rPr>
      </w:pPr>
    </w:p>
    <w:p w14:paraId="5A786BA8" w14:textId="77777777" w:rsidR="0084378B" w:rsidRPr="00C03451"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38CB53D" w14:textId="77777777">
        <w:tc>
          <w:tcPr>
            <w:tcW w:w="9298" w:type="dxa"/>
          </w:tcPr>
          <w:p w14:paraId="58C6F408" w14:textId="77777777" w:rsidR="0084378B" w:rsidRPr="00C9575C" w:rsidRDefault="0084378B">
            <w:pPr>
              <w:widowControl w:val="0"/>
              <w:suppressAutoHyphens/>
              <w:ind w:left="567" w:hanging="567"/>
              <w:rPr>
                <w:b/>
                <w:szCs w:val="22"/>
                <w:lang w:val="it-IT"/>
              </w:rPr>
            </w:pPr>
            <w:r w:rsidRPr="00C9575C">
              <w:rPr>
                <w:b/>
                <w:szCs w:val="22"/>
                <w:lang w:val="it-IT"/>
              </w:rPr>
              <w:t>12.</w:t>
            </w:r>
            <w:r w:rsidRPr="00C9575C">
              <w:rPr>
                <w:b/>
                <w:szCs w:val="22"/>
                <w:lang w:val="it-IT"/>
              </w:rPr>
              <w:tab/>
              <w:t>NUMERO(I) DELL’AUTORIZZAZIONE (DELLE AUTORIZZAZIONI) ALL’IMMISSIONE IN COMMERCIO</w:t>
            </w:r>
          </w:p>
        </w:tc>
      </w:tr>
    </w:tbl>
    <w:p w14:paraId="2811D94D" w14:textId="77777777" w:rsidR="0084378B" w:rsidRPr="00C9575C" w:rsidRDefault="0084378B">
      <w:pPr>
        <w:widowControl w:val="0"/>
        <w:suppressAutoHyphens/>
        <w:rPr>
          <w:szCs w:val="22"/>
          <w:lang w:val="it-IT"/>
        </w:rPr>
      </w:pPr>
    </w:p>
    <w:p w14:paraId="4FCA2747" w14:textId="77777777" w:rsidR="0084378B" w:rsidRPr="00C9575C" w:rsidRDefault="0084378B">
      <w:pPr>
        <w:widowControl w:val="0"/>
        <w:tabs>
          <w:tab w:val="left" w:pos="567"/>
        </w:tabs>
        <w:rPr>
          <w:szCs w:val="22"/>
          <w:lang w:val="it-IT"/>
        </w:rPr>
      </w:pPr>
      <w:r w:rsidRPr="00C9575C">
        <w:rPr>
          <w:szCs w:val="22"/>
          <w:lang w:val="it-IT"/>
        </w:rPr>
        <w:t>EU/1/04/298/002</w:t>
      </w:r>
    </w:p>
    <w:p w14:paraId="1951B380" w14:textId="77777777" w:rsidR="0084378B" w:rsidRPr="00C9575C" w:rsidRDefault="0084378B">
      <w:pPr>
        <w:widowControl w:val="0"/>
        <w:suppressAutoHyphens/>
        <w:rPr>
          <w:szCs w:val="22"/>
          <w:lang w:val="it-IT"/>
        </w:rPr>
      </w:pPr>
    </w:p>
    <w:p w14:paraId="6E5FEDC5"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14438451" w14:textId="77777777">
        <w:tc>
          <w:tcPr>
            <w:tcW w:w="9298" w:type="dxa"/>
          </w:tcPr>
          <w:p w14:paraId="71318836" w14:textId="77777777" w:rsidR="0084378B" w:rsidRPr="00C9575C" w:rsidRDefault="0084378B">
            <w:pPr>
              <w:widowControl w:val="0"/>
              <w:suppressAutoHyphens/>
              <w:ind w:left="567" w:hanging="567"/>
              <w:rPr>
                <w:b/>
                <w:szCs w:val="22"/>
                <w:lang w:val="it-IT"/>
              </w:rPr>
            </w:pPr>
            <w:r w:rsidRPr="00C9575C">
              <w:rPr>
                <w:b/>
                <w:szCs w:val="22"/>
                <w:lang w:val="it-IT"/>
              </w:rPr>
              <w:t>13.</w:t>
            </w:r>
            <w:r w:rsidRPr="00C9575C">
              <w:rPr>
                <w:b/>
                <w:szCs w:val="22"/>
                <w:lang w:val="it-IT"/>
              </w:rPr>
              <w:tab/>
              <w:t>NUMERO DI LOTTO</w:t>
            </w:r>
          </w:p>
        </w:tc>
      </w:tr>
    </w:tbl>
    <w:p w14:paraId="7D37E546" w14:textId="77777777" w:rsidR="0084378B" w:rsidRPr="00C9575C" w:rsidRDefault="0084378B">
      <w:pPr>
        <w:widowControl w:val="0"/>
        <w:suppressAutoHyphens/>
        <w:rPr>
          <w:szCs w:val="22"/>
          <w:lang w:val="it-IT"/>
        </w:rPr>
      </w:pPr>
    </w:p>
    <w:p w14:paraId="6463A411" w14:textId="77777777" w:rsidR="0084378B" w:rsidRPr="00C9575C" w:rsidRDefault="0084378B">
      <w:pPr>
        <w:widowControl w:val="0"/>
        <w:suppressAutoHyphens/>
        <w:rPr>
          <w:szCs w:val="22"/>
          <w:lang w:val="it-IT"/>
        </w:rPr>
      </w:pPr>
      <w:r w:rsidRPr="00C9575C">
        <w:rPr>
          <w:szCs w:val="22"/>
          <w:lang w:val="it-IT"/>
        </w:rPr>
        <w:t xml:space="preserve">Lotto </w:t>
      </w:r>
    </w:p>
    <w:p w14:paraId="5D9A00E8" w14:textId="77777777" w:rsidR="0084378B" w:rsidRPr="00C9575C" w:rsidRDefault="0084378B">
      <w:pPr>
        <w:widowControl w:val="0"/>
        <w:suppressAutoHyphens/>
        <w:rPr>
          <w:szCs w:val="22"/>
          <w:lang w:val="it-IT"/>
        </w:rPr>
      </w:pPr>
    </w:p>
    <w:p w14:paraId="7821B139"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63B1068" w14:textId="77777777">
        <w:tc>
          <w:tcPr>
            <w:tcW w:w="9298" w:type="dxa"/>
          </w:tcPr>
          <w:p w14:paraId="3F98DBF5" w14:textId="77777777" w:rsidR="0084378B" w:rsidRPr="00C9575C" w:rsidRDefault="0084378B">
            <w:pPr>
              <w:widowControl w:val="0"/>
              <w:suppressAutoHyphens/>
              <w:ind w:left="567" w:hanging="567"/>
              <w:rPr>
                <w:b/>
                <w:szCs w:val="22"/>
                <w:lang w:val="it-IT"/>
              </w:rPr>
            </w:pPr>
            <w:r w:rsidRPr="00C9575C">
              <w:rPr>
                <w:b/>
                <w:szCs w:val="22"/>
                <w:lang w:val="it-IT"/>
              </w:rPr>
              <w:t>14.</w:t>
            </w:r>
            <w:r w:rsidRPr="00C9575C">
              <w:rPr>
                <w:b/>
                <w:szCs w:val="22"/>
                <w:lang w:val="it-IT"/>
              </w:rPr>
              <w:tab/>
              <w:t xml:space="preserve">CONDIZIONE </w:t>
            </w:r>
            <w:smartTag w:uri="schemas-GSKSiteLocations-com/fourthcoffee" w:element="flavor">
              <w:r w:rsidRPr="00C9575C">
                <w:rPr>
                  <w:b/>
                  <w:szCs w:val="22"/>
                  <w:lang w:val="it-IT"/>
                </w:rPr>
                <w:t>GEN</w:t>
              </w:r>
            </w:smartTag>
            <w:r w:rsidRPr="00C9575C">
              <w:rPr>
                <w:b/>
                <w:szCs w:val="22"/>
                <w:lang w:val="it-IT"/>
              </w:rPr>
              <w:t>ERALE DI FORNITURA</w:t>
            </w:r>
          </w:p>
        </w:tc>
      </w:tr>
    </w:tbl>
    <w:p w14:paraId="02F14DC9" w14:textId="77777777" w:rsidR="0084378B" w:rsidRPr="00C9575C" w:rsidRDefault="0084378B">
      <w:pPr>
        <w:widowControl w:val="0"/>
        <w:tabs>
          <w:tab w:val="left" w:pos="567"/>
        </w:tabs>
        <w:rPr>
          <w:szCs w:val="22"/>
          <w:lang w:val="it-IT"/>
        </w:rPr>
      </w:pPr>
    </w:p>
    <w:p w14:paraId="7E41CFFD" w14:textId="77777777" w:rsidR="0084378B" w:rsidRPr="00C9575C" w:rsidRDefault="0084378B">
      <w:pPr>
        <w:widowControl w:val="0"/>
        <w:tabs>
          <w:tab w:val="left" w:pos="567"/>
        </w:tabs>
        <w:rPr>
          <w:szCs w:val="22"/>
          <w:lang w:val="it-IT"/>
        </w:rPr>
      </w:pPr>
      <w:r w:rsidRPr="00C9575C">
        <w:rPr>
          <w:szCs w:val="22"/>
          <w:lang w:val="it-IT"/>
        </w:rPr>
        <w:t>Medicinale soggetto a prescrizione medica</w:t>
      </w:r>
    </w:p>
    <w:p w14:paraId="3DD5110D" w14:textId="77777777" w:rsidR="0084378B" w:rsidRPr="00C9575C" w:rsidRDefault="0084378B">
      <w:pPr>
        <w:widowControl w:val="0"/>
        <w:suppressAutoHyphens/>
        <w:rPr>
          <w:szCs w:val="22"/>
          <w:lang w:val="it-IT"/>
        </w:rPr>
      </w:pPr>
    </w:p>
    <w:p w14:paraId="31FBFF1C"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7EB56AD8" w14:textId="77777777">
        <w:tc>
          <w:tcPr>
            <w:tcW w:w="9298" w:type="dxa"/>
          </w:tcPr>
          <w:p w14:paraId="2B76916A" w14:textId="77777777" w:rsidR="0084378B" w:rsidRPr="00C9575C" w:rsidRDefault="0084378B">
            <w:pPr>
              <w:widowControl w:val="0"/>
              <w:suppressAutoHyphens/>
              <w:ind w:left="567" w:hanging="567"/>
              <w:rPr>
                <w:b/>
                <w:szCs w:val="22"/>
                <w:lang w:val="it-IT"/>
              </w:rPr>
            </w:pPr>
            <w:r w:rsidRPr="00C9575C">
              <w:rPr>
                <w:b/>
                <w:szCs w:val="22"/>
                <w:lang w:val="it-IT"/>
              </w:rPr>
              <w:t>15.</w:t>
            </w:r>
            <w:r w:rsidRPr="00C9575C">
              <w:rPr>
                <w:b/>
                <w:szCs w:val="22"/>
                <w:lang w:val="it-IT"/>
              </w:rPr>
              <w:tab/>
              <w:t>ISTRUZIONI PER L’USO</w:t>
            </w:r>
          </w:p>
        </w:tc>
      </w:tr>
    </w:tbl>
    <w:p w14:paraId="10D0CA6C" w14:textId="77777777" w:rsidR="0084378B" w:rsidRPr="00C9575C" w:rsidRDefault="0084378B">
      <w:pPr>
        <w:widowControl w:val="0"/>
        <w:tabs>
          <w:tab w:val="left" w:pos="567"/>
        </w:tabs>
        <w:jc w:val="both"/>
        <w:rPr>
          <w:b/>
          <w:szCs w:val="22"/>
          <w:lang w:val="it-IT"/>
        </w:rPr>
      </w:pPr>
    </w:p>
    <w:p w14:paraId="34F23EB8" w14:textId="77777777" w:rsidR="0084378B" w:rsidRPr="00C9575C" w:rsidRDefault="0084378B">
      <w:pPr>
        <w:widowControl w:val="0"/>
        <w:suppressAutoHyphens/>
        <w:rP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08FC685" w14:textId="77777777">
        <w:tc>
          <w:tcPr>
            <w:tcW w:w="9298" w:type="dxa"/>
          </w:tcPr>
          <w:p w14:paraId="4C5CD622" w14:textId="77777777" w:rsidR="0084378B" w:rsidRPr="00C9575C" w:rsidRDefault="0084378B">
            <w:pPr>
              <w:widowControl w:val="0"/>
              <w:suppressAutoHyphens/>
              <w:ind w:left="567" w:hanging="567"/>
              <w:rPr>
                <w:b/>
                <w:szCs w:val="22"/>
                <w:lang w:val="it-IT"/>
              </w:rPr>
            </w:pPr>
            <w:r w:rsidRPr="00C9575C">
              <w:rPr>
                <w:b/>
                <w:szCs w:val="22"/>
                <w:lang w:val="it-IT"/>
              </w:rPr>
              <w:t>16.</w:t>
            </w:r>
            <w:r w:rsidRPr="00C9575C">
              <w:rPr>
                <w:b/>
                <w:szCs w:val="22"/>
                <w:lang w:val="it-IT"/>
              </w:rPr>
              <w:tab/>
              <w:t>INFORMAZIONI IN BRAILLE</w:t>
            </w:r>
          </w:p>
        </w:tc>
      </w:tr>
    </w:tbl>
    <w:p w14:paraId="46BFB2EF" w14:textId="77777777" w:rsidR="0084378B" w:rsidRPr="00C9575C" w:rsidRDefault="0084378B">
      <w:pPr>
        <w:widowControl w:val="0"/>
        <w:tabs>
          <w:tab w:val="left" w:pos="567"/>
        </w:tabs>
        <w:jc w:val="both"/>
        <w:rPr>
          <w:b/>
          <w:szCs w:val="22"/>
          <w:lang w:val="it-IT"/>
        </w:rPr>
      </w:pPr>
    </w:p>
    <w:p w14:paraId="434053C4" w14:textId="77777777" w:rsidR="0084378B" w:rsidRPr="00C9575C" w:rsidRDefault="00D84D90">
      <w:pPr>
        <w:widowControl w:val="0"/>
        <w:tabs>
          <w:tab w:val="left" w:pos="567"/>
        </w:tabs>
        <w:jc w:val="both"/>
        <w:rPr>
          <w:szCs w:val="22"/>
          <w:lang w:val="it-IT"/>
        </w:rPr>
      </w:pPr>
      <w:r w:rsidRPr="00C9575C">
        <w:rPr>
          <w:szCs w:val="22"/>
          <w:lang w:val="it-IT"/>
        </w:rPr>
        <w:t>K</w:t>
      </w:r>
      <w:r w:rsidR="006A0712" w:rsidRPr="00C9575C">
        <w:rPr>
          <w:szCs w:val="22"/>
          <w:lang w:val="it-IT"/>
        </w:rPr>
        <w:t>ivexa</w:t>
      </w:r>
    </w:p>
    <w:p w14:paraId="15DA50FC" w14:textId="77777777" w:rsidR="00D84D90" w:rsidRPr="00C03451" w:rsidRDefault="00D84D90" w:rsidP="00D84D90">
      <w:pPr>
        <w:rPr>
          <w:szCs w:val="22"/>
          <w:shd w:val="clear" w:color="auto" w:fill="CCCCCC"/>
          <w:lang w:val="it-IT"/>
        </w:rPr>
      </w:pPr>
    </w:p>
    <w:p w14:paraId="736191A9" w14:textId="4001FC1D" w:rsidR="00D84D90" w:rsidRPr="00C03451" w:rsidRDefault="00D84D90" w:rsidP="00721816">
      <w:pPr>
        <w:pStyle w:val="ListParagraph"/>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i/>
          <w:lang w:val="it-IT"/>
        </w:rPr>
      </w:pPr>
      <w:r w:rsidRPr="00C03451">
        <w:rPr>
          <w:rFonts w:ascii="Times New Roman" w:hAnsi="Times New Roman"/>
          <w:b/>
          <w:lang w:val="it-IT"/>
        </w:rPr>
        <w:t>IDENTIFICATIVO UNICO – CODICE A BARRE BIDIMENSIONALE</w:t>
      </w:r>
      <w:r w:rsidR="0092155C">
        <w:rPr>
          <w:rFonts w:ascii="Times New Roman" w:hAnsi="Times New Roman"/>
          <w:b/>
          <w:lang w:val="it-IT"/>
        </w:rPr>
        <w:fldChar w:fldCharType="begin"/>
      </w:r>
      <w:r w:rsidR="0092155C">
        <w:rPr>
          <w:rFonts w:ascii="Times New Roman" w:hAnsi="Times New Roman"/>
          <w:b/>
          <w:lang w:val="it-IT"/>
        </w:rPr>
        <w:instrText xml:space="preserve"> DOCVARIABLE VAULT_ND_caff24dd-1e30-4372-ab8e-b32e706bfbe8 \* MERGEFORMAT </w:instrText>
      </w:r>
      <w:r w:rsidR="0092155C">
        <w:rPr>
          <w:rFonts w:ascii="Times New Roman" w:hAnsi="Times New Roman"/>
          <w:b/>
          <w:lang w:val="it-IT"/>
        </w:rPr>
        <w:fldChar w:fldCharType="separate"/>
      </w:r>
      <w:r w:rsidR="0092155C">
        <w:rPr>
          <w:rFonts w:ascii="Times New Roman" w:hAnsi="Times New Roman"/>
          <w:b/>
          <w:lang w:val="it-IT"/>
        </w:rPr>
        <w:t xml:space="preserve"> </w:t>
      </w:r>
      <w:r w:rsidR="0092155C">
        <w:rPr>
          <w:rFonts w:ascii="Times New Roman" w:hAnsi="Times New Roman"/>
          <w:b/>
          <w:lang w:val="it-IT"/>
        </w:rPr>
        <w:fldChar w:fldCharType="end"/>
      </w:r>
    </w:p>
    <w:p w14:paraId="011DF07E" w14:textId="77777777" w:rsidR="00D84D90" w:rsidRPr="00C03451" w:rsidRDefault="00D84D90" w:rsidP="00D84D90">
      <w:pPr>
        <w:rPr>
          <w:lang w:val="it-IT"/>
        </w:rPr>
      </w:pPr>
    </w:p>
    <w:p w14:paraId="749FBB0E" w14:textId="77777777" w:rsidR="00D84D90" w:rsidRPr="00C03451" w:rsidRDefault="00D84D90" w:rsidP="00D84D90">
      <w:pPr>
        <w:rPr>
          <w:szCs w:val="22"/>
          <w:shd w:val="clear" w:color="auto" w:fill="CCCCCC"/>
          <w:lang w:val="it-IT"/>
        </w:rPr>
      </w:pPr>
      <w:r w:rsidRPr="00C03451">
        <w:rPr>
          <w:highlight w:val="lightGray"/>
          <w:lang w:val="it-IT"/>
        </w:rPr>
        <w:t>Codice a barre bidimensionale con identificativo unico incluso.</w:t>
      </w:r>
    </w:p>
    <w:p w14:paraId="2ED80B83" w14:textId="77777777" w:rsidR="00D84D90" w:rsidRPr="00C03451" w:rsidRDefault="00D84D90" w:rsidP="00D84D90">
      <w:pPr>
        <w:rPr>
          <w:szCs w:val="22"/>
          <w:shd w:val="clear" w:color="auto" w:fill="CCCCCC"/>
          <w:lang w:val="it-IT"/>
        </w:rPr>
      </w:pPr>
    </w:p>
    <w:p w14:paraId="313E7689" w14:textId="77777777" w:rsidR="00D84D90" w:rsidRPr="00C03451" w:rsidRDefault="00D84D90" w:rsidP="00D84D90">
      <w:pPr>
        <w:rPr>
          <w:lang w:val="it-IT"/>
        </w:rPr>
      </w:pPr>
    </w:p>
    <w:p w14:paraId="4456265C" w14:textId="466E54C9" w:rsidR="00D84D90" w:rsidRPr="00C03451" w:rsidRDefault="00D84D90" w:rsidP="00721816">
      <w:pPr>
        <w:pStyle w:val="ListParagraph"/>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i/>
          <w:lang w:val="it-IT"/>
        </w:rPr>
      </w:pPr>
      <w:r w:rsidRPr="00C03451">
        <w:rPr>
          <w:rFonts w:ascii="Times New Roman" w:hAnsi="Times New Roman"/>
          <w:b/>
          <w:lang w:val="it-IT"/>
        </w:rPr>
        <w:t>IDENTIFICATIVO UNICO - DATI LEGGIBILI</w:t>
      </w:r>
      <w:r w:rsidR="0092155C">
        <w:rPr>
          <w:rFonts w:ascii="Times New Roman" w:hAnsi="Times New Roman"/>
          <w:b/>
          <w:lang w:val="it-IT"/>
        </w:rPr>
        <w:fldChar w:fldCharType="begin"/>
      </w:r>
      <w:r w:rsidR="0092155C">
        <w:rPr>
          <w:rFonts w:ascii="Times New Roman" w:hAnsi="Times New Roman"/>
          <w:b/>
          <w:lang w:val="it-IT"/>
        </w:rPr>
        <w:instrText xml:space="preserve"> DOCVARIABLE VAULT_ND_e47da33e-ac53-4c16-a98a-f60a04635d2f \* MERGEFORMAT </w:instrText>
      </w:r>
      <w:r w:rsidR="0092155C">
        <w:rPr>
          <w:rFonts w:ascii="Times New Roman" w:hAnsi="Times New Roman"/>
          <w:b/>
          <w:lang w:val="it-IT"/>
        </w:rPr>
        <w:fldChar w:fldCharType="separate"/>
      </w:r>
      <w:r w:rsidR="0092155C">
        <w:rPr>
          <w:rFonts w:ascii="Times New Roman" w:hAnsi="Times New Roman"/>
          <w:b/>
          <w:lang w:val="it-IT"/>
        </w:rPr>
        <w:t xml:space="preserve"> </w:t>
      </w:r>
      <w:r w:rsidR="0092155C">
        <w:rPr>
          <w:rFonts w:ascii="Times New Roman" w:hAnsi="Times New Roman"/>
          <w:b/>
          <w:lang w:val="it-IT"/>
        </w:rPr>
        <w:fldChar w:fldCharType="end"/>
      </w:r>
    </w:p>
    <w:p w14:paraId="380A60ED" w14:textId="77777777" w:rsidR="00D84D90" w:rsidRPr="00C03451" w:rsidRDefault="00D84D90" w:rsidP="00D84D90">
      <w:pPr>
        <w:rPr>
          <w:lang w:val="it-IT"/>
        </w:rPr>
      </w:pPr>
    </w:p>
    <w:p w14:paraId="01354535" w14:textId="77777777" w:rsidR="00D84D90" w:rsidRPr="00C9575C" w:rsidRDefault="00D84D90" w:rsidP="00D84D90">
      <w:pPr>
        <w:rPr>
          <w:szCs w:val="22"/>
          <w:lang w:val="it-IT"/>
        </w:rPr>
      </w:pPr>
      <w:r w:rsidRPr="00C9575C">
        <w:rPr>
          <w:lang w:val="it-IT"/>
        </w:rPr>
        <w:t xml:space="preserve">PC: </w:t>
      </w:r>
    </w:p>
    <w:p w14:paraId="73ACC550" w14:textId="77777777" w:rsidR="00D84D90" w:rsidRPr="00C9575C" w:rsidRDefault="00D84D90" w:rsidP="00D84D90">
      <w:pPr>
        <w:rPr>
          <w:szCs w:val="22"/>
          <w:lang w:val="it-IT"/>
        </w:rPr>
      </w:pPr>
      <w:r w:rsidRPr="00C9575C">
        <w:rPr>
          <w:lang w:val="it-IT"/>
        </w:rPr>
        <w:t xml:space="preserve">SN: </w:t>
      </w:r>
    </w:p>
    <w:p w14:paraId="461A7DB5" w14:textId="77777777" w:rsidR="00D84D90" w:rsidRPr="00C03451" w:rsidRDefault="00D84D90" w:rsidP="00D84D90">
      <w:pPr>
        <w:rPr>
          <w:highlight w:val="lightGray"/>
          <w:lang w:val="it-IT"/>
        </w:rPr>
      </w:pPr>
      <w:r w:rsidRPr="00C03451">
        <w:rPr>
          <w:highlight w:val="lightGray"/>
          <w:lang w:val="it-IT"/>
        </w:rPr>
        <w:t xml:space="preserve">NN: </w:t>
      </w:r>
    </w:p>
    <w:p w14:paraId="01556080" w14:textId="77777777" w:rsidR="00D84D90" w:rsidRPr="00C9575C" w:rsidRDefault="00D84D90" w:rsidP="00D84D90">
      <w:pPr>
        <w:rPr>
          <w:lang w:val="it-IT"/>
        </w:rPr>
      </w:pPr>
    </w:p>
    <w:p w14:paraId="4363B683" w14:textId="77777777" w:rsidR="00D84D90" w:rsidRPr="00C9575C" w:rsidRDefault="00D84D90" w:rsidP="00D84D90">
      <w:pPr>
        <w:rPr>
          <w:lang w:val="it-IT"/>
        </w:rPr>
      </w:pPr>
    </w:p>
    <w:p w14:paraId="635D9947" w14:textId="77777777" w:rsidR="00D84D90" w:rsidRPr="00C9575C" w:rsidRDefault="00D84D90">
      <w:pPr>
        <w:widowControl w:val="0"/>
        <w:tabs>
          <w:tab w:val="left" w:pos="567"/>
        </w:tabs>
        <w:jc w:val="both"/>
        <w:rPr>
          <w:szCs w:val="22"/>
          <w:lang w:val="it-IT"/>
        </w:rPr>
      </w:pPr>
    </w:p>
    <w:p w14:paraId="18CE2E5C" w14:textId="77777777" w:rsidR="0084378B" w:rsidRPr="00C9575C" w:rsidRDefault="0084378B">
      <w:pPr>
        <w:widowControl w:val="0"/>
        <w:suppressAutoHyphens/>
        <w:rPr>
          <w:b/>
          <w:szCs w:val="22"/>
          <w:lang w:val="it-IT"/>
        </w:rPr>
      </w:pPr>
      <w:r w:rsidRPr="00C9575C">
        <w:rPr>
          <w:b/>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33C7F97C" w14:textId="77777777">
        <w:trPr>
          <w:trHeight w:val="858"/>
        </w:trPr>
        <w:tc>
          <w:tcPr>
            <w:tcW w:w="9298" w:type="dxa"/>
            <w:tcBorders>
              <w:bottom w:val="single" w:sz="4" w:space="0" w:color="auto"/>
            </w:tcBorders>
          </w:tcPr>
          <w:p w14:paraId="38D532AC" w14:textId="77777777" w:rsidR="0084378B" w:rsidRPr="00C9575C" w:rsidRDefault="0084378B">
            <w:pPr>
              <w:widowControl w:val="0"/>
              <w:shd w:val="clear" w:color="auto" w:fill="FFFFFF"/>
              <w:suppressAutoHyphens/>
              <w:rPr>
                <w:b/>
                <w:szCs w:val="22"/>
                <w:lang w:val="it-IT"/>
              </w:rPr>
            </w:pPr>
            <w:r w:rsidRPr="00C9575C">
              <w:rPr>
                <w:b/>
                <w:szCs w:val="22"/>
                <w:lang w:val="it-IT"/>
              </w:rPr>
              <w:lastRenderedPageBreak/>
              <w:t xml:space="preserve">INFORMAZIONI DA APPORRE SUL CONFEZIONAMENTO ESTERNO </w:t>
            </w:r>
          </w:p>
          <w:p w14:paraId="6605D39D" w14:textId="77777777" w:rsidR="0084378B" w:rsidRPr="00C9575C" w:rsidRDefault="0084378B">
            <w:pPr>
              <w:widowControl w:val="0"/>
              <w:shd w:val="clear" w:color="auto" w:fill="FFFFFF"/>
              <w:suppressAutoHyphens/>
              <w:rPr>
                <w:b/>
                <w:szCs w:val="22"/>
                <w:u w:val="single"/>
                <w:lang w:val="it-IT"/>
              </w:rPr>
            </w:pPr>
          </w:p>
          <w:p w14:paraId="089413CB" w14:textId="1F766F1A" w:rsidR="0084378B" w:rsidRPr="00C9575C" w:rsidRDefault="00AC107C">
            <w:pPr>
              <w:pStyle w:val="Heading9"/>
              <w:keepNext w:val="0"/>
              <w:widowControl w:val="0"/>
              <w:rPr>
                <w:color w:val="000000"/>
                <w:szCs w:val="22"/>
              </w:rPr>
            </w:pPr>
            <w:r>
              <w:rPr>
                <w:rFonts w:ascii="ZWAdobeF" w:hAnsi="ZWAdobeF" w:cs="ZWAdobeF"/>
                <w:b w:val="0"/>
                <w:sz w:val="2"/>
                <w:szCs w:val="2"/>
              </w:rPr>
              <w:t>1B</w:t>
            </w:r>
            <w:r w:rsidR="00B512B4" w:rsidRPr="00C9575C">
              <w:rPr>
                <w:color w:val="000000"/>
                <w:szCs w:val="22"/>
              </w:rPr>
              <w:t xml:space="preserve">Etichetta esterna per confezione da 90 (3 confezioni da 30 compresse rivestite con film) (con Blue Box) avvolta in un foglio di plastica trasparente </w:t>
            </w:r>
            <w:r w:rsidR="0092155C">
              <w:rPr>
                <w:color w:val="000000"/>
                <w:szCs w:val="22"/>
              </w:rPr>
              <w:fldChar w:fldCharType="begin"/>
            </w:r>
            <w:r w:rsidR="0092155C">
              <w:rPr>
                <w:color w:val="000000"/>
                <w:szCs w:val="22"/>
              </w:rPr>
              <w:instrText xml:space="preserve"> DOCVARIABLE vault_nd_b42c968d-e390-4366-a576-745c23435757 \* MERGEFORMAT </w:instrText>
            </w:r>
            <w:r w:rsidR="0092155C">
              <w:rPr>
                <w:color w:val="000000"/>
                <w:szCs w:val="22"/>
              </w:rPr>
              <w:fldChar w:fldCharType="separate"/>
            </w:r>
            <w:r w:rsidR="0092155C">
              <w:rPr>
                <w:color w:val="000000"/>
                <w:szCs w:val="22"/>
              </w:rPr>
              <w:t xml:space="preserve"> </w:t>
            </w:r>
            <w:r w:rsidR="0092155C">
              <w:rPr>
                <w:color w:val="000000"/>
                <w:szCs w:val="22"/>
              </w:rPr>
              <w:fldChar w:fldCharType="end"/>
            </w:r>
          </w:p>
        </w:tc>
      </w:tr>
    </w:tbl>
    <w:p w14:paraId="19BAE05E" w14:textId="77777777" w:rsidR="0084378B" w:rsidRPr="00C9575C" w:rsidRDefault="0084378B">
      <w:pPr>
        <w:widowControl w:val="0"/>
        <w:tabs>
          <w:tab w:val="left" w:pos="567"/>
        </w:tabs>
        <w:rPr>
          <w:szCs w:val="22"/>
          <w:lang w:val="it-IT"/>
        </w:rPr>
      </w:pPr>
    </w:p>
    <w:p w14:paraId="313E3337" w14:textId="77777777" w:rsidR="0084378B" w:rsidRPr="00C9575C" w:rsidRDefault="0084378B">
      <w:pPr>
        <w:widowControl w:val="0"/>
        <w:tabs>
          <w:tab w:val="left"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35F34D81" w14:textId="77777777">
        <w:tc>
          <w:tcPr>
            <w:tcW w:w="9298" w:type="dxa"/>
          </w:tcPr>
          <w:p w14:paraId="3A3FA03E" w14:textId="77777777" w:rsidR="0084378B" w:rsidRPr="00C9575C" w:rsidRDefault="0084378B">
            <w:pPr>
              <w:widowControl w:val="0"/>
              <w:suppressAutoHyphens/>
              <w:ind w:left="567" w:hanging="567"/>
              <w:rPr>
                <w:b/>
                <w:szCs w:val="22"/>
                <w:lang w:val="it-IT"/>
              </w:rPr>
            </w:pPr>
            <w:r w:rsidRPr="00C9575C">
              <w:rPr>
                <w:b/>
                <w:szCs w:val="22"/>
                <w:lang w:val="it-IT"/>
              </w:rPr>
              <w:t>1.</w:t>
            </w:r>
            <w:r w:rsidRPr="00C9575C">
              <w:rPr>
                <w:b/>
                <w:szCs w:val="22"/>
                <w:lang w:val="it-IT"/>
              </w:rPr>
              <w:tab/>
              <w:t>DENOMINAZIONE DEL MEDICINALE</w:t>
            </w:r>
          </w:p>
        </w:tc>
      </w:tr>
    </w:tbl>
    <w:p w14:paraId="51F125AE" w14:textId="77777777" w:rsidR="0084378B" w:rsidRPr="00C9575C" w:rsidRDefault="0084378B">
      <w:pPr>
        <w:widowControl w:val="0"/>
        <w:suppressAutoHyphens/>
        <w:rPr>
          <w:szCs w:val="22"/>
          <w:lang w:val="it-IT"/>
        </w:rPr>
      </w:pPr>
    </w:p>
    <w:p w14:paraId="2B3F598E" w14:textId="77777777" w:rsidR="0084378B" w:rsidRPr="00C9575C" w:rsidRDefault="0084378B">
      <w:pPr>
        <w:widowControl w:val="0"/>
        <w:suppressAutoHyphens/>
        <w:rPr>
          <w:szCs w:val="22"/>
          <w:lang w:val="it-IT"/>
        </w:rPr>
      </w:pPr>
      <w:r w:rsidRPr="00C9575C">
        <w:rPr>
          <w:szCs w:val="22"/>
          <w:lang w:val="it-IT"/>
        </w:rPr>
        <w:t xml:space="preserve">Kivexa 600 mg/300 mg compresse rivestite con film </w:t>
      </w:r>
    </w:p>
    <w:p w14:paraId="385B7228" w14:textId="77777777" w:rsidR="0084378B" w:rsidRPr="00C9575C" w:rsidRDefault="0084378B">
      <w:pPr>
        <w:widowControl w:val="0"/>
        <w:suppressAutoHyphens/>
        <w:rPr>
          <w:szCs w:val="22"/>
          <w:lang w:val="it-IT"/>
        </w:rPr>
      </w:pPr>
      <w:r w:rsidRPr="00C9575C">
        <w:rPr>
          <w:szCs w:val="22"/>
          <w:lang w:val="it-IT"/>
        </w:rPr>
        <w:t>abacavir/lamivudina</w:t>
      </w:r>
    </w:p>
    <w:p w14:paraId="27372CA5" w14:textId="77777777" w:rsidR="0084378B" w:rsidRPr="00C9575C" w:rsidRDefault="0084378B">
      <w:pPr>
        <w:widowControl w:val="0"/>
        <w:suppressAutoHyphens/>
        <w:rPr>
          <w:szCs w:val="22"/>
          <w:lang w:val="it-IT"/>
        </w:rPr>
      </w:pPr>
    </w:p>
    <w:p w14:paraId="0AB86DB1"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31F5E4A8" w14:textId="77777777">
        <w:tc>
          <w:tcPr>
            <w:tcW w:w="9298" w:type="dxa"/>
          </w:tcPr>
          <w:p w14:paraId="6054D82B" w14:textId="77777777" w:rsidR="0084378B" w:rsidRPr="00C9575C" w:rsidRDefault="0084378B">
            <w:pPr>
              <w:widowControl w:val="0"/>
              <w:suppressAutoHyphens/>
              <w:ind w:left="567" w:hanging="567"/>
              <w:rPr>
                <w:szCs w:val="22"/>
                <w:lang w:val="it-IT"/>
              </w:rPr>
            </w:pPr>
            <w:r w:rsidRPr="00C9575C">
              <w:rPr>
                <w:b/>
                <w:szCs w:val="22"/>
                <w:lang w:val="it-IT"/>
              </w:rPr>
              <w:t>2.</w:t>
            </w:r>
            <w:r w:rsidRPr="00C9575C">
              <w:rPr>
                <w:b/>
                <w:szCs w:val="22"/>
                <w:lang w:val="it-IT"/>
              </w:rPr>
              <w:tab/>
              <w:t>COMPOSIZIONE QUALITATIVA E QUANTITATIVA</w:t>
            </w:r>
          </w:p>
        </w:tc>
      </w:tr>
    </w:tbl>
    <w:p w14:paraId="4151BE3F" w14:textId="77777777" w:rsidR="0084378B" w:rsidRPr="00C9575C" w:rsidRDefault="0084378B">
      <w:pPr>
        <w:widowControl w:val="0"/>
        <w:tabs>
          <w:tab w:val="left" w:pos="567"/>
        </w:tabs>
        <w:rPr>
          <w:szCs w:val="22"/>
          <w:lang w:val="it-IT"/>
        </w:rPr>
      </w:pPr>
    </w:p>
    <w:p w14:paraId="77FC6015" w14:textId="14046040" w:rsidR="0084378B" w:rsidRPr="00C9575C" w:rsidRDefault="004D6F25" w:rsidP="004D6F25">
      <w:pPr>
        <w:pStyle w:val="Heading5"/>
        <w:keepNext w:val="0"/>
        <w:widowControl w:val="0"/>
        <w:rPr>
          <w:b w:val="0"/>
          <w:szCs w:val="22"/>
        </w:rPr>
      </w:pPr>
      <w:r w:rsidRPr="00C9575C">
        <w:rPr>
          <w:b w:val="0"/>
          <w:szCs w:val="22"/>
        </w:rPr>
        <w:t xml:space="preserve">Ogni </w:t>
      </w:r>
      <w:r w:rsidR="0084378B" w:rsidRPr="00C9575C">
        <w:rPr>
          <w:b w:val="0"/>
          <w:szCs w:val="22"/>
        </w:rPr>
        <w:t>compressa rivestita con film contiene</w:t>
      </w:r>
      <w:r w:rsidRPr="00C9575C">
        <w:rPr>
          <w:b w:val="0"/>
          <w:szCs w:val="22"/>
        </w:rPr>
        <w:t xml:space="preserve"> </w:t>
      </w:r>
      <w:r w:rsidR="009B4066" w:rsidRPr="00C9575C">
        <w:rPr>
          <w:b w:val="0"/>
        </w:rPr>
        <w:t>600 </w:t>
      </w:r>
      <w:r w:rsidR="0084378B" w:rsidRPr="00C9575C">
        <w:rPr>
          <w:b w:val="0"/>
        </w:rPr>
        <w:t>mg</w:t>
      </w:r>
      <w:r w:rsidR="0084378B" w:rsidRPr="00C9575C">
        <w:rPr>
          <w:b w:val="0"/>
          <w:szCs w:val="22"/>
        </w:rPr>
        <w:t xml:space="preserve"> </w:t>
      </w:r>
      <w:r w:rsidRPr="00C9575C">
        <w:rPr>
          <w:b w:val="0"/>
          <w:szCs w:val="22"/>
        </w:rPr>
        <w:t xml:space="preserve">di abacavir </w:t>
      </w:r>
      <w:r w:rsidR="0084378B" w:rsidRPr="00C9575C">
        <w:rPr>
          <w:b w:val="0"/>
          <w:szCs w:val="22"/>
        </w:rPr>
        <w:t>(come solfato)</w:t>
      </w:r>
      <w:r w:rsidR="00B512B4" w:rsidRPr="00C9575C">
        <w:rPr>
          <w:b w:val="0"/>
          <w:szCs w:val="22"/>
        </w:rPr>
        <w:t xml:space="preserve"> e</w:t>
      </w:r>
      <w:r w:rsidR="007B24D8" w:rsidRPr="00C9575C">
        <w:rPr>
          <w:b w:val="0"/>
          <w:szCs w:val="22"/>
        </w:rPr>
        <w:t xml:space="preserve"> </w:t>
      </w:r>
      <w:r w:rsidR="009B4066" w:rsidRPr="00C9575C">
        <w:rPr>
          <w:b w:val="0"/>
          <w:szCs w:val="22"/>
        </w:rPr>
        <w:t>300 </w:t>
      </w:r>
      <w:r w:rsidR="0084378B" w:rsidRPr="00C9575C">
        <w:rPr>
          <w:b w:val="0"/>
          <w:szCs w:val="22"/>
        </w:rPr>
        <w:t>mg</w:t>
      </w:r>
      <w:r w:rsidRPr="00C9575C">
        <w:rPr>
          <w:b w:val="0"/>
          <w:szCs w:val="22"/>
        </w:rPr>
        <w:t xml:space="preserve"> di lamivudina</w:t>
      </w:r>
      <w:r w:rsidR="0092155C">
        <w:rPr>
          <w:b w:val="0"/>
          <w:szCs w:val="22"/>
        </w:rPr>
        <w:fldChar w:fldCharType="begin"/>
      </w:r>
      <w:r w:rsidR="0092155C">
        <w:rPr>
          <w:b w:val="0"/>
          <w:szCs w:val="22"/>
        </w:rPr>
        <w:instrText xml:space="preserve"> DOCVARIABLE vault_nd_53256c6f-0004-41ab-a412-7e57383ce577 \* MERGEFORMAT </w:instrText>
      </w:r>
      <w:r w:rsidR="0092155C">
        <w:rPr>
          <w:b w:val="0"/>
          <w:szCs w:val="22"/>
        </w:rPr>
        <w:fldChar w:fldCharType="separate"/>
      </w:r>
      <w:r w:rsidR="0092155C">
        <w:rPr>
          <w:b w:val="0"/>
          <w:szCs w:val="22"/>
        </w:rPr>
        <w:t xml:space="preserve"> </w:t>
      </w:r>
      <w:r w:rsidR="0092155C">
        <w:rPr>
          <w:b w:val="0"/>
          <w:szCs w:val="22"/>
        </w:rPr>
        <w:fldChar w:fldCharType="end"/>
      </w:r>
    </w:p>
    <w:p w14:paraId="27FF06BB" w14:textId="77777777" w:rsidR="0084378B" w:rsidRPr="00C9575C" w:rsidRDefault="0084378B">
      <w:pPr>
        <w:widowControl w:val="0"/>
        <w:suppressAutoHyphens/>
        <w:rPr>
          <w:szCs w:val="22"/>
          <w:lang w:val="it-IT"/>
        </w:rPr>
      </w:pPr>
    </w:p>
    <w:p w14:paraId="7DB20C92"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3B1FED3C" w14:textId="77777777">
        <w:tc>
          <w:tcPr>
            <w:tcW w:w="9298" w:type="dxa"/>
          </w:tcPr>
          <w:p w14:paraId="329938AC" w14:textId="77777777" w:rsidR="0084378B" w:rsidRPr="00C9575C" w:rsidRDefault="0084378B">
            <w:pPr>
              <w:widowControl w:val="0"/>
              <w:suppressAutoHyphens/>
              <w:ind w:left="567" w:hanging="567"/>
              <w:rPr>
                <w:b/>
                <w:szCs w:val="22"/>
                <w:lang w:val="it-IT"/>
              </w:rPr>
            </w:pPr>
            <w:r w:rsidRPr="00C9575C">
              <w:rPr>
                <w:b/>
                <w:szCs w:val="22"/>
                <w:lang w:val="it-IT"/>
              </w:rPr>
              <w:t>3.</w:t>
            </w:r>
            <w:r w:rsidRPr="00C9575C">
              <w:rPr>
                <w:b/>
                <w:szCs w:val="22"/>
                <w:lang w:val="it-IT"/>
              </w:rPr>
              <w:tab/>
              <w:t>ELENCO DEGLI ECCIPIENTI</w:t>
            </w:r>
          </w:p>
        </w:tc>
      </w:tr>
    </w:tbl>
    <w:p w14:paraId="52DCECF7" w14:textId="77777777" w:rsidR="0084378B" w:rsidRPr="00C9575C" w:rsidRDefault="0084378B">
      <w:pPr>
        <w:widowControl w:val="0"/>
        <w:suppressAutoHyphens/>
        <w:rPr>
          <w:szCs w:val="22"/>
          <w:lang w:val="it-IT"/>
        </w:rPr>
      </w:pPr>
    </w:p>
    <w:p w14:paraId="007B953A" w14:textId="77777777" w:rsidR="00B512B4" w:rsidRPr="00C9575C" w:rsidRDefault="00B512B4" w:rsidP="00B512B4">
      <w:pPr>
        <w:widowControl w:val="0"/>
        <w:suppressAutoHyphens/>
        <w:rPr>
          <w:szCs w:val="22"/>
          <w:lang w:val="it-IT"/>
        </w:rPr>
      </w:pPr>
      <w:r w:rsidRPr="00C9575C">
        <w:rPr>
          <w:szCs w:val="22"/>
          <w:lang w:val="it-IT"/>
        </w:rPr>
        <w:t>Contiene il colorante giallo tramonto (E110), vedere foglio illustrativo per ulteriori informazioni</w:t>
      </w:r>
    </w:p>
    <w:p w14:paraId="20188F37"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149D2B32" w14:textId="77777777">
        <w:tc>
          <w:tcPr>
            <w:tcW w:w="9298" w:type="dxa"/>
          </w:tcPr>
          <w:p w14:paraId="693AECD9" w14:textId="77777777" w:rsidR="0084378B" w:rsidRPr="00C9575C" w:rsidRDefault="0084378B">
            <w:pPr>
              <w:widowControl w:val="0"/>
              <w:suppressAutoHyphens/>
              <w:ind w:left="567" w:hanging="567"/>
              <w:rPr>
                <w:b/>
                <w:szCs w:val="22"/>
                <w:lang w:val="it-IT"/>
              </w:rPr>
            </w:pPr>
            <w:r w:rsidRPr="00C9575C">
              <w:rPr>
                <w:b/>
                <w:szCs w:val="22"/>
                <w:lang w:val="it-IT"/>
              </w:rPr>
              <w:t>4.</w:t>
            </w:r>
            <w:r w:rsidRPr="00C9575C">
              <w:rPr>
                <w:b/>
                <w:szCs w:val="22"/>
                <w:lang w:val="it-IT"/>
              </w:rPr>
              <w:tab/>
              <w:t>FORMA FARMACEUTICA E CONTENUTO</w:t>
            </w:r>
          </w:p>
        </w:tc>
      </w:tr>
    </w:tbl>
    <w:p w14:paraId="6C8EDD9A" w14:textId="77777777" w:rsidR="0084378B" w:rsidRPr="00C9575C" w:rsidRDefault="0084378B">
      <w:pPr>
        <w:widowControl w:val="0"/>
        <w:suppressAutoHyphens/>
        <w:rPr>
          <w:szCs w:val="22"/>
          <w:lang w:val="it-IT"/>
        </w:rPr>
      </w:pPr>
    </w:p>
    <w:p w14:paraId="3FD83EE0" w14:textId="77777777" w:rsidR="0084378B" w:rsidRPr="00C9575C" w:rsidRDefault="003055C4">
      <w:pPr>
        <w:widowControl w:val="0"/>
        <w:tabs>
          <w:tab w:val="left" w:pos="567"/>
        </w:tabs>
        <w:rPr>
          <w:szCs w:val="22"/>
          <w:lang w:val="it-IT"/>
        </w:rPr>
      </w:pPr>
      <w:r w:rsidRPr="00C9575C">
        <w:rPr>
          <w:szCs w:val="22"/>
          <w:lang w:val="it-IT"/>
        </w:rPr>
        <w:t xml:space="preserve">Confezione multipla </w:t>
      </w:r>
      <w:r w:rsidR="004D6F25" w:rsidRPr="00C9575C">
        <w:rPr>
          <w:szCs w:val="22"/>
          <w:lang w:val="it-IT"/>
        </w:rPr>
        <w:t>contenente 90 (</w:t>
      </w:r>
      <w:r w:rsidR="0084378B" w:rsidRPr="00C9575C">
        <w:rPr>
          <w:szCs w:val="22"/>
          <w:lang w:val="it-IT"/>
        </w:rPr>
        <w:t xml:space="preserve">3 confezioni </w:t>
      </w:r>
      <w:r w:rsidR="004D6F25" w:rsidRPr="00C9575C">
        <w:rPr>
          <w:szCs w:val="22"/>
          <w:lang w:val="it-IT"/>
        </w:rPr>
        <w:t>da</w:t>
      </w:r>
      <w:r w:rsidRPr="00C9575C">
        <w:rPr>
          <w:szCs w:val="22"/>
          <w:lang w:val="it-IT"/>
        </w:rPr>
        <w:t xml:space="preserve"> </w:t>
      </w:r>
      <w:r w:rsidR="0084378B" w:rsidRPr="00C9575C">
        <w:rPr>
          <w:szCs w:val="22"/>
          <w:lang w:val="it-IT"/>
        </w:rPr>
        <w:t>30</w:t>
      </w:r>
      <w:r w:rsidR="004D6F25" w:rsidRPr="00C9575C">
        <w:rPr>
          <w:szCs w:val="22"/>
          <w:lang w:val="it-IT"/>
        </w:rPr>
        <w:t>)</w:t>
      </w:r>
      <w:r w:rsidR="0084378B" w:rsidRPr="00C9575C">
        <w:rPr>
          <w:szCs w:val="22"/>
          <w:lang w:val="it-IT"/>
        </w:rPr>
        <w:t xml:space="preserve"> compresse rivestite con film</w:t>
      </w:r>
    </w:p>
    <w:p w14:paraId="65F100CC" w14:textId="77777777" w:rsidR="0084378B" w:rsidRPr="00C9575C" w:rsidRDefault="0084378B">
      <w:pPr>
        <w:widowControl w:val="0"/>
        <w:suppressAutoHyphens/>
        <w:rPr>
          <w:szCs w:val="22"/>
          <w:lang w:val="it-IT"/>
        </w:rPr>
      </w:pPr>
    </w:p>
    <w:p w14:paraId="69B881C0" w14:textId="77777777" w:rsidR="0084378B" w:rsidRPr="00C9575C" w:rsidRDefault="0084378B">
      <w:pPr>
        <w:widowControl w:val="0"/>
        <w:suppressAutoHyphens/>
        <w:rPr>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447F27" w14:paraId="22AB13DA" w14:textId="77777777">
        <w:tc>
          <w:tcPr>
            <w:tcW w:w="9298" w:type="dxa"/>
          </w:tcPr>
          <w:p w14:paraId="66569550" w14:textId="77777777" w:rsidR="0084378B" w:rsidRPr="00C9575C" w:rsidRDefault="0084378B">
            <w:pPr>
              <w:widowControl w:val="0"/>
              <w:suppressAutoHyphens/>
              <w:ind w:left="567" w:hanging="567"/>
              <w:rPr>
                <w:szCs w:val="22"/>
                <w:lang w:val="it-IT"/>
              </w:rPr>
            </w:pPr>
            <w:r w:rsidRPr="00C9575C">
              <w:rPr>
                <w:b/>
                <w:szCs w:val="22"/>
                <w:lang w:val="it-IT"/>
              </w:rPr>
              <w:t>5.</w:t>
            </w:r>
            <w:r w:rsidRPr="00C9575C">
              <w:rPr>
                <w:b/>
                <w:szCs w:val="22"/>
                <w:lang w:val="it-IT"/>
              </w:rPr>
              <w:tab/>
              <w:t>MODO E VIA(E) DI SOMMINISTRAZIONE</w:t>
            </w:r>
          </w:p>
        </w:tc>
      </w:tr>
    </w:tbl>
    <w:p w14:paraId="18255A5B" w14:textId="77777777" w:rsidR="0084378B" w:rsidRPr="00C9575C" w:rsidRDefault="0084378B">
      <w:pPr>
        <w:widowControl w:val="0"/>
        <w:suppressAutoHyphens/>
        <w:rPr>
          <w:szCs w:val="22"/>
          <w:lang w:val="it-IT"/>
        </w:rPr>
      </w:pPr>
    </w:p>
    <w:p w14:paraId="6C080576" w14:textId="77777777" w:rsidR="00B512B4" w:rsidRPr="00C9575C" w:rsidRDefault="00B512B4">
      <w:pPr>
        <w:widowControl w:val="0"/>
        <w:tabs>
          <w:tab w:val="left" w:pos="567"/>
        </w:tabs>
        <w:rPr>
          <w:szCs w:val="22"/>
          <w:lang w:val="it-IT"/>
        </w:rPr>
      </w:pPr>
    </w:p>
    <w:p w14:paraId="0AC666BF" w14:textId="77777777" w:rsidR="00B512B4" w:rsidRPr="00C9575C" w:rsidRDefault="00B512B4" w:rsidP="00B512B4">
      <w:pPr>
        <w:widowControl w:val="0"/>
        <w:suppressAutoHyphens/>
        <w:rPr>
          <w:szCs w:val="22"/>
          <w:lang w:val="it-IT"/>
        </w:rPr>
      </w:pPr>
      <w:r w:rsidRPr="00C9575C">
        <w:rPr>
          <w:szCs w:val="22"/>
          <w:lang w:val="it-IT"/>
        </w:rPr>
        <w:t>Leggere il foglio illustrativo prima dell’uso</w:t>
      </w:r>
    </w:p>
    <w:p w14:paraId="78606FFF" w14:textId="77777777" w:rsidR="003055C4" w:rsidRPr="00C9575C" w:rsidRDefault="003055C4" w:rsidP="003055C4">
      <w:pPr>
        <w:widowControl w:val="0"/>
        <w:tabs>
          <w:tab w:val="left" w:pos="567"/>
        </w:tabs>
        <w:rPr>
          <w:szCs w:val="22"/>
          <w:lang w:val="it-IT"/>
        </w:rPr>
      </w:pPr>
    </w:p>
    <w:p w14:paraId="26B575D6" w14:textId="77777777" w:rsidR="003055C4" w:rsidRPr="00C9575C" w:rsidRDefault="003055C4" w:rsidP="003055C4">
      <w:pPr>
        <w:widowControl w:val="0"/>
        <w:tabs>
          <w:tab w:val="left" w:pos="567"/>
        </w:tabs>
        <w:rPr>
          <w:szCs w:val="22"/>
          <w:lang w:val="it-IT"/>
        </w:rPr>
      </w:pPr>
      <w:r w:rsidRPr="00C9575C">
        <w:rPr>
          <w:szCs w:val="22"/>
          <w:lang w:val="it-IT"/>
        </w:rPr>
        <w:t>Uso orale</w:t>
      </w:r>
    </w:p>
    <w:p w14:paraId="1A76514F" w14:textId="77777777" w:rsidR="0084378B" w:rsidRPr="00C9575C" w:rsidRDefault="0084378B">
      <w:pPr>
        <w:widowControl w:val="0"/>
        <w:suppressAutoHyphens/>
        <w:rPr>
          <w:szCs w:val="22"/>
          <w:lang w:val="it-IT"/>
        </w:rPr>
      </w:pPr>
    </w:p>
    <w:p w14:paraId="481A10E0"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99EB8B4" w14:textId="77777777">
        <w:tc>
          <w:tcPr>
            <w:tcW w:w="9298" w:type="dxa"/>
          </w:tcPr>
          <w:p w14:paraId="2B063EAA" w14:textId="77777777" w:rsidR="0084378B" w:rsidRPr="00C9575C" w:rsidRDefault="0084378B" w:rsidP="00922052">
            <w:pPr>
              <w:widowControl w:val="0"/>
              <w:suppressAutoHyphens/>
              <w:ind w:left="567" w:hanging="567"/>
              <w:rPr>
                <w:b/>
                <w:szCs w:val="22"/>
                <w:lang w:val="it-IT"/>
              </w:rPr>
            </w:pPr>
            <w:r w:rsidRPr="00C9575C">
              <w:rPr>
                <w:b/>
                <w:szCs w:val="22"/>
                <w:lang w:val="it-IT"/>
              </w:rPr>
              <w:t>6</w:t>
            </w:r>
            <w:r w:rsidRPr="00C9575C">
              <w:rPr>
                <w:b/>
                <w:szCs w:val="22"/>
                <w:lang w:val="it-IT"/>
              </w:rPr>
              <w:tab/>
              <w:t>AV</w:t>
            </w:r>
            <w:smartTag w:uri="schemas-GSKSiteLocations-com/fourthcoffee" w:element="flavor">
              <w:r w:rsidRPr="00C9575C">
                <w:rPr>
                  <w:b/>
                  <w:szCs w:val="22"/>
                  <w:lang w:val="it-IT"/>
                </w:rPr>
                <w:t>VER</w:t>
              </w:r>
            </w:smartTag>
            <w:r w:rsidRPr="00C9575C">
              <w:rPr>
                <w:b/>
                <w:szCs w:val="22"/>
                <w:lang w:val="it-IT"/>
              </w:rPr>
              <w:t xml:space="preserve">TENZA PARTICOLARE CHE PRESCRIVA DI TENERE IL MEDICINALE FUORI DALLA </w:t>
            </w:r>
            <w:r w:rsidR="00922052" w:rsidRPr="00C9575C">
              <w:rPr>
                <w:b/>
                <w:szCs w:val="22"/>
                <w:lang w:val="it-IT"/>
              </w:rPr>
              <w:t xml:space="preserve">VISTA </w:t>
            </w:r>
            <w:r w:rsidRPr="00C9575C">
              <w:rPr>
                <w:b/>
                <w:szCs w:val="22"/>
                <w:lang w:val="it-IT"/>
              </w:rPr>
              <w:t xml:space="preserve">E DALLA </w:t>
            </w:r>
            <w:r w:rsidR="00922052" w:rsidRPr="00C9575C">
              <w:rPr>
                <w:b/>
                <w:szCs w:val="22"/>
                <w:lang w:val="it-IT"/>
              </w:rPr>
              <w:t xml:space="preserve">PORTATA </w:t>
            </w:r>
            <w:r w:rsidRPr="00C9575C">
              <w:rPr>
                <w:b/>
                <w:szCs w:val="22"/>
                <w:lang w:val="it-IT"/>
              </w:rPr>
              <w:t>DEI BAMBINI</w:t>
            </w:r>
          </w:p>
        </w:tc>
      </w:tr>
    </w:tbl>
    <w:p w14:paraId="4920AD07" w14:textId="77777777" w:rsidR="0084378B" w:rsidRPr="00C9575C" w:rsidRDefault="0084378B">
      <w:pPr>
        <w:widowControl w:val="0"/>
        <w:suppressAutoHyphens/>
        <w:rPr>
          <w:szCs w:val="22"/>
          <w:lang w:val="it-IT"/>
        </w:rPr>
      </w:pPr>
    </w:p>
    <w:p w14:paraId="059AC501" w14:textId="77777777" w:rsidR="0084378B" w:rsidRPr="00C9575C" w:rsidRDefault="0084378B">
      <w:pPr>
        <w:widowControl w:val="0"/>
        <w:suppressAutoHyphens/>
        <w:rPr>
          <w:szCs w:val="22"/>
          <w:lang w:val="it-IT"/>
        </w:rPr>
      </w:pPr>
      <w:r w:rsidRPr="00C9575C">
        <w:rPr>
          <w:szCs w:val="22"/>
          <w:lang w:val="it-IT"/>
        </w:rPr>
        <w:t xml:space="preserve">Tenere fuori dalla </w:t>
      </w:r>
      <w:r w:rsidR="00922052" w:rsidRPr="00C9575C">
        <w:rPr>
          <w:szCs w:val="22"/>
          <w:lang w:val="it-IT"/>
        </w:rPr>
        <w:t xml:space="preserve">vista </w:t>
      </w:r>
      <w:r w:rsidRPr="00C9575C">
        <w:rPr>
          <w:szCs w:val="22"/>
          <w:lang w:val="it-IT"/>
        </w:rPr>
        <w:t xml:space="preserve">e dalla </w:t>
      </w:r>
      <w:r w:rsidR="00922052" w:rsidRPr="00C9575C">
        <w:rPr>
          <w:szCs w:val="22"/>
          <w:lang w:val="it-IT"/>
        </w:rPr>
        <w:t xml:space="preserve">portata </w:t>
      </w:r>
      <w:r w:rsidRPr="00C9575C">
        <w:rPr>
          <w:szCs w:val="22"/>
          <w:lang w:val="it-IT"/>
        </w:rPr>
        <w:t>dei bambini</w:t>
      </w:r>
    </w:p>
    <w:p w14:paraId="1D847A94" w14:textId="77777777" w:rsidR="0084378B" w:rsidRPr="00C9575C" w:rsidRDefault="0084378B">
      <w:pPr>
        <w:widowControl w:val="0"/>
        <w:suppressAutoHyphens/>
        <w:rPr>
          <w:szCs w:val="22"/>
          <w:lang w:val="it-IT"/>
        </w:rPr>
      </w:pPr>
    </w:p>
    <w:p w14:paraId="7E5F309E"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350A1475" w14:textId="77777777">
        <w:tc>
          <w:tcPr>
            <w:tcW w:w="9298" w:type="dxa"/>
          </w:tcPr>
          <w:p w14:paraId="24D907B9" w14:textId="77777777" w:rsidR="0084378B" w:rsidRPr="00C9575C" w:rsidRDefault="0084378B">
            <w:pPr>
              <w:widowControl w:val="0"/>
              <w:suppressAutoHyphens/>
              <w:ind w:left="567" w:hanging="567"/>
              <w:rPr>
                <w:b/>
                <w:szCs w:val="22"/>
                <w:lang w:val="it-IT"/>
              </w:rPr>
            </w:pPr>
            <w:r w:rsidRPr="00C9575C">
              <w:rPr>
                <w:b/>
                <w:szCs w:val="22"/>
                <w:lang w:val="it-IT"/>
              </w:rPr>
              <w:t>7.</w:t>
            </w:r>
            <w:r w:rsidRPr="00C9575C">
              <w:rPr>
                <w:b/>
                <w:szCs w:val="22"/>
                <w:lang w:val="it-IT"/>
              </w:rPr>
              <w:tab/>
              <w:t>ALTRA(E) AV</w:t>
            </w:r>
            <w:smartTag w:uri="schemas-GSKSiteLocations-com/fourthcoffee" w:element="flavor">
              <w:r w:rsidRPr="00C9575C">
                <w:rPr>
                  <w:b/>
                  <w:szCs w:val="22"/>
                  <w:lang w:val="it-IT"/>
                </w:rPr>
                <w:t>VER</w:t>
              </w:r>
            </w:smartTag>
            <w:r w:rsidRPr="00C9575C">
              <w:rPr>
                <w:b/>
                <w:szCs w:val="22"/>
                <w:lang w:val="it-IT"/>
              </w:rPr>
              <w:t>TENZA(E) PARTICOLARE(I), SE NECESSARIO</w:t>
            </w:r>
          </w:p>
        </w:tc>
      </w:tr>
    </w:tbl>
    <w:p w14:paraId="5EBF9495" w14:textId="77777777" w:rsidR="0084378B" w:rsidRPr="00C9575C" w:rsidRDefault="0084378B">
      <w:pPr>
        <w:widowControl w:val="0"/>
        <w:suppressAutoHyphens/>
        <w:rPr>
          <w:szCs w:val="22"/>
          <w:lang w:val="it-IT"/>
        </w:rPr>
      </w:pPr>
    </w:p>
    <w:p w14:paraId="76B40E4A" w14:textId="77777777" w:rsidR="0084378B" w:rsidRPr="00C9575C" w:rsidRDefault="0084378B">
      <w:pPr>
        <w:widowControl w:val="0"/>
        <w:suppressAutoHyphens/>
        <w:rPr>
          <w:color w:val="000000"/>
          <w:szCs w:val="22"/>
          <w:lang w:val="it-IT"/>
        </w:rPr>
      </w:pPr>
    </w:p>
    <w:p w14:paraId="749517E1" w14:textId="77777777" w:rsidR="0084378B" w:rsidRPr="00C9575C" w:rsidRDefault="000E57BE">
      <w:pPr>
        <w:widowControl w:val="0"/>
        <w:rPr>
          <w:color w:val="000000"/>
          <w:szCs w:val="22"/>
          <w:lang w:val="it-IT"/>
        </w:rPr>
      </w:pPr>
      <w:r w:rsidRPr="00C9575C">
        <w:rPr>
          <w:color w:val="000000"/>
          <w:szCs w:val="22"/>
          <w:lang w:val="it-IT"/>
        </w:rPr>
        <w:t>ATTENZIONE</w:t>
      </w:r>
      <w:r w:rsidR="0084378B" w:rsidRPr="00C9575C">
        <w:rPr>
          <w:color w:val="000000"/>
          <w:szCs w:val="22"/>
          <w:lang w:val="it-IT"/>
        </w:rPr>
        <w:t>!</w:t>
      </w:r>
      <w:r w:rsidR="0084378B" w:rsidRPr="00C9575C">
        <w:rPr>
          <w:b/>
          <w:color w:val="000000"/>
          <w:szCs w:val="22"/>
          <w:lang w:val="it-IT"/>
        </w:rPr>
        <w:t xml:space="preserve"> </w:t>
      </w:r>
      <w:r w:rsidR="0084378B" w:rsidRPr="00C9575C">
        <w:rPr>
          <w:color w:val="000000"/>
          <w:szCs w:val="22"/>
          <w:lang w:val="it-IT"/>
        </w:rPr>
        <w:t>In caso di qualsiasi sintomo che indichi reazioni di ipersensibilità contattare il medico IMMEDIATAMENTE</w:t>
      </w:r>
    </w:p>
    <w:p w14:paraId="16C1FB44" w14:textId="77777777" w:rsidR="0084378B" w:rsidRPr="00C9575C" w:rsidRDefault="0084378B">
      <w:pPr>
        <w:widowControl w:val="0"/>
        <w:suppressAutoHyphens/>
        <w:rPr>
          <w:szCs w:val="22"/>
          <w:lang w:val="it-IT"/>
        </w:rPr>
      </w:pPr>
    </w:p>
    <w:p w14:paraId="2AD1222B"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B7A4C20" w14:textId="77777777">
        <w:tc>
          <w:tcPr>
            <w:tcW w:w="9298" w:type="dxa"/>
          </w:tcPr>
          <w:p w14:paraId="34188385" w14:textId="77777777" w:rsidR="0084378B" w:rsidRPr="00C9575C" w:rsidRDefault="0084378B">
            <w:pPr>
              <w:widowControl w:val="0"/>
              <w:suppressAutoHyphens/>
              <w:ind w:left="567" w:hanging="567"/>
              <w:rPr>
                <w:b/>
                <w:szCs w:val="22"/>
                <w:lang w:val="it-IT"/>
              </w:rPr>
            </w:pPr>
            <w:r w:rsidRPr="00C9575C">
              <w:rPr>
                <w:b/>
                <w:szCs w:val="22"/>
                <w:lang w:val="it-IT"/>
              </w:rPr>
              <w:t>8.</w:t>
            </w:r>
            <w:r w:rsidRPr="00C9575C">
              <w:rPr>
                <w:b/>
                <w:szCs w:val="22"/>
                <w:lang w:val="it-IT"/>
              </w:rPr>
              <w:tab/>
              <w:t>DATA DI SCADENZA</w:t>
            </w:r>
          </w:p>
        </w:tc>
      </w:tr>
    </w:tbl>
    <w:p w14:paraId="0DC7340E" w14:textId="77777777" w:rsidR="0084378B" w:rsidRPr="00C9575C" w:rsidRDefault="0084378B">
      <w:pPr>
        <w:widowControl w:val="0"/>
        <w:suppressAutoHyphens/>
        <w:rPr>
          <w:szCs w:val="22"/>
          <w:lang w:val="it-IT"/>
        </w:rPr>
      </w:pPr>
    </w:p>
    <w:p w14:paraId="2E24BB0E" w14:textId="77777777" w:rsidR="0084378B" w:rsidRPr="00C9575C" w:rsidRDefault="0084378B">
      <w:pPr>
        <w:widowControl w:val="0"/>
        <w:suppressAutoHyphens/>
        <w:rPr>
          <w:szCs w:val="22"/>
          <w:lang w:val="it-IT"/>
        </w:rPr>
      </w:pPr>
      <w:r w:rsidRPr="00C9575C">
        <w:rPr>
          <w:szCs w:val="22"/>
          <w:lang w:val="it-IT"/>
        </w:rPr>
        <w:t>Scad.</w:t>
      </w:r>
    </w:p>
    <w:p w14:paraId="5228C3E1" w14:textId="77777777" w:rsidR="0084378B" w:rsidRPr="00C9575C" w:rsidRDefault="0084378B">
      <w:pPr>
        <w:widowControl w:val="0"/>
        <w:suppressAutoHyphens/>
        <w:rPr>
          <w:szCs w:val="22"/>
          <w:lang w:val="it-IT"/>
        </w:rPr>
      </w:pPr>
    </w:p>
    <w:p w14:paraId="00EF66A2"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09482BED" w14:textId="77777777">
        <w:tc>
          <w:tcPr>
            <w:tcW w:w="9298" w:type="dxa"/>
          </w:tcPr>
          <w:p w14:paraId="7B410ACC" w14:textId="77777777" w:rsidR="0084378B" w:rsidRPr="00C9575C" w:rsidRDefault="0084378B">
            <w:pPr>
              <w:widowControl w:val="0"/>
              <w:suppressAutoHyphens/>
              <w:ind w:left="567" w:hanging="567"/>
              <w:rPr>
                <w:b/>
                <w:szCs w:val="22"/>
                <w:lang w:val="it-IT"/>
              </w:rPr>
            </w:pPr>
            <w:r w:rsidRPr="00C9575C">
              <w:rPr>
                <w:b/>
                <w:szCs w:val="22"/>
                <w:lang w:val="it-IT"/>
              </w:rPr>
              <w:t>9.</w:t>
            </w:r>
            <w:r w:rsidRPr="00C9575C">
              <w:rPr>
                <w:b/>
                <w:szCs w:val="22"/>
                <w:lang w:val="it-IT"/>
              </w:rPr>
              <w:tab/>
              <w:t>PRECAUZIONI PARTICOLARI PER LA CONSERVAZIONE</w:t>
            </w:r>
          </w:p>
        </w:tc>
      </w:tr>
    </w:tbl>
    <w:p w14:paraId="30C9CCD5" w14:textId="77777777" w:rsidR="0084378B" w:rsidRPr="00C9575C" w:rsidRDefault="0084378B">
      <w:pPr>
        <w:widowControl w:val="0"/>
        <w:tabs>
          <w:tab w:val="left" w:pos="567"/>
        </w:tabs>
        <w:rPr>
          <w:szCs w:val="22"/>
          <w:lang w:val="it-IT"/>
        </w:rPr>
      </w:pPr>
    </w:p>
    <w:p w14:paraId="48C3E7E3" w14:textId="77777777" w:rsidR="0084378B" w:rsidRPr="00C9575C" w:rsidRDefault="0084378B">
      <w:pPr>
        <w:widowControl w:val="0"/>
        <w:tabs>
          <w:tab w:val="left" w:pos="567"/>
        </w:tabs>
        <w:rPr>
          <w:szCs w:val="22"/>
          <w:lang w:val="it-IT"/>
        </w:rPr>
      </w:pPr>
      <w:r w:rsidRPr="00C9575C">
        <w:rPr>
          <w:szCs w:val="22"/>
          <w:lang w:val="it-IT"/>
        </w:rPr>
        <w:t xml:space="preserve">Conservare a temperatura non superiore ai </w:t>
      </w:r>
      <w:smartTag w:uri="urn:schemas-microsoft-com:office:smarttags" w:element="metricconverter">
        <w:smartTagPr>
          <w:attr w:name="ProductID" w:val="30ﾰC"/>
        </w:smartTagPr>
        <w:r w:rsidRPr="00C9575C">
          <w:rPr>
            <w:szCs w:val="22"/>
            <w:lang w:val="it-IT"/>
          </w:rPr>
          <w:t>30°C</w:t>
        </w:r>
      </w:smartTag>
    </w:p>
    <w:p w14:paraId="1EA3C782" w14:textId="77777777" w:rsidR="0084378B" w:rsidRPr="00C9575C" w:rsidRDefault="0084378B">
      <w:pPr>
        <w:widowControl w:val="0"/>
        <w:suppressAutoHyphens/>
        <w:rPr>
          <w:szCs w:val="22"/>
          <w:lang w:val="it-IT"/>
        </w:rPr>
      </w:pPr>
    </w:p>
    <w:p w14:paraId="0C298A1D"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8C79542" w14:textId="77777777">
        <w:tc>
          <w:tcPr>
            <w:tcW w:w="9298" w:type="dxa"/>
          </w:tcPr>
          <w:p w14:paraId="30A443BE" w14:textId="77777777" w:rsidR="0084378B" w:rsidRPr="00C9575C" w:rsidRDefault="0084378B">
            <w:pPr>
              <w:widowControl w:val="0"/>
              <w:suppressAutoHyphens/>
              <w:ind w:left="567" w:hanging="567"/>
              <w:rPr>
                <w:b/>
                <w:szCs w:val="22"/>
                <w:lang w:val="it-IT"/>
              </w:rPr>
            </w:pPr>
            <w:r w:rsidRPr="00C9575C">
              <w:rPr>
                <w:b/>
                <w:szCs w:val="22"/>
                <w:lang w:val="it-IT"/>
              </w:rPr>
              <w:lastRenderedPageBreak/>
              <w:t>10.</w:t>
            </w:r>
            <w:r w:rsidRPr="00C9575C">
              <w:rPr>
                <w:b/>
                <w:szCs w:val="22"/>
                <w:lang w:val="it-IT"/>
              </w:rPr>
              <w:tab/>
              <w:t>PRECAUZIONI PARTICOLARI PER LO SMALTIMENTO DEL MEDICINALE NON UTILIZZATO O DEI RIFIUTI DERIVATI DA TALE MEDICINALE, SE NECESSARIO</w:t>
            </w:r>
          </w:p>
        </w:tc>
      </w:tr>
    </w:tbl>
    <w:p w14:paraId="0BB5D886" w14:textId="77777777" w:rsidR="0084378B" w:rsidRPr="00C9575C" w:rsidRDefault="0084378B">
      <w:pPr>
        <w:widowControl w:val="0"/>
        <w:suppressAutoHyphens/>
        <w:rPr>
          <w:szCs w:val="22"/>
          <w:lang w:val="it-IT"/>
        </w:rPr>
      </w:pPr>
    </w:p>
    <w:p w14:paraId="5A405476"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04068CA7" w14:textId="77777777">
        <w:tc>
          <w:tcPr>
            <w:tcW w:w="9298" w:type="dxa"/>
          </w:tcPr>
          <w:p w14:paraId="70F50D27" w14:textId="77777777" w:rsidR="0084378B" w:rsidRPr="00C9575C" w:rsidRDefault="0084378B">
            <w:pPr>
              <w:widowControl w:val="0"/>
              <w:suppressAutoHyphens/>
              <w:ind w:left="567" w:hanging="567"/>
              <w:rPr>
                <w:b/>
                <w:szCs w:val="22"/>
                <w:lang w:val="it-IT"/>
              </w:rPr>
            </w:pPr>
            <w:r w:rsidRPr="00C9575C">
              <w:rPr>
                <w:b/>
                <w:szCs w:val="22"/>
                <w:lang w:val="it-IT"/>
              </w:rPr>
              <w:t>11.</w:t>
            </w:r>
            <w:r w:rsidRPr="00C9575C">
              <w:rPr>
                <w:b/>
                <w:szCs w:val="22"/>
                <w:lang w:val="it-IT"/>
              </w:rPr>
              <w:tab/>
              <w:t>NOME E INDIRIZZO DEL TITOLARE DELL'AUTORIZZAZIONE ALL’IMMISSIONE IN COMMERCIO</w:t>
            </w:r>
          </w:p>
        </w:tc>
      </w:tr>
    </w:tbl>
    <w:p w14:paraId="0A4EA356" w14:textId="77777777" w:rsidR="0084378B" w:rsidRPr="00C9575C" w:rsidRDefault="0084378B">
      <w:pPr>
        <w:widowControl w:val="0"/>
        <w:suppressAutoHyphens/>
        <w:rPr>
          <w:szCs w:val="22"/>
          <w:lang w:val="it-IT"/>
        </w:rPr>
      </w:pPr>
    </w:p>
    <w:p w14:paraId="05DCC45B" w14:textId="77777777" w:rsidR="006C04AA" w:rsidRPr="00C03451" w:rsidRDefault="006C04AA" w:rsidP="006C04AA">
      <w:pPr>
        <w:rPr>
          <w:szCs w:val="22"/>
          <w:lang w:val="it-IT"/>
        </w:rPr>
      </w:pPr>
      <w:r w:rsidRPr="00C03451">
        <w:rPr>
          <w:szCs w:val="22"/>
          <w:lang w:val="it-IT"/>
        </w:rPr>
        <w:t>ViiV Healthcare BV</w:t>
      </w:r>
    </w:p>
    <w:p w14:paraId="01658DAF" w14:textId="77777777" w:rsidR="009373EB" w:rsidRPr="00C03451" w:rsidRDefault="009373EB" w:rsidP="009373EB">
      <w:pPr>
        <w:rPr>
          <w:szCs w:val="22"/>
          <w:lang w:val="it-IT"/>
        </w:rPr>
      </w:pPr>
      <w:r w:rsidRPr="00C03451">
        <w:rPr>
          <w:szCs w:val="22"/>
          <w:lang w:val="it-IT"/>
        </w:rPr>
        <w:t>Van Asch van Wijckstraat 55H</w:t>
      </w:r>
    </w:p>
    <w:p w14:paraId="2FF93603" w14:textId="77777777" w:rsidR="0017227F" w:rsidRPr="00C03451" w:rsidRDefault="009373EB" w:rsidP="006C04AA">
      <w:pPr>
        <w:pStyle w:val="Header"/>
        <w:tabs>
          <w:tab w:val="clear" w:pos="4153"/>
          <w:tab w:val="clear" w:pos="8306"/>
        </w:tabs>
        <w:rPr>
          <w:szCs w:val="22"/>
          <w:lang w:val="it-IT"/>
        </w:rPr>
      </w:pPr>
      <w:r w:rsidRPr="00C03451">
        <w:rPr>
          <w:szCs w:val="22"/>
          <w:lang w:val="it-IT"/>
        </w:rPr>
        <w:t>3811 LP Amersfoort</w:t>
      </w:r>
    </w:p>
    <w:p w14:paraId="0699D6DA" w14:textId="77777777" w:rsidR="006C04AA" w:rsidRPr="00C03451" w:rsidRDefault="006C04AA" w:rsidP="006C04AA">
      <w:pPr>
        <w:pStyle w:val="Header"/>
        <w:tabs>
          <w:tab w:val="clear" w:pos="4153"/>
          <w:tab w:val="clear" w:pos="8306"/>
        </w:tabs>
        <w:rPr>
          <w:szCs w:val="22"/>
          <w:lang w:val="it-IT"/>
        </w:rPr>
      </w:pPr>
      <w:r w:rsidRPr="00C03451">
        <w:rPr>
          <w:szCs w:val="22"/>
          <w:lang w:val="it-IT"/>
        </w:rPr>
        <w:t>Olanda</w:t>
      </w:r>
    </w:p>
    <w:p w14:paraId="56D42C4B" w14:textId="77777777" w:rsidR="0084378B" w:rsidRPr="00C03451" w:rsidRDefault="0084378B">
      <w:pPr>
        <w:widowControl w:val="0"/>
        <w:suppressAutoHyphens/>
        <w:rPr>
          <w:szCs w:val="22"/>
          <w:lang w:val="it-IT"/>
        </w:rPr>
      </w:pPr>
    </w:p>
    <w:p w14:paraId="24B41932" w14:textId="77777777" w:rsidR="0084378B" w:rsidRPr="00C03451"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024ED2C" w14:textId="77777777">
        <w:tc>
          <w:tcPr>
            <w:tcW w:w="9298" w:type="dxa"/>
          </w:tcPr>
          <w:p w14:paraId="2C374A2A" w14:textId="77777777" w:rsidR="0084378B" w:rsidRPr="00C9575C" w:rsidRDefault="0084378B">
            <w:pPr>
              <w:widowControl w:val="0"/>
              <w:suppressAutoHyphens/>
              <w:ind w:left="567" w:hanging="567"/>
              <w:rPr>
                <w:b/>
                <w:szCs w:val="22"/>
                <w:lang w:val="it-IT"/>
              </w:rPr>
            </w:pPr>
            <w:r w:rsidRPr="00C9575C">
              <w:rPr>
                <w:b/>
                <w:szCs w:val="22"/>
                <w:lang w:val="it-IT"/>
              </w:rPr>
              <w:t>12.</w:t>
            </w:r>
            <w:r w:rsidRPr="00C9575C">
              <w:rPr>
                <w:b/>
                <w:szCs w:val="22"/>
                <w:lang w:val="it-IT"/>
              </w:rPr>
              <w:tab/>
              <w:t>NUMERO(I) DELL’AUTORIZZAZIONE (DELLE AUTORIZZAZIONI) ALL’IMMISSIONE IN COMMERCIO</w:t>
            </w:r>
          </w:p>
        </w:tc>
      </w:tr>
    </w:tbl>
    <w:p w14:paraId="03AB8881" w14:textId="77777777" w:rsidR="0084378B" w:rsidRPr="00C9575C" w:rsidRDefault="0084378B">
      <w:pPr>
        <w:widowControl w:val="0"/>
        <w:suppressAutoHyphens/>
        <w:rPr>
          <w:szCs w:val="22"/>
          <w:lang w:val="it-IT"/>
        </w:rPr>
      </w:pPr>
    </w:p>
    <w:p w14:paraId="66A07655" w14:textId="77777777" w:rsidR="0084378B" w:rsidRPr="00C9575C" w:rsidRDefault="0084378B">
      <w:pPr>
        <w:widowControl w:val="0"/>
        <w:tabs>
          <w:tab w:val="left" w:pos="567"/>
        </w:tabs>
        <w:rPr>
          <w:szCs w:val="22"/>
          <w:lang w:val="it-IT"/>
        </w:rPr>
      </w:pPr>
      <w:r w:rsidRPr="00C9575C">
        <w:rPr>
          <w:szCs w:val="22"/>
          <w:lang w:val="it-IT"/>
        </w:rPr>
        <w:t>EU/1/04/298/003</w:t>
      </w:r>
    </w:p>
    <w:p w14:paraId="34E880EF" w14:textId="77777777" w:rsidR="0084378B" w:rsidRPr="00C9575C" w:rsidRDefault="0084378B">
      <w:pPr>
        <w:widowControl w:val="0"/>
        <w:suppressAutoHyphens/>
        <w:rPr>
          <w:szCs w:val="22"/>
          <w:lang w:val="it-IT"/>
        </w:rPr>
      </w:pPr>
    </w:p>
    <w:p w14:paraId="56A7136F"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726543E" w14:textId="77777777">
        <w:tc>
          <w:tcPr>
            <w:tcW w:w="9298" w:type="dxa"/>
          </w:tcPr>
          <w:p w14:paraId="62A17585" w14:textId="77777777" w:rsidR="0084378B" w:rsidRPr="00C9575C" w:rsidRDefault="0084378B">
            <w:pPr>
              <w:widowControl w:val="0"/>
              <w:suppressAutoHyphens/>
              <w:ind w:left="567" w:hanging="567"/>
              <w:rPr>
                <w:b/>
                <w:szCs w:val="22"/>
                <w:lang w:val="it-IT"/>
              </w:rPr>
            </w:pPr>
            <w:r w:rsidRPr="00C9575C">
              <w:rPr>
                <w:b/>
                <w:szCs w:val="22"/>
                <w:lang w:val="it-IT"/>
              </w:rPr>
              <w:t>13.</w:t>
            </w:r>
            <w:r w:rsidRPr="00C9575C">
              <w:rPr>
                <w:b/>
                <w:szCs w:val="22"/>
                <w:lang w:val="it-IT"/>
              </w:rPr>
              <w:tab/>
              <w:t>NUMERO DI LOTTO</w:t>
            </w:r>
          </w:p>
        </w:tc>
      </w:tr>
    </w:tbl>
    <w:p w14:paraId="447AC210" w14:textId="77777777" w:rsidR="0084378B" w:rsidRPr="00C9575C" w:rsidRDefault="0084378B">
      <w:pPr>
        <w:widowControl w:val="0"/>
        <w:suppressAutoHyphens/>
        <w:rPr>
          <w:szCs w:val="22"/>
          <w:lang w:val="it-IT"/>
        </w:rPr>
      </w:pPr>
    </w:p>
    <w:p w14:paraId="3473BD19" w14:textId="77777777" w:rsidR="0084378B" w:rsidRPr="00C9575C" w:rsidRDefault="0084378B">
      <w:pPr>
        <w:widowControl w:val="0"/>
        <w:suppressAutoHyphens/>
        <w:rPr>
          <w:szCs w:val="22"/>
          <w:lang w:val="it-IT"/>
        </w:rPr>
      </w:pPr>
      <w:r w:rsidRPr="00C9575C">
        <w:rPr>
          <w:szCs w:val="22"/>
          <w:lang w:val="it-IT"/>
        </w:rPr>
        <w:t>Lotto</w:t>
      </w:r>
    </w:p>
    <w:p w14:paraId="572A4764" w14:textId="77777777" w:rsidR="0084378B" w:rsidRPr="00C9575C" w:rsidRDefault="0084378B">
      <w:pPr>
        <w:widowControl w:val="0"/>
        <w:suppressAutoHyphens/>
        <w:rPr>
          <w:szCs w:val="22"/>
          <w:lang w:val="it-IT"/>
        </w:rPr>
      </w:pPr>
    </w:p>
    <w:p w14:paraId="0C01A2F8"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3C7C402" w14:textId="77777777">
        <w:tc>
          <w:tcPr>
            <w:tcW w:w="9298" w:type="dxa"/>
          </w:tcPr>
          <w:p w14:paraId="35D5BD31" w14:textId="77777777" w:rsidR="0084378B" w:rsidRPr="00C9575C" w:rsidRDefault="0084378B">
            <w:pPr>
              <w:widowControl w:val="0"/>
              <w:suppressAutoHyphens/>
              <w:ind w:left="567" w:hanging="567"/>
              <w:rPr>
                <w:b/>
                <w:szCs w:val="22"/>
                <w:lang w:val="it-IT"/>
              </w:rPr>
            </w:pPr>
            <w:r w:rsidRPr="00C9575C">
              <w:rPr>
                <w:b/>
                <w:szCs w:val="22"/>
                <w:lang w:val="it-IT"/>
              </w:rPr>
              <w:t>14.</w:t>
            </w:r>
            <w:r w:rsidRPr="00C9575C">
              <w:rPr>
                <w:b/>
                <w:szCs w:val="22"/>
                <w:lang w:val="it-IT"/>
              </w:rPr>
              <w:tab/>
              <w:t xml:space="preserve">CONDIZIONE </w:t>
            </w:r>
            <w:smartTag w:uri="schemas-GSKSiteLocations-com/fourthcoffee" w:element="flavor">
              <w:r w:rsidRPr="00C9575C">
                <w:rPr>
                  <w:b/>
                  <w:szCs w:val="22"/>
                  <w:lang w:val="it-IT"/>
                </w:rPr>
                <w:t>GEN</w:t>
              </w:r>
            </w:smartTag>
            <w:r w:rsidRPr="00C9575C">
              <w:rPr>
                <w:b/>
                <w:szCs w:val="22"/>
                <w:lang w:val="it-IT"/>
              </w:rPr>
              <w:t>ERALE DI FORNITURA</w:t>
            </w:r>
          </w:p>
        </w:tc>
      </w:tr>
    </w:tbl>
    <w:p w14:paraId="01B77E4F" w14:textId="77777777" w:rsidR="0084378B" w:rsidRPr="00C9575C" w:rsidRDefault="0084378B">
      <w:pPr>
        <w:widowControl w:val="0"/>
        <w:tabs>
          <w:tab w:val="left" w:pos="567"/>
        </w:tabs>
        <w:rPr>
          <w:szCs w:val="22"/>
          <w:lang w:val="it-IT"/>
        </w:rPr>
      </w:pPr>
    </w:p>
    <w:p w14:paraId="777560A8" w14:textId="77777777" w:rsidR="0084378B" w:rsidRPr="00C9575C" w:rsidRDefault="0084378B">
      <w:pPr>
        <w:widowControl w:val="0"/>
        <w:tabs>
          <w:tab w:val="left" w:pos="567"/>
        </w:tabs>
        <w:rPr>
          <w:szCs w:val="22"/>
          <w:lang w:val="it-IT"/>
        </w:rPr>
      </w:pPr>
      <w:r w:rsidRPr="00C9575C">
        <w:rPr>
          <w:szCs w:val="22"/>
          <w:lang w:val="it-IT"/>
        </w:rPr>
        <w:t>Medicinale soggetto a prescrizione medica</w:t>
      </w:r>
    </w:p>
    <w:p w14:paraId="6D0A0391" w14:textId="77777777" w:rsidR="0084378B" w:rsidRPr="00C9575C" w:rsidRDefault="0084378B">
      <w:pPr>
        <w:widowControl w:val="0"/>
        <w:suppressAutoHyphens/>
        <w:rPr>
          <w:szCs w:val="22"/>
          <w:lang w:val="it-IT"/>
        </w:rPr>
      </w:pPr>
    </w:p>
    <w:p w14:paraId="3437D03B"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0D7039D0" w14:textId="77777777">
        <w:tc>
          <w:tcPr>
            <w:tcW w:w="9298" w:type="dxa"/>
          </w:tcPr>
          <w:p w14:paraId="5C3C3954" w14:textId="77777777" w:rsidR="0084378B" w:rsidRPr="00C9575C" w:rsidRDefault="0084378B">
            <w:pPr>
              <w:widowControl w:val="0"/>
              <w:suppressAutoHyphens/>
              <w:ind w:left="567" w:hanging="567"/>
              <w:rPr>
                <w:b/>
                <w:szCs w:val="22"/>
                <w:lang w:val="it-IT"/>
              </w:rPr>
            </w:pPr>
            <w:r w:rsidRPr="00C9575C">
              <w:rPr>
                <w:b/>
                <w:szCs w:val="22"/>
                <w:lang w:val="it-IT"/>
              </w:rPr>
              <w:t>15.</w:t>
            </w:r>
            <w:r w:rsidRPr="00C9575C">
              <w:rPr>
                <w:b/>
                <w:szCs w:val="22"/>
                <w:lang w:val="it-IT"/>
              </w:rPr>
              <w:tab/>
              <w:t>ISTRUZIONI PER L’USO</w:t>
            </w:r>
          </w:p>
        </w:tc>
      </w:tr>
    </w:tbl>
    <w:p w14:paraId="2566A26D" w14:textId="77777777" w:rsidR="0084378B" w:rsidRPr="00C9575C" w:rsidRDefault="0084378B">
      <w:pPr>
        <w:widowControl w:val="0"/>
        <w:tabs>
          <w:tab w:val="left" w:pos="567"/>
        </w:tabs>
        <w:jc w:val="both"/>
        <w:rPr>
          <w:b/>
          <w:szCs w:val="22"/>
          <w:lang w:val="it-IT"/>
        </w:rPr>
      </w:pPr>
    </w:p>
    <w:p w14:paraId="6D71FC79" w14:textId="77777777" w:rsidR="0084378B" w:rsidRPr="00C9575C" w:rsidRDefault="0084378B">
      <w:pPr>
        <w:widowControl w:val="0"/>
        <w:suppressAutoHyphens/>
        <w:rP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A5016CE" w14:textId="77777777">
        <w:tc>
          <w:tcPr>
            <w:tcW w:w="9298" w:type="dxa"/>
          </w:tcPr>
          <w:p w14:paraId="48EF95BC" w14:textId="77777777" w:rsidR="0084378B" w:rsidRPr="00C9575C" w:rsidRDefault="0084378B">
            <w:pPr>
              <w:widowControl w:val="0"/>
              <w:suppressAutoHyphens/>
              <w:ind w:left="567" w:hanging="567"/>
              <w:rPr>
                <w:b/>
                <w:szCs w:val="22"/>
                <w:lang w:val="it-IT"/>
              </w:rPr>
            </w:pPr>
            <w:r w:rsidRPr="00C9575C">
              <w:rPr>
                <w:b/>
                <w:szCs w:val="22"/>
                <w:lang w:val="it-IT"/>
              </w:rPr>
              <w:t>16.</w:t>
            </w:r>
            <w:r w:rsidRPr="00C9575C">
              <w:rPr>
                <w:b/>
                <w:szCs w:val="22"/>
                <w:lang w:val="it-IT"/>
              </w:rPr>
              <w:tab/>
              <w:t>INFORMAZIONI IN BRAILLE</w:t>
            </w:r>
          </w:p>
        </w:tc>
      </w:tr>
    </w:tbl>
    <w:p w14:paraId="5D879794" w14:textId="77777777" w:rsidR="0084378B" w:rsidRPr="00C9575C" w:rsidRDefault="0084378B">
      <w:pPr>
        <w:widowControl w:val="0"/>
        <w:tabs>
          <w:tab w:val="left" w:pos="567"/>
        </w:tabs>
        <w:jc w:val="both"/>
        <w:rPr>
          <w:b/>
          <w:szCs w:val="22"/>
          <w:lang w:val="it-IT"/>
        </w:rPr>
      </w:pPr>
    </w:p>
    <w:p w14:paraId="35CEF231" w14:textId="77777777" w:rsidR="00D84D90" w:rsidRPr="00C03451" w:rsidRDefault="00D84D90" w:rsidP="00D84D90">
      <w:pPr>
        <w:rPr>
          <w:szCs w:val="22"/>
          <w:shd w:val="clear" w:color="auto" w:fill="CCCCCC"/>
          <w:lang w:val="it-IT"/>
        </w:rPr>
      </w:pPr>
    </w:p>
    <w:p w14:paraId="5F2E0B14" w14:textId="5CBCA9D9" w:rsidR="00D84D90" w:rsidRPr="00C03451" w:rsidRDefault="00D84D90" w:rsidP="00721816">
      <w:pPr>
        <w:pStyle w:val="ListParagraph"/>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hanging="1500"/>
        <w:outlineLvl w:val="0"/>
        <w:rPr>
          <w:rFonts w:ascii="Times New Roman" w:hAnsi="Times New Roman"/>
          <w:i/>
          <w:lang w:val="it-IT"/>
        </w:rPr>
      </w:pPr>
      <w:r w:rsidRPr="00C03451">
        <w:rPr>
          <w:rFonts w:ascii="Times New Roman" w:hAnsi="Times New Roman"/>
          <w:b/>
          <w:lang w:val="it-IT"/>
        </w:rPr>
        <w:t>IDENTIFICATIVO UNICO – CODICE A BARRE BIDIMENSIONALE</w:t>
      </w:r>
      <w:r w:rsidR="0092155C">
        <w:rPr>
          <w:rFonts w:ascii="Times New Roman" w:hAnsi="Times New Roman"/>
          <w:b/>
          <w:lang w:val="it-IT"/>
        </w:rPr>
        <w:fldChar w:fldCharType="begin"/>
      </w:r>
      <w:r w:rsidR="0092155C">
        <w:rPr>
          <w:rFonts w:ascii="Times New Roman" w:hAnsi="Times New Roman"/>
          <w:b/>
          <w:lang w:val="it-IT"/>
        </w:rPr>
        <w:instrText xml:space="preserve"> DOCVARIABLE VAULT_ND_371f34c9-e141-4012-847b-e690961e31d8 \* MERGEFORMAT </w:instrText>
      </w:r>
      <w:r w:rsidR="0092155C">
        <w:rPr>
          <w:rFonts w:ascii="Times New Roman" w:hAnsi="Times New Roman"/>
          <w:b/>
          <w:lang w:val="it-IT"/>
        </w:rPr>
        <w:fldChar w:fldCharType="separate"/>
      </w:r>
      <w:r w:rsidR="0092155C">
        <w:rPr>
          <w:rFonts w:ascii="Times New Roman" w:hAnsi="Times New Roman"/>
          <w:b/>
          <w:lang w:val="it-IT"/>
        </w:rPr>
        <w:t xml:space="preserve"> </w:t>
      </w:r>
      <w:r w:rsidR="0092155C">
        <w:rPr>
          <w:rFonts w:ascii="Times New Roman" w:hAnsi="Times New Roman"/>
          <w:b/>
          <w:lang w:val="it-IT"/>
        </w:rPr>
        <w:fldChar w:fldCharType="end"/>
      </w:r>
    </w:p>
    <w:p w14:paraId="046BF0D6" w14:textId="77777777" w:rsidR="00D84D90" w:rsidRPr="00C03451" w:rsidRDefault="00D84D90" w:rsidP="00D84D90">
      <w:pPr>
        <w:rPr>
          <w:lang w:val="it-IT"/>
        </w:rPr>
      </w:pPr>
    </w:p>
    <w:p w14:paraId="3C02EACE" w14:textId="77777777" w:rsidR="00D84D90" w:rsidRPr="00C03451" w:rsidRDefault="00D84D90" w:rsidP="00D84D90">
      <w:pPr>
        <w:rPr>
          <w:szCs w:val="22"/>
          <w:shd w:val="clear" w:color="auto" w:fill="CCCCCC"/>
          <w:lang w:val="it-IT"/>
        </w:rPr>
      </w:pPr>
      <w:r w:rsidRPr="00C03451">
        <w:rPr>
          <w:highlight w:val="lightGray"/>
          <w:lang w:val="it-IT"/>
        </w:rPr>
        <w:t>Codice a barre bidimensionale con identificativo unico incluso.</w:t>
      </w:r>
    </w:p>
    <w:p w14:paraId="56F6A8FE" w14:textId="77777777" w:rsidR="00D84D90" w:rsidRPr="00C03451" w:rsidRDefault="00D84D90" w:rsidP="00D84D90">
      <w:pPr>
        <w:rPr>
          <w:szCs w:val="22"/>
          <w:shd w:val="clear" w:color="auto" w:fill="CCCCCC"/>
          <w:lang w:val="it-IT"/>
        </w:rPr>
      </w:pPr>
    </w:p>
    <w:p w14:paraId="4FBDEF0A" w14:textId="77777777" w:rsidR="00D84D90" w:rsidRPr="00C03451" w:rsidRDefault="00D84D90" w:rsidP="00D84D90">
      <w:pPr>
        <w:rPr>
          <w:lang w:val="it-IT"/>
        </w:rPr>
      </w:pPr>
    </w:p>
    <w:p w14:paraId="44883982" w14:textId="00B0CA5E" w:rsidR="00D84D90" w:rsidRPr="00C03451" w:rsidRDefault="00D84D90" w:rsidP="00721816">
      <w:pPr>
        <w:pStyle w:val="ListParagraph"/>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i/>
          <w:lang w:val="it-IT"/>
        </w:rPr>
      </w:pPr>
      <w:r w:rsidRPr="00C03451">
        <w:rPr>
          <w:rFonts w:ascii="Times New Roman" w:hAnsi="Times New Roman"/>
          <w:b/>
          <w:lang w:val="it-IT"/>
        </w:rPr>
        <w:t>IDENTIFICATIVO UNICO - DATI LEGGIBILI</w:t>
      </w:r>
      <w:r w:rsidR="0092155C">
        <w:rPr>
          <w:rFonts w:ascii="Times New Roman" w:hAnsi="Times New Roman"/>
          <w:b/>
          <w:lang w:val="it-IT"/>
        </w:rPr>
        <w:fldChar w:fldCharType="begin"/>
      </w:r>
      <w:r w:rsidR="0092155C">
        <w:rPr>
          <w:rFonts w:ascii="Times New Roman" w:hAnsi="Times New Roman"/>
          <w:b/>
          <w:lang w:val="it-IT"/>
        </w:rPr>
        <w:instrText xml:space="preserve"> DOCVARIABLE VAULT_ND_384dbbd0-99a3-437d-9598-039bc5145bc4 \* MERGEFORMAT </w:instrText>
      </w:r>
      <w:r w:rsidR="0092155C">
        <w:rPr>
          <w:rFonts w:ascii="Times New Roman" w:hAnsi="Times New Roman"/>
          <w:b/>
          <w:lang w:val="it-IT"/>
        </w:rPr>
        <w:fldChar w:fldCharType="separate"/>
      </w:r>
      <w:r w:rsidR="0092155C">
        <w:rPr>
          <w:rFonts w:ascii="Times New Roman" w:hAnsi="Times New Roman"/>
          <w:b/>
          <w:lang w:val="it-IT"/>
        </w:rPr>
        <w:t xml:space="preserve"> </w:t>
      </w:r>
      <w:r w:rsidR="0092155C">
        <w:rPr>
          <w:rFonts w:ascii="Times New Roman" w:hAnsi="Times New Roman"/>
          <w:b/>
          <w:lang w:val="it-IT"/>
        </w:rPr>
        <w:fldChar w:fldCharType="end"/>
      </w:r>
    </w:p>
    <w:p w14:paraId="39131920" w14:textId="77777777" w:rsidR="00D84D90" w:rsidRPr="00C03451" w:rsidRDefault="00D84D90" w:rsidP="00D84D90">
      <w:pPr>
        <w:rPr>
          <w:lang w:val="it-IT"/>
        </w:rPr>
      </w:pPr>
    </w:p>
    <w:p w14:paraId="2CB7C5DB" w14:textId="77777777" w:rsidR="00D84D90" w:rsidRPr="00C9575C" w:rsidRDefault="00D84D90" w:rsidP="00D84D90">
      <w:pPr>
        <w:rPr>
          <w:szCs w:val="22"/>
          <w:lang w:val="it-IT"/>
        </w:rPr>
      </w:pPr>
      <w:r w:rsidRPr="00C9575C">
        <w:rPr>
          <w:lang w:val="it-IT"/>
        </w:rPr>
        <w:t xml:space="preserve">PC: </w:t>
      </w:r>
    </w:p>
    <w:p w14:paraId="212E253F" w14:textId="77777777" w:rsidR="00D84D90" w:rsidRPr="00C9575C" w:rsidRDefault="00D84D90" w:rsidP="00D84D90">
      <w:pPr>
        <w:rPr>
          <w:szCs w:val="22"/>
          <w:lang w:val="it-IT"/>
        </w:rPr>
      </w:pPr>
      <w:r w:rsidRPr="00C9575C">
        <w:rPr>
          <w:lang w:val="it-IT"/>
        </w:rPr>
        <w:t xml:space="preserve">SN: </w:t>
      </w:r>
    </w:p>
    <w:p w14:paraId="0257AEB1" w14:textId="77777777" w:rsidR="00D84D90" w:rsidRPr="00C03451" w:rsidRDefault="00D84D90" w:rsidP="00D84D90">
      <w:pPr>
        <w:rPr>
          <w:highlight w:val="lightGray"/>
          <w:lang w:val="it-IT"/>
        </w:rPr>
      </w:pPr>
      <w:r w:rsidRPr="00C03451">
        <w:rPr>
          <w:highlight w:val="lightGray"/>
          <w:lang w:val="it-IT"/>
        </w:rPr>
        <w:t xml:space="preserve">NN: </w:t>
      </w:r>
    </w:p>
    <w:p w14:paraId="78D576BE" w14:textId="77777777" w:rsidR="00D84D90" w:rsidRPr="00C9575C" w:rsidRDefault="00D84D90" w:rsidP="00D84D90">
      <w:pPr>
        <w:rPr>
          <w:lang w:val="it-IT"/>
        </w:rPr>
      </w:pPr>
    </w:p>
    <w:p w14:paraId="30394AF1" w14:textId="77777777" w:rsidR="00D84D90" w:rsidRPr="00C9575C" w:rsidRDefault="00D84D90" w:rsidP="00D84D90">
      <w:pPr>
        <w:rPr>
          <w:lang w:val="it-IT"/>
        </w:rPr>
      </w:pPr>
    </w:p>
    <w:p w14:paraId="20FCC9F5" w14:textId="77777777" w:rsidR="0084378B" w:rsidRPr="00C9575C" w:rsidRDefault="0084378B">
      <w:pPr>
        <w:widowControl w:val="0"/>
        <w:tabs>
          <w:tab w:val="left" w:pos="567"/>
        </w:tabs>
        <w:jc w:val="both"/>
        <w:rPr>
          <w:b/>
          <w:szCs w:val="22"/>
          <w:lang w:val="it-IT"/>
        </w:rPr>
      </w:pPr>
    </w:p>
    <w:p w14:paraId="1CDC7DA5" w14:textId="77777777" w:rsidR="0084378B" w:rsidRPr="00C9575C" w:rsidRDefault="0084378B">
      <w:pPr>
        <w:widowControl w:val="0"/>
        <w:suppressAutoHyphens/>
        <w:rPr>
          <w:b/>
          <w:szCs w:val="22"/>
          <w:lang w:val="it-IT"/>
        </w:rPr>
      </w:pPr>
      <w:r w:rsidRPr="00C9575C">
        <w:rPr>
          <w:b/>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B66E331" w14:textId="77777777">
        <w:trPr>
          <w:trHeight w:val="858"/>
        </w:trPr>
        <w:tc>
          <w:tcPr>
            <w:tcW w:w="9298" w:type="dxa"/>
            <w:tcBorders>
              <w:bottom w:val="single" w:sz="4" w:space="0" w:color="auto"/>
            </w:tcBorders>
          </w:tcPr>
          <w:p w14:paraId="51CCDAE9" w14:textId="77777777" w:rsidR="0084378B" w:rsidRPr="00C9575C" w:rsidRDefault="0084378B">
            <w:pPr>
              <w:widowControl w:val="0"/>
              <w:shd w:val="clear" w:color="auto" w:fill="FFFFFF"/>
              <w:suppressAutoHyphens/>
              <w:rPr>
                <w:b/>
                <w:szCs w:val="22"/>
                <w:lang w:val="it-IT"/>
              </w:rPr>
            </w:pPr>
            <w:r w:rsidRPr="00C9575C">
              <w:rPr>
                <w:b/>
                <w:szCs w:val="22"/>
                <w:lang w:val="it-IT"/>
              </w:rPr>
              <w:lastRenderedPageBreak/>
              <w:t xml:space="preserve">INFORMAZIONI DA APPORRE SUL CONFEZIONAMENTO ESTERNO </w:t>
            </w:r>
          </w:p>
          <w:p w14:paraId="3AF710C9" w14:textId="77777777" w:rsidR="0084378B" w:rsidRPr="00C9575C" w:rsidRDefault="00B512B4">
            <w:pPr>
              <w:widowControl w:val="0"/>
              <w:shd w:val="clear" w:color="auto" w:fill="FFFFFF"/>
              <w:suppressAutoHyphens/>
              <w:rPr>
                <w:b/>
                <w:szCs w:val="22"/>
                <w:lang w:val="it-IT"/>
              </w:rPr>
            </w:pPr>
            <w:r w:rsidRPr="00C9575C">
              <w:rPr>
                <w:b/>
                <w:szCs w:val="22"/>
                <w:lang w:val="it-IT"/>
              </w:rPr>
              <w:t xml:space="preserve">Confezione </w:t>
            </w:r>
            <w:r w:rsidR="003055C4" w:rsidRPr="00C9575C">
              <w:rPr>
                <w:b/>
                <w:szCs w:val="22"/>
                <w:lang w:val="it-IT"/>
              </w:rPr>
              <w:t xml:space="preserve">multipla </w:t>
            </w:r>
            <w:r w:rsidRPr="00C9575C">
              <w:rPr>
                <w:b/>
                <w:szCs w:val="22"/>
                <w:lang w:val="it-IT"/>
              </w:rPr>
              <w:t>da 90 (3 confezioni da 30 compresse rivestite con film) – senza blue box -</w:t>
            </w:r>
          </w:p>
          <w:p w14:paraId="334BB754" w14:textId="2AB1248C" w:rsidR="003055C4" w:rsidRPr="00C9575C" w:rsidRDefault="00AC107C">
            <w:pPr>
              <w:pStyle w:val="Heading9"/>
              <w:keepNext w:val="0"/>
              <w:widowControl w:val="0"/>
              <w:rPr>
                <w:color w:val="000000"/>
                <w:szCs w:val="22"/>
              </w:rPr>
            </w:pPr>
            <w:r>
              <w:rPr>
                <w:rFonts w:ascii="ZWAdobeF" w:hAnsi="ZWAdobeF" w:cs="ZWAdobeF"/>
                <w:b w:val="0"/>
                <w:sz w:val="2"/>
                <w:szCs w:val="2"/>
              </w:rPr>
              <w:t>2B</w:t>
            </w:r>
            <w:r w:rsidR="0084378B" w:rsidRPr="00C9575C">
              <w:rPr>
                <w:color w:val="000000"/>
                <w:szCs w:val="22"/>
              </w:rPr>
              <w:t>ASTUCCIO ESTERNO CONFEZIONE IN BLISTER</w:t>
            </w:r>
            <w:r w:rsidR="0092155C">
              <w:rPr>
                <w:color w:val="000000"/>
                <w:szCs w:val="22"/>
              </w:rPr>
              <w:fldChar w:fldCharType="begin"/>
            </w:r>
            <w:r w:rsidR="0092155C">
              <w:rPr>
                <w:color w:val="000000"/>
                <w:szCs w:val="22"/>
              </w:rPr>
              <w:instrText xml:space="preserve"> DOCVARIABLE VAULT_ND_a12899df-e364-4c46-9ad4-35da0823140d \* MERGEFORMAT </w:instrText>
            </w:r>
            <w:r w:rsidR="0092155C">
              <w:rPr>
                <w:color w:val="000000"/>
                <w:szCs w:val="22"/>
              </w:rPr>
              <w:fldChar w:fldCharType="separate"/>
            </w:r>
            <w:r w:rsidR="0092155C">
              <w:rPr>
                <w:color w:val="000000"/>
                <w:szCs w:val="22"/>
              </w:rPr>
              <w:t xml:space="preserve"> </w:t>
            </w:r>
            <w:r w:rsidR="0092155C">
              <w:rPr>
                <w:color w:val="000000"/>
                <w:szCs w:val="22"/>
              </w:rPr>
              <w:fldChar w:fldCharType="end"/>
            </w:r>
          </w:p>
          <w:p w14:paraId="7AC4CFDA" w14:textId="07A429F1" w:rsidR="0084378B" w:rsidRPr="00C9575C" w:rsidRDefault="00AC107C">
            <w:pPr>
              <w:pStyle w:val="Heading9"/>
              <w:keepNext w:val="0"/>
              <w:widowControl w:val="0"/>
              <w:rPr>
                <w:color w:val="000000"/>
                <w:szCs w:val="22"/>
              </w:rPr>
            </w:pPr>
            <w:r>
              <w:rPr>
                <w:rFonts w:ascii="ZWAdobeF" w:hAnsi="ZWAdobeF" w:cs="ZWAdobeF"/>
                <w:b w:val="0"/>
                <w:sz w:val="2"/>
                <w:szCs w:val="2"/>
              </w:rPr>
              <w:t>3B</w:t>
            </w:r>
            <w:r w:rsidR="0084378B" w:rsidRPr="00C9575C">
              <w:rPr>
                <w:color w:val="000000"/>
                <w:szCs w:val="22"/>
              </w:rPr>
              <w:t>30 COMPRESSE</w:t>
            </w:r>
            <w:r w:rsidR="0092155C">
              <w:rPr>
                <w:color w:val="000000"/>
                <w:szCs w:val="22"/>
              </w:rPr>
              <w:fldChar w:fldCharType="begin"/>
            </w:r>
            <w:r w:rsidR="0092155C">
              <w:rPr>
                <w:color w:val="000000"/>
                <w:szCs w:val="22"/>
              </w:rPr>
              <w:instrText xml:space="preserve"> DOCVARIABLE VAULT_ND_182c24bf-8a49-4745-a40e-076e930adf55 \* MERGEFORMAT </w:instrText>
            </w:r>
            <w:r w:rsidR="0092155C">
              <w:rPr>
                <w:color w:val="000000"/>
                <w:szCs w:val="22"/>
              </w:rPr>
              <w:fldChar w:fldCharType="separate"/>
            </w:r>
            <w:r w:rsidR="0092155C">
              <w:rPr>
                <w:color w:val="000000"/>
                <w:szCs w:val="22"/>
              </w:rPr>
              <w:t xml:space="preserve"> </w:t>
            </w:r>
            <w:r w:rsidR="0092155C">
              <w:rPr>
                <w:color w:val="000000"/>
                <w:szCs w:val="22"/>
              </w:rPr>
              <w:fldChar w:fldCharType="end"/>
            </w:r>
          </w:p>
        </w:tc>
      </w:tr>
    </w:tbl>
    <w:p w14:paraId="6526B886" w14:textId="77777777" w:rsidR="0084378B" w:rsidRPr="00C9575C" w:rsidRDefault="0084378B">
      <w:pPr>
        <w:widowControl w:val="0"/>
        <w:tabs>
          <w:tab w:val="left" w:pos="567"/>
        </w:tabs>
        <w:rPr>
          <w:szCs w:val="22"/>
          <w:lang w:val="it-IT"/>
        </w:rPr>
      </w:pPr>
    </w:p>
    <w:p w14:paraId="1981D1E9" w14:textId="77777777" w:rsidR="0084378B" w:rsidRPr="00C9575C" w:rsidRDefault="0084378B">
      <w:pPr>
        <w:widowControl w:val="0"/>
        <w:tabs>
          <w:tab w:val="left"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5C537BAE" w14:textId="77777777">
        <w:tc>
          <w:tcPr>
            <w:tcW w:w="9298" w:type="dxa"/>
          </w:tcPr>
          <w:p w14:paraId="245E9A55" w14:textId="77777777" w:rsidR="0084378B" w:rsidRPr="00C9575C" w:rsidRDefault="0084378B">
            <w:pPr>
              <w:widowControl w:val="0"/>
              <w:suppressAutoHyphens/>
              <w:ind w:left="567" w:hanging="567"/>
              <w:rPr>
                <w:b/>
                <w:szCs w:val="22"/>
                <w:lang w:val="it-IT"/>
              </w:rPr>
            </w:pPr>
            <w:r w:rsidRPr="00C9575C">
              <w:rPr>
                <w:b/>
                <w:szCs w:val="22"/>
                <w:lang w:val="it-IT"/>
              </w:rPr>
              <w:t>1.</w:t>
            </w:r>
            <w:r w:rsidRPr="00C9575C">
              <w:rPr>
                <w:b/>
                <w:szCs w:val="22"/>
                <w:lang w:val="it-IT"/>
              </w:rPr>
              <w:tab/>
              <w:t>DENOMINAZIONE DEL MEDICINALE</w:t>
            </w:r>
          </w:p>
        </w:tc>
      </w:tr>
    </w:tbl>
    <w:p w14:paraId="09BCA306" w14:textId="77777777" w:rsidR="0084378B" w:rsidRPr="00C9575C" w:rsidRDefault="0084378B">
      <w:pPr>
        <w:widowControl w:val="0"/>
        <w:suppressAutoHyphens/>
        <w:rPr>
          <w:szCs w:val="22"/>
          <w:lang w:val="it-IT"/>
        </w:rPr>
      </w:pPr>
    </w:p>
    <w:p w14:paraId="24C6C45F" w14:textId="77777777" w:rsidR="0084378B" w:rsidRPr="00C9575C" w:rsidRDefault="0084378B">
      <w:pPr>
        <w:widowControl w:val="0"/>
        <w:suppressAutoHyphens/>
        <w:rPr>
          <w:szCs w:val="22"/>
          <w:lang w:val="it-IT"/>
        </w:rPr>
      </w:pPr>
      <w:r w:rsidRPr="00C9575C">
        <w:rPr>
          <w:szCs w:val="22"/>
          <w:lang w:val="it-IT"/>
        </w:rPr>
        <w:t xml:space="preserve">Kivexa 600 mg/300 mg compresse rivestite con film </w:t>
      </w:r>
    </w:p>
    <w:p w14:paraId="786823E9" w14:textId="77777777" w:rsidR="0084378B" w:rsidRPr="00C9575C" w:rsidRDefault="0084378B">
      <w:pPr>
        <w:widowControl w:val="0"/>
        <w:suppressAutoHyphens/>
        <w:rPr>
          <w:szCs w:val="22"/>
          <w:lang w:val="it-IT"/>
        </w:rPr>
      </w:pPr>
      <w:r w:rsidRPr="00C9575C">
        <w:rPr>
          <w:szCs w:val="22"/>
          <w:lang w:val="it-IT"/>
        </w:rPr>
        <w:t>abacavir/lamivudina</w:t>
      </w:r>
    </w:p>
    <w:p w14:paraId="4E3692B6" w14:textId="77777777" w:rsidR="0084378B" w:rsidRPr="00C9575C" w:rsidRDefault="0084378B">
      <w:pPr>
        <w:widowControl w:val="0"/>
        <w:suppressAutoHyphens/>
        <w:rPr>
          <w:szCs w:val="22"/>
          <w:lang w:val="it-IT"/>
        </w:rPr>
      </w:pPr>
    </w:p>
    <w:p w14:paraId="1EA72DB4"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719A0DC4" w14:textId="77777777">
        <w:tc>
          <w:tcPr>
            <w:tcW w:w="9298" w:type="dxa"/>
          </w:tcPr>
          <w:p w14:paraId="0E912736" w14:textId="77777777" w:rsidR="0084378B" w:rsidRPr="00C9575C" w:rsidRDefault="0084378B">
            <w:pPr>
              <w:widowControl w:val="0"/>
              <w:suppressAutoHyphens/>
              <w:ind w:left="567" w:hanging="567"/>
              <w:rPr>
                <w:szCs w:val="22"/>
                <w:lang w:val="it-IT"/>
              </w:rPr>
            </w:pPr>
            <w:r w:rsidRPr="00C9575C">
              <w:rPr>
                <w:b/>
                <w:szCs w:val="22"/>
                <w:lang w:val="it-IT"/>
              </w:rPr>
              <w:t>2.</w:t>
            </w:r>
            <w:r w:rsidRPr="00C9575C">
              <w:rPr>
                <w:b/>
                <w:szCs w:val="22"/>
                <w:lang w:val="it-IT"/>
              </w:rPr>
              <w:tab/>
              <w:t>COMPOSIZIONE QUALITATIVA E QUANTITATIVA</w:t>
            </w:r>
          </w:p>
        </w:tc>
      </w:tr>
    </w:tbl>
    <w:p w14:paraId="3E0F1F86" w14:textId="77777777" w:rsidR="0084378B" w:rsidRPr="00C9575C" w:rsidRDefault="0084378B">
      <w:pPr>
        <w:widowControl w:val="0"/>
        <w:tabs>
          <w:tab w:val="left" w:pos="567"/>
        </w:tabs>
        <w:rPr>
          <w:szCs w:val="22"/>
          <w:lang w:val="it-IT"/>
        </w:rPr>
      </w:pPr>
    </w:p>
    <w:p w14:paraId="65393351" w14:textId="1F261DD3" w:rsidR="0084378B" w:rsidRPr="00C9575C" w:rsidRDefault="003055C4" w:rsidP="003055C4">
      <w:pPr>
        <w:pStyle w:val="Heading5"/>
        <w:keepNext w:val="0"/>
        <w:widowControl w:val="0"/>
        <w:rPr>
          <w:b w:val="0"/>
          <w:szCs w:val="22"/>
        </w:rPr>
      </w:pPr>
      <w:r w:rsidRPr="00C9575C">
        <w:rPr>
          <w:b w:val="0"/>
          <w:szCs w:val="22"/>
        </w:rPr>
        <w:t xml:space="preserve">Ogni </w:t>
      </w:r>
      <w:r w:rsidR="0084378B" w:rsidRPr="00C9575C">
        <w:rPr>
          <w:b w:val="0"/>
          <w:szCs w:val="22"/>
        </w:rPr>
        <w:t>compressa rivestita con film contiene</w:t>
      </w:r>
      <w:r w:rsidRPr="00C9575C">
        <w:rPr>
          <w:b w:val="0"/>
          <w:szCs w:val="22"/>
        </w:rPr>
        <w:t xml:space="preserve"> </w:t>
      </w:r>
      <w:r w:rsidR="0084378B" w:rsidRPr="00C9575C">
        <w:rPr>
          <w:b w:val="0"/>
          <w:szCs w:val="22"/>
        </w:rPr>
        <w:t>600 mg</w:t>
      </w:r>
      <w:r w:rsidRPr="00C9575C">
        <w:rPr>
          <w:b w:val="0"/>
          <w:szCs w:val="22"/>
        </w:rPr>
        <w:t xml:space="preserve"> di abacavir</w:t>
      </w:r>
      <w:r w:rsidR="0084378B" w:rsidRPr="00C9575C">
        <w:rPr>
          <w:b w:val="0"/>
          <w:szCs w:val="22"/>
        </w:rPr>
        <w:t xml:space="preserve"> (come solfato)</w:t>
      </w:r>
      <w:r w:rsidR="00B512B4" w:rsidRPr="00C9575C">
        <w:rPr>
          <w:b w:val="0"/>
          <w:szCs w:val="22"/>
        </w:rPr>
        <w:t xml:space="preserve"> e</w:t>
      </w:r>
      <w:r w:rsidR="007B24D8" w:rsidRPr="00C9575C">
        <w:rPr>
          <w:b w:val="0"/>
          <w:szCs w:val="22"/>
        </w:rPr>
        <w:t xml:space="preserve"> </w:t>
      </w:r>
      <w:r w:rsidR="0084378B" w:rsidRPr="00C9575C">
        <w:rPr>
          <w:b w:val="0"/>
          <w:szCs w:val="22"/>
        </w:rPr>
        <w:t xml:space="preserve">300 mg </w:t>
      </w:r>
      <w:r w:rsidRPr="00C9575C">
        <w:rPr>
          <w:b w:val="0"/>
          <w:szCs w:val="22"/>
        </w:rPr>
        <w:t>di lamivudina</w:t>
      </w:r>
      <w:r w:rsidR="0092155C">
        <w:rPr>
          <w:b w:val="0"/>
          <w:szCs w:val="22"/>
        </w:rPr>
        <w:fldChar w:fldCharType="begin"/>
      </w:r>
      <w:r w:rsidR="0092155C">
        <w:rPr>
          <w:b w:val="0"/>
          <w:szCs w:val="22"/>
        </w:rPr>
        <w:instrText xml:space="preserve"> DOCVARIABLE vault_nd_8a7d5794-ddbc-463a-b600-3b6c190a7778 \* MERGEFORMAT </w:instrText>
      </w:r>
      <w:r w:rsidR="0092155C">
        <w:rPr>
          <w:b w:val="0"/>
          <w:szCs w:val="22"/>
        </w:rPr>
        <w:fldChar w:fldCharType="separate"/>
      </w:r>
      <w:r w:rsidR="0092155C">
        <w:rPr>
          <w:b w:val="0"/>
          <w:szCs w:val="22"/>
        </w:rPr>
        <w:t xml:space="preserve"> </w:t>
      </w:r>
      <w:r w:rsidR="0092155C">
        <w:rPr>
          <w:b w:val="0"/>
          <w:szCs w:val="22"/>
        </w:rPr>
        <w:fldChar w:fldCharType="end"/>
      </w:r>
    </w:p>
    <w:p w14:paraId="5E7289E2" w14:textId="77777777" w:rsidR="0084378B" w:rsidRPr="00C9575C" w:rsidRDefault="0084378B">
      <w:pPr>
        <w:widowControl w:val="0"/>
        <w:suppressAutoHyphens/>
        <w:rPr>
          <w:szCs w:val="22"/>
          <w:lang w:val="it-IT"/>
        </w:rPr>
      </w:pPr>
    </w:p>
    <w:p w14:paraId="6B208CAC" w14:textId="77777777" w:rsidR="0084378B" w:rsidRPr="00C9575C" w:rsidRDefault="0084378B">
      <w:pPr>
        <w:widowControl w:val="0"/>
        <w:suppressAutoHyphens/>
        <w:rPr>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51267023" w14:textId="77777777">
        <w:tc>
          <w:tcPr>
            <w:tcW w:w="9298" w:type="dxa"/>
          </w:tcPr>
          <w:p w14:paraId="5AC1A010" w14:textId="77777777" w:rsidR="0084378B" w:rsidRPr="00C9575C" w:rsidRDefault="0084378B">
            <w:pPr>
              <w:widowControl w:val="0"/>
              <w:suppressAutoHyphens/>
              <w:ind w:left="567" w:hanging="567"/>
              <w:rPr>
                <w:b/>
                <w:szCs w:val="22"/>
                <w:lang w:val="it-IT"/>
              </w:rPr>
            </w:pPr>
            <w:r w:rsidRPr="00C9575C">
              <w:rPr>
                <w:b/>
                <w:szCs w:val="22"/>
                <w:lang w:val="it-IT"/>
              </w:rPr>
              <w:t>3.</w:t>
            </w:r>
            <w:r w:rsidRPr="00C9575C">
              <w:rPr>
                <w:b/>
                <w:szCs w:val="22"/>
                <w:lang w:val="it-IT"/>
              </w:rPr>
              <w:tab/>
              <w:t>ELENCO DEGLI ECCIPIENTI</w:t>
            </w:r>
          </w:p>
        </w:tc>
      </w:tr>
    </w:tbl>
    <w:p w14:paraId="4AA8BEE3" w14:textId="77777777" w:rsidR="00B25201" w:rsidRPr="00C9575C" w:rsidRDefault="00B25201" w:rsidP="00B25201">
      <w:pPr>
        <w:widowControl w:val="0"/>
        <w:suppressAutoHyphens/>
        <w:rPr>
          <w:szCs w:val="22"/>
          <w:lang w:val="it-IT"/>
        </w:rPr>
      </w:pPr>
    </w:p>
    <w:p w14:paraId="46AFF1F1" w14:textId="77777777" w:rsidR="00B25201" w:rsidRPr="00C9575C" w:rsidRDefault="00B25201" w:rsidP="00B25201">
      <w:pPr>
        <w:widowControl w:val="0"/>
        <w:suppressAutoHyphens/>
        <w:rPr>
          <w:szCs w:val="22"/>
          <w:lang w:val="it-IT"/>
        </w:rPr>
      </w:pPr>
      <w:r w:rsidRPr="00C9575C">
        <w:rPr>
          <w:szCs w:val="22"/>
          <w:lang w:val="it-IT"/>
        </w:rPr>
        <w:t>Contiene il colorante giallo tramonto (E110), vedere foglio illustrativo per ulteriori informazioni</w:t>
      </w:r>
    </w:p>
    <w:p w14:paraId="66E17E78" w14:textId="77777777" w:rsidR="0084378B" w:rsidRPr="00C9575C" w:rsidRDefault="0084378B">
      <w:pPr>
        <w:widowControl w:val="0"/>
        <w:suppressAutoHyphens/>
        <w:rPr>
          <w:szCs w:val="22"/>
          <w:lang w:val="it-IT"/>
        </w:rPr>
      </w:pPr>
    </w:p>
    <w:p w14:paraId="73BDAC37"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51E231AF" w14:textId="77777777">
        <w:tc>
          <w:tcPr>
            <w:tcW w:w="9298" w:type="dxa"/>
          </w:tcPr>
          <w:p w14:paraId="4E84A607" w14:textId="77777777" w:rsidR="0084378B" w:rsidRPr="00C9575C" w:rsidRDefault="0084378B">
            <w:pPr>
              <w:widowControl w:val="0"/>
              <w:suppressAutoHyphens/>
              <w:ind w:left="567" w:hanging="567"/>
              <w:rPr>
                <w:b/>
                <w:szCs w:val="22"/>
                <w:lang w:val="it-IT"/>
              </w:rPr>
            </w:pPr>
            <w:r w:rsidRPr="00C9575C">
              <w:rPr>
                <w:b/>
                <w:szCs w:val="22"/>
                <w:lang w:val="it-IT"/>
              </w:rPr>
              <w:t>4.</w:t>
            </w:r>
            <w:r w:rsidRPr="00C9575C">
              <w:rPr>
                <w:b/>
                <w:szCs w:val="22"/>
                <w:lang w:val="it-IT"/>
              </w:rPr>
              <w:tab/>
              <w:t>FORMA FARMACEUTICA E CONTENUTO</w:t>
            </w:r>
          </w:p>
        </w:tc>
      </w:tr>
    </w:tbl>
    <w:p w14:paraId="6D98E9ED" w14:textId="77777777" w:rsidR="0084378B" w:rsidRPr="00C9575C" w:rsidRDefault="0084378B">
      <w:pPr>
        <w:widowControl w:val="0"/>
        <w:suppressAutoHyphens/>
        <w:rPr>
          <w:szCs w:val="22"/>
          <w:lang w:val="it-IT"/>
        </w:rPr>
      </w:pPr>
    </w:p>
    <w:p w14:paraId="1E5323C2" w14:textId="77777777" w:rsidR="0084378B" w:rsidRPr="00C9575C" w:rsidRDefault="0084378B">
      <w:pPr>
        <w:widowControl w:val="0"/>
        <w:tabs>
          <w:tab w:val="left" w:pos="567"/>
        </w:tabs>
        <w:rPr>
          <w:szCs w:val="22"/>
          <w:lang w:val="it-IT"/>
        </w:rPr>
      </w:pPr>
      <w:r w:rsidRPr="00C9575C">
        <w:rPr>
          <w:szCs w:val="22"/>
          <w:lang w:val="it-IT"/>
        </w:rPr>
        <w:t>30 compresse rivestite con film</w:t>
      </w:r>
    </w:p>
    <w:p w14:paraId="768F8A49" w14:textId="77777777" w:rsidR="0084378B" w:rsidRPr="00C9575C" w:rsidRDefault="0084378B">
      <w:pPr>
        <w:widowControl w:val="0"/>
        <w:suppressAutoHyphens/>
        <w:rPr>
          <w:szCs w:val="22"/>
          <w:lang w:val="it-IT"/>
        </w:rPr>
      </w:pPr>
      <w:r w:rsidRPr="00C9575C">
        <w:rPr>
          <w:szCs w:val="22"/>
          <w:lang w:val="it-IT"/>
        </w:rPr>
        <w:t>Componente di un</w:t>
      </w:r>
      <w:r w:rsidR="003055C4" w:rsidRPr="00C9575C">
        <w:rPr>
          <w:szCs w:val="22"/>
          <w:lang w:val="it-IT"/>
        </w:rPr>
        <w:t>a confezione multipla</w:t>
      </w:r>
      <w:r w:rsidRPr="00C9575C">
        <w:rPr>
          <w:szCs w:val="22"/>
          <w:lang w:val="it-IT"/>
        </w:rPr>
        <w:t xml:space="preserve"> non </w:t>
      </w:r>
      <w:r w:rsidR="00DD5ADB" w:rsidRPr="00C9575C">
        <w:rPr>
          <w:szCs w:val="22"/>
          <w:lang w:val="it-IT"/>
        </w:rPr>
        <w:t>vendibile</w:t>
      </w:r>
      <w:r w:rsidR="003055C4" w:rsidRPr="00C9575C">
        <w:rPr>
          <w:szCs w:val="22"/>
          <w:lang w:val="it-IT"/>
        </w:rPr>
        <w:t xml:space="preserve"> separatamente</w:t>
      </w:r>
    </w:p>
    <w:p w14:paraId="7BB9174A" w14:textId="77777777" w:rsidR="0084378B" w:rsidRPr="00C9575C" w:rsidRDefault="0084378B">
      <w:pPr>
        <w:widowControl w:val="0"/>
        <w:suppressAutoHyphens/>
        <w:rPr>
          <w:szCs w:val="22"/>
          <w:lang w:val="it-IT"/>
        </w:rPr>
      </w:pPr>
    </w:p>
    <w:p w14:paraId="06BF6CFE" w14:textId="77777777" w:rsidR="0084378B" w:rsidRPr="00C9575C" w:rsidRDefault="0084378B">
      <w:pPr>
        <w:widowControl w:val="0"/>
        <w:suppressAutoHyphens/>
        <w:rPr>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447F27" w14:paraId="3B181D74" w14:textId="77777777">
        <w:tc>
          <w:tcPr>
            <w:tcW w:w="9298" w:type="dxa"/>
          </w:tcPr>
          <w:p w14:paraId="78C51088" w14:textId="77777777" w:rsidR="0084378B" w:rsidRPr="00C9575C" w:rsidRDefault="0084378B">
            <w:pPr>
              <w:widowControl w:val="0"/>
              <w:suppressAutoHyphens/>
              <w:ind w:left="567" w:hanging="567"/>
              <w:rPr>
                <w:szCs w:val="22"/>
                <w:lang w:val="it-IT"/>
              </w:rPr>
            </w:pPr>
            <w:r w:rsidRPr="00C9575C">
              <w:rPr>
                <w:b/>
                <w:szCs w:val="22"/>
                <w:lang w:val="it-IT"/>
              </w:rPr>
              <w:t>5.</w:t>
            </w:r>
            <w:r w:rsidRPr="00C9575C">
              <w:rPr>
                <w:b/>
                <w:szCs w:val="22"/>
                <w:lang w:val="it-IT"/>
              </w:rPr>
              <w:tab/>
              <w:t>MODO E VIA(E) DI SOMMINISTRAZIONE</w:t>
            </w:r>
          </w:p>
        </w:tc>
      </w:tr>
    </w:tbl>
    <w:p w14:paraId="272EC249" w14:textId="77777777" w:rsidR="0084378B" w:rsidRPr="00C9575C" w:rsidRDefault="0084378B">
      <w:pPr>
        <w:widowControl w:val="0"/>
        <w:tabs>
          <w:tab w:val="left" w:pos="567"/>
        </w:tabs>
        <w:rPr>
          <w:szCs w:val="22"/>
          <w:lang w:val="it-IT"/>
        </w:rPr>
      </w:pPr>
    </w:p>
    <w:p w14:paraId="47E02783" w14:textId="77777777" w:rsidR="0084378B" w:rsidRPr="00C9575C" w:rsidRDefault="0084378B">
      <w:pPr>
        <w:widowControl w:val="0"/>
        <w:suppressAutoHyphens/>
        <w:rPr>
          <w:szCs w:val="22"/>
          <w:lang w:val="it-IT"/>
        </w:rPr>
      </w:pPr>
    </w:p>
    <w:p w14:paraId="7D58A0E1" w14:textId="77777777" w:rsidR="00B25201" w:rsidRPr="00C9575C" w:rsidRDefault="00B25201" w:rsidP="00B25201">
      <w:pPr>
        <w:widowControl w:val="0"/>
        <w:suppressAutoHyphens/>
        <w:rPr>
          <w:szCs w:val="22"/>
          <w:lang w:val="it-IT"/>
        </w:rPr>
      </w:pPr>
      <w:r w:rsidRPr="00C9575C">
        <w:rPr>
          <w:szCs w:val="22"/>
          <w:lang w:val="it-IT"/>
        </w:rPr>
        <w:t>Leggere il foglio illustrativo prima dell’uso.</w:t>
      </w:r>
    </w:p>
    <w:p w14:paraId="4C20E534" w14:textId="77777777" w:rsidR="003055C4" w:rsidRPr="00C9575C" w:rsidRDefault="003055C4" w:rsidP="003055C4">
      <w:pPr>
        <w:widowControl w:val="0"/>
        <w:tabs>
          <w:tab w:val="left" w:pos="567"/>
        </w:tabs>
        <w:rPr>
          <w:szCs w:val="22"/>
          <w:lang w:val="it-IT"/>
        </w:rPr>
      </w:pPr>
    </w:p>
    <w:p w14:paraId="2505D355" w14:textId="77777777" w:rsidR="003055C4" w:rsidRPr="00C9575C" w:rsidRDefault="003055C4" w:rsidP="003055C4">
      <w:pPr>
        <w:widowControl w:val="0"/>
        <w:tabs>
          <w:tab w:val="left" w:pos="567"/>
        </w:tabs>
        <w:rPr>
          <w:szCs w:val="22"/>
          <w:lang w:val="it-IT"/>
        </w:rPr>
      </w:pPr>
      <w:r w:rsidRPr="00C9575C">
        <w:rPr>
          <w:szCs w:val="22"/>
          <w:lang w:val="it-IT"/>
        </w:rPr>
        <w:t>Uso orale</w:t>
      </w:r>
    </w:p>
    <w:p w14:paraId="6B893CBE"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1DB79D7" w14:textId="77777777">
        <w:tc>
          <w:tcPr>
            <w:tcW w:w="9298" w:type="dxa"/>
          </w:tcPr>
          <w:p w14:paraId="0AEC2F33" w14:textId="77777777" w:rsidR="0084378B" w:rsidRPr="00C9575C" w:rsidRDefault="0084378B" w:rsidP="00922052">
            <w:pPr>
              <w:widowControl w:val="0"/>
              <w:suppressAutoHyphens/>
              <w:ind w:left="567" w:hanging="567"/>
              <w:rPr>
                <w:b/>
                <w:szCs w:val="22"/>
                <w:lang w:val="it-IT"/>
              </w:rPr>
            </w:pPr>
            <w:r w:rsidRPr="00C9575C">
              <w:rPr>
                <w:b/>
                <w:szCs w:val="22"/>
                <w:lang w:val="it-IT"/>
              </w:rPr>
              <w:t>6</w:t>
            </w:r>
            <w:r w:rsidRPr="00C9575C">
              <w:rPr>
                <w:b/>
                <w:szCs w:val="22"/>
                <w:lang w:val="it-IT"/>
              </w:rPr>
              <w:tab/>
              <w:t>AV</w:t>
            </w:r>
            <w:smartTag w:uri="schemas-GSKSiteLocations-com/fourthcoffee" w:element="flavor">
              <w:r w:rsidRPr="00C9575C">
                <w:rPr>
                  <w:b/>
                  <w:szCs w:val="22"/>
                  <w:lang w:val="it-IT"/>
                </w:rPr>
                <w:t>VER</w:t>
              </w:r>
            </w:smartTag>
            <w:r w:rsidRPr="00C9575C">
              <w:rPr>
                <w:b/>
                <w:szCs w:val="22"/>
                <w:lang w:val="it-IT"/>
              </w:rPr>
              <w:t xml:space="preserve">TENZA PARTICOLARE CHE PRESCRIVA DI TENERE IL MEDICINALE FUORI DALLA </w:t>
            </w:r>
            <w:r w:rsidR="00922052" w:rsidRPr="00C9575C">
              <w:rPr>
                <w:b/>
                <w:szCs w:val="22"/>
                <w:lang w:val="it-IT"/>
              </w:rPr>
              <w:t xml:space="preserve">VISTA </w:t>
            </w:r>
            <w:r w:rsidRPr="00C9575C">
              <w:rPr>
                <w:b/>
                <w:szCs w:val="22"/>
                <w:lang w:val="it-IT"/>
              </w:rPr>
              <w:t xml:space="preserve">E DALLA </w:t>
            </w:r>
            <w:r w:rsidR="00922052" w:rsidRPr="00C9575C">
              <w:rPr>
                <w:b/>
                <w:szCs w:val="22"/>
                <w:lang w:val="it-IT"/>
              </w:rPr>
              <w:t xml:space="preserve">PORTATA </w:t>
            </w:r>
            <w:r w:rsidRPr="00C9575C">
              <w:rPr>
                <w:b/>
                <w:szCs w:val="22"/>
                <w:lang w:val="it-IT"/>
              </w:rPr>
              <w:t>DEI BAMBINI</w:t>
            </w:r>
          </w:p>
        </w:tc>
      </w:tr>
    </w:tbl>
    <w:p w14:paraId="7BDDFD6D" w14:textId="77777777" w:rsidR="0084378B" w:rsidRPr="00C9575C" w:rsidRDefault="0084378B">
      <w:pPr>
        <w:widowControl w:val="0"/>
        <w:suppressAutoHyphens/>
        <w:rPr>
          <w:szCs w:val="22"/>
          <w:lang w:val="it-IT"/>
        </w:rPr>
      </w:pPr>
    </w:p>
    <w:p w14:paraId="0E503403" w14:textId="77777777" w:rsidR="0084378B" w:rsidRPr="00C9575C" w:rsidRDefault="0084378B">
      <w:pPr>
        <w:widowControl w:val="0"/>
        <w:suppressAutoHyphens/>
        <w:rPr>
          <w:szCs w:val="22"/>
          <w:lang w:val="it-IT"/>
        </w:rPr>
      </w:pPr>
      <w:r w:rsidRPr="00C9575C">
        <w:rPr>
          <w:szCs w:val="22"/>
          <w:lang w:val="it-IT"/>
        </w:rPr>
        <w:t xml:space="preserve">Tenere fuori dalla </w:t>
      </w:r>
      <w:r w:rsidR="00922052" w:rsidRPr="00C9575C">
        <w:rPr>
          <w:szCs w:val="22"/>
          <w:lang w:val="it-IT"/>
        </w:rPr>
        <w:t xml:space="preserve">vista </w:t>
      </w:r>
      <w:r w:rsidRPr="00C9575C">
        <w:rPr>
          <w:szCs w:val="22"/>
          <w:lang w:val="it-IT"/>
        </w:rPr>
        <w:t xml:space="preserve">e dalla </w:t>
      </w:r>
      <w:r w:rsidR="00922052" w:rsidRPr="00C9575C">
        <w:rPr>
          <w:szCs w:val="22"/>
          <w:lang w:val="it-IT"/>
        </w:rPr>
        <w:t xml:space="preserve">portata </w:t>
      </w:r>
      <w:r w:rsidRPr="00C9575C">
        <w:rPr>
          <w:szCs w:val="22"/>
          <w:lang w:val="it-IT"/>
        </w:rPr>
        <w:t>dei bambini</w:t>
      </w:r>
    </w:p>
    <w:p w14:paraId="35E822D8" w14:textId="77777777" w:rsidR="0084378B" w:rsidRPr="00C9575C" w:rsidRDefault="0084378B">
      <w:pPr>
        <w:widowControl w:val="0"/>
        <w:suppressAutoHyphens/>
        <w:rPr>
          <w:szCs w:val="22"/>
          <w:lang w:val="it-IT"/>
        </w:rPr>
      </w:pPr>
    </w:p>
    <w:p w14:paraId="258D8473"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5A0F3A21" w14:textId="77777777">
        <w:tc>
          <w:tcPr>
            <w:tcW w:w="9298" w:type="dxa"/>
          </w:tcPr>
          <w:p w14:paraId="411EEA4C" w14:textId="77777777" w:rsidR="0084378B" w:rsidRPr="00C9575C" w:rsidRDefault="0084378B">
            <w:pPr>
              <w:widowControl w:val="0"/>
              <w:suppressAutoHyphens/>
              <w:ind w:left="567" w:hanging="567"/>
              <w:rPr>
                <w:b/>
                <w:szCs w:val="22"/>
                <w:lang w:val="it-IT"/>
              </w:rPr>
            </w:pPr>
            <w:r w:rsidRPr="00C9575C">
              <w:rPr>
                <w:b/>
                <w:szCs w:val="22"/>
                <w:lang w:val="it-IT"/>
              </w:rPr>
              <w:t>7.</w:t>
            </w:r>
            <w:r w:rsidRPr="00C9575C">
              <w:rPr>
                <w:b/>
                <w:szCs w:val="22"/>
                <w:lang w:val="it-IT"/>
              </w:rPr>
              <w:tab/>
              <w:t>ALTRA(E) AV</w:t>
            </w:r>
            <w:smartTag w:uri="schemas-GSKSiteLocations-com/fourthcoffee" w:element="flavor">
              <w:r w:rsidRPr="00C9575C">
                <w:rPr>
                  <w:b/>
                  <w:szCs w:val="22"/>
                  <w:lang w:val="it-IT"/>
                </w:rPr>
                <w:t>VER</w:t>
              </w:r>
            </w:smartTag>
            <w:r w:rsidRPr="00C9575C">
              <w:rPr>
                <w:b/>
                <w:szCs w:val="22"/>
                <w:lang w:val="it-IT"/>
              </w:rPr>
              <w:t>TENZA(E) PARTICOLARE(I), SE NECESSARIO</w:t>
            </w:r>
          </w:p>
        </w:tc>
      </w:tr>
    </w:tbl>
    <w:p w14:paraId="1535D9A2" w14:textId="77777777" w:rsidR="0084378B" w:rsidRPr="00C9575C" w:rsidRDefault="0084378B">
      <w:pPr>
        <w:widowControl w:val="0"/>
        <w:suppressAutoHyphens/>
        <w:rPr>
          <w:szCs w:val="22"/>
          <w:lang w:val="it-IT"/>
        </w:rPr>
      </w:pPr>
    </w:p>
    <w:p w14:paraId="4DEAE6EE" w14:textId="77777777" w:rsidR="0084378B" w:rsidRPr="00C9575C" w:rsidRDefault="0084378B">
      <w:pPr>
        <w:widowControl w:val="0"/>
        <w:suppressAutoHyphens/>
        <w:rPr>
          <w:color w:val="000000"/>
          <w:szCs w:val="22"/>
          <w:lang w:val="it-IT"/>
        </w:rPr>
      </w:pPr>
    </w:p>
    <w:p w14:paraId="47AA1273" w14:textId="77777777" w:rsidR="0084378B" w:rsidRPr="00C9575C" w:rsidRDefault="0084378B">
      <w:pPr>
        <w:widowControl w:val="0"/>
        <w:rPr>
          <w:color w:val="000000"/>
          <w:szCs w:val="22"/>
          <w:lang w:val="it-IT"/>
        </w:rPr>
      </w:pPr>
      <w:r w:rsidRPr="00C9575C">
        <w:rPr>
          <w:color w:val="000000"/>
          <w:szCs w:val="22"/>
          <w:lang w:val="it-IT"/>
        </w:rPr>
        <w:t>Staccare l’acclus</w:t>
      </w:r>
      <w:r w:rsidR="00D201E0" w:rsidRPr="00C9575C">
        <w:rPr>
          <w:color w:val="000000"/>
          <w:szCs w:val="22"/>
          <w:lang w:val="it-IT"/>
        </w:rPr>
        <w:t>a</w:t>
      </w:r>
      <w:r w:rsidR="000F517E" w:rsidRPr="00C9575C">
        <w:rPr>
          <w:color w:val="000000"/>
          <w:szCs w:val="22"/>
          <w:lang w:val="it-IT"/>
        </w:rPr>
        <w:t xml:space="preserve"> </w:t>
      </w:r>
      <w:r w:rsidR="00D201E0" w:rsidRPr="00C9575C">
        <w:rPr>
          <w:color w:val="000000"/>
          <w:szCs w:val="22"/>
          <w:lang w:val="it-IT"/>
        </w:rPr>
        <w:t>Scheda di Allerta</w:t>
      </w:r>
      <w:r w:rsidR="000F517E" w:rsidRPr="00C9575C">
        <w:rPr>
          <w:color w:val="000000"/>
          <w:szCs w:val="22"/>
          <w:lang w:val="it-IT"/>
        </w:rPr>
        <w:t xml:space="preserve"> </w:t>
      </w:r>
      <w:r w:rsidR="00D201E0" w:rsidRPr="00C9575C">
        <w:rPr>
          <w:color w:val="000000"/>
          <w:szCs w:val="22"/>
          <w:lang w:val="it-IT"/>
        </w:rPr>
        <w:t xml:space="preserve">contenente </w:t>
      </w:r>
      <w:r w:rsidRPr="00C9575C">
        <w:rPr>
          <w:color w:val="000000"/>
          <w:szCs w:val="22"/>
          <w:lang w:val="it-IT"/>
        </w:rPr>
        <w:t>importanti informazioni sulla sicurezza</w:t>
      </w:r>
    </w:p>
    <w:p w14:paraId="6292A562" w14:textId="77777777" w:rsidR="0084378B" w:rsidRPr="00C9575C" w:rsidRDefault="0084378B">
      <w:pPr>
        <w:widowControl w:val="0"/>
        <w:rPr>
          <w:b/>
          <w:color w:val="000000"/>
          <w:szCs w:val="22"/>
          <w:lang w:val="it-IT"/>
        </w:rPr>
      </w:pPr>
    </w:p>
    <w:p w14:paraId="2EDF981D" w14:textId="77777777" w:rsidR="0084378B" w:rsidRPr="00C9575C" w:rsidRDefault="000E57BE">
      <w:pPr>
        <w:widowControl w:val="0"/>
        <w:rPr>
          <w:color w:val="000000"/>
          <w:szCs w:val="22"/>
          <w:lang w:val="it-IT"/>
        </w:rPr>
      </w:pPr>
      <w:r w:rsidRPr="00C9575C">
        <w:rPr>
          <w:color w:val="000000"/>
          <w:szCs w:val="22"/>
          <w:lang w:val="it-IT"/>
        </w:rPr>
        <w:t>ATTENZIONE</w:t>
      </w:r>
      <w:r w:rsidR="0084378B" w:rsidRPr="00C9575C">
        <w:rPr>
          <w:color w:val="000000"/>
          <w:szCs w:val="22"/>
          <w:lang w:val="it-IT"/>
        </w:rPr>
        <w:t>!</w:t>
      </w:r>
      <w:r w:rsidR="0084378B" w:rsidRPr="00C9575C">
        <w:rPr>
          <w:b/>
          <w:color w:val="000000"/>
          <w:szCs w:val="22"/>
          <w:lang w:val="it-IT"/>
        </w:rPr>
        <w:t xml:space="preserve"> </w:t>
      </w:r>
      <w:r w:rsidR="0084378B" w:rsidRPr="00C9575C">
        <w:rPr>
          <w:color w:val="000000"/>
          <w:szCs w:val="22"/>
          <w:lang w:val="it-IT"/>
        </w:rPr>
        <w:t>In caso di qualsiasi sintomo che indichi reazioni di ipersensibilità contattare il medico IMMEDIATAMENTE</w:t>
      </w:r>
    </w:p>
    <w:p w14:paraId="52DB5F82" w14:textId="77777777" w:rsidR="0084378B" w:rsidRPr="00C9575C" w:rsidRDefault="0084378B">
      <w:pPr>
        <w:widowControl w:val="0"/>
        <w:rPr>
          <w:color w:val="000000"/>
          <w:szCs w:val="22"/>
          <w:lang w:val="it-IT"/>
        </w:rPr>
      </w:pPr>
    </w:p>
    <w:p w14:paraId="44EBE94D" w14:textId="77777777" w:rsidR="0084378B" w:rsidRPr="00C9575C" w:rsidRDefault="0084378B">
      <w:pPr>
        <w:widowControl w:val="0"/>
        <w:rPr>
          <w:color w:val="000000"/>
          <w:szCs w:val="22"/>
          <w:lang w:val="it-IT"/>
        </w:rPr>
      </w:pPr>
      <w:r w:rsidRPr="00C9575C">
        <w:rPr>
          <w:color w:val="000000"/>
          <w:szCs w:val="22"/>
          <w:lang w:val="it-IT"/>
        </w:rPr>
        <w:t>“Tirare qui”</w:t>
      </w:r>
    </w:p>
    <w:p w14:paraId="2961F81B" w14:textId="77777777" w:rsidR="0084378B" w:rsidRPr="00C9575C" w:rsidRDefault="0084378B">
      <w:pPr>
        <w:widowControl w:val="0"/>
        <w:suppressAutoHyphens/>
        <w:rPr>
          <w:szCs w:val="22"/>
          <w:lang w:val="it-IT"/>
        </w:rPr>
      </w:pPr>
    </w:p>
    <w:p w14:paraId="2E77E213"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5FF00A72" w14:textId="77777777">
        <w:tc>
          <w:tcPr>
            <w:tcW w:w="9298" w:type="dxa"/>
          </w:tcPr>
          <w:p w14:paraId="4828CA91" w14:textId="77777777" w:rsidR="0084378B" w:rsidRPr="00C9575C" w:rsidRDefault="0084378B">
            <w:pPr>
              <w:widowControl w:val="0"/>
              <w:suppressAutoHyphens/>
              <w:ind w:left="567" w:hanging="567"/>
              <w:rPr>
                <w:b/>
                <w:szCs w:val="22"/>
                <w:lang w:val="it-IT"/>
              </w:rPr>
            </w:pPr>
            <w:r w:rsidRPr="00C9575C">
              <w:rPr>
                <w:b/>
                <w:szCs w:val="22"/>
                <w:lang w:val="it-IT"/>
              </w:rPr>
              <w:t>8.</w:t>
            </w:r>
            <w:r w:rsidRPr="00C9575C">
              <w:rPr>
                <w:b/>
                <w:szCs w:val="22"/>
                <w:lang w:val="it-IT"/>
              </w:rPr>
              <w:tab/>
              <w:t>DATA DI SCADENZA</w:t>
            </w:r>
          </w:p>
        </w:tc>
      </w:tr>
    </w:tbl>
    <w:p w14:paraId="16CD953A" w14:textId="77777777" w:rsidR="0084378B" w:rsidRPr="00C9575C" w:rsidRDefault="0084378B">
      <w:pPr>
        <w:widowControl w:val="0"/>
        <w:suppressAutoHyphens/>
        <w:rPr>
          <w:szCs w:val="22"/>
          <w:lang w:val="it-IT"/>
        </w:rPr>
      </w:pPr>
    </w:p>
    <w:p w14:paraId="67E2956E" w14:textId="77777777" w:rsidR="0084378B" w:rsidRPr="00C9575C" w:rsidRDefault="0084378B">
      <w:pPr>
        <w:widowControl w:val="0"/>
        <w:suppressAutoHyphens/>
        <w:rPr>
          <w:szCs w:val="22"/>
          <w:lang w:val="it-IT"/>
        </w:rPr>
      </w:pPr>
      <w:r w:rsidRPr="00C9575C">
        <w:rPr>
          <w:szCs w:val="22"/>
          <w:lang w:val="it-IT"/>
        </w:rPr>
        <w:t xml:space="preserve">Scad. </w:t>
      </w:r>
    </w:p>
    <w:p w14:paraId="7A8B821C" w14:textId="77777777" w:rsidR="0084378B" w:rsidRPr="00C9575C" w:rsidRDefault="0084378B">
      <w:pPr>
        <w:widowControl w:val="0"/>
        <w:suppressAutoHyphens/>
        <w:rPr>
          <w:szCs w:val="22"/>
          <w:lang w:val="it-IT"/>
        </w:rPr>
      </w:pPr>
    </w:p>
    <w:p w14:paraId="550B749E"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28B3E418" w14:textId="77777777">
        <w:tc>
          <w:tcPr>
            <w:tcW w:w="9298" w:type="dxa"/>
          </w:tcPr>
          <w:p w14:paraId="3385A266" w14:textId="77777777" w:rsidR="0084378B" w:rsidRPr="00C9575C" w:rsidRDefault="0084378B">
            <w:pPr>
              <w:widowControl w:val="0"/>
              <w:suppressAutoHyphens/>
              <w:ind w:left="567" w:hanging="567"/>
              <w:rPr>
                <w:b/>
                <w:szCs w:val="22"/>
                <w:lang w:val="it-IT"/>
              </w:rPr>
            </w:pPr>
            <w:r w:rsidRPr="00C9575C">
              <w:rPr>
                <w:b/>
                <w:szCs w:val="22"/>
                <w:lang w:val="it-IT"/>
              </w:rPr>
              <w:lastRenderedPageBreak/>
              <w:t>9.</w:t>
            </w:r>
            <w:r w:rsidRPr="00C9575C">
              <w:rPr>
                <w:b/>
                <w:szCs w:val="22"/>
                <w:lang w:val="it-IT"/>
              </w:rPr>
              <w:tab/>
              <w:t>PRECAUZIONI PARTICOLARI PER LA CONSERVAZIONE</w:t>
            </w:r>
          </w:p>
        </w:tc>
      </w:tr>
    </w:tbl>
    <w:p w14:paraId="184239AC" w14:textId="77777777" w:rsidR="0084378B" w:rsidRPr="00C9575C" w:rsidRDefault="0084378B">
      <w:pPr>
        <w:widowControl w:val="0"/>
        <w:tabs>
          <w:tab w:val="left" w:pos="567"/>
        </w:tabs>
        <w:rPr>
          <w:szCs w:val="22"/>
          <w:lang w:val="it-IT"/>
        </w:rPr>
      </w:pPr>
    </w:p>
    <w:p w14:paraId="3FAB43DE" w14:textId="77777777" w:rsidR="0084378B" w:rsidRPr="00C9575C" w:rsidRDefault="0084378B">
      <w:pPr>
        <w:widowControl w:val="0"/>
        <w:tabs>
          <w:tab w:val="left" w:pos="567"/>
        </w:tabs>
        <w:rPr>
          <w:szCs w:val="22"/>
          <w:lang w:val="it-IT"/>
        </w:rPr>
      </w:pPr>
      <w:r w:rsidRPr="00C9575C">
        <w:rPr>
          <w:szCs w:val="22"/>
          <w:lang w:val="it-IT"/>
        </w:rPr>
        <w:t>Conservare a t</w:t>
      </w:r>
      <w:r w:rsidR="00B25201" w:rsidRPr="00C9575C">
        <w:rPr>
          <w:szCs w:val="22"/>
          <w:lang w:val="it-IT"/>
        </w:rPr>
        <w:t xml:space="preserve">emperatura non superiore ai </w:t>
      </w:r>
      <w:smartTag w:uri="urn:schemas-microsoft-com:office:smarttags" w:element="metricconverter">
        <w:smartTagPr>
          <w:attr w:name="ProductID" w:val="30ﾰC"/>
        </w:smartTagPr>
        <w:r w:rsidR="00B25201" w:rsidRPr="00C9575C">
          <w:rPr>
            <w:szCs w:val="22"/>
            <w:lang w:val="it-IT"/>
          </w:rPr>
          <w:t>30°</w:t>
        </w:r>
        <w:r w:rsidRPr="00C9575C">
          <w:rPr>
            <w:szCs w:val="22"/>
            <w:lang w:val="it-IT"/>
          </w:rPr>
          <w:t>C</w:t>
        </w:r>
      </w:smartTag>
    </w:p>
    <w:p w14:paraId="285760F5" w14:textId="77777777" w:rsidR="0084378B" w:rsidRPr="00C9575C" w:rsidRDefault="0084378B">
      <w:pPr>
        <w:widowControl w:val="0"/>
        <w:suppressAutoHyphens/>
        <w:rPr>
          <w:szCs w:val="22"/>
          <w:lang w:val="it-IT"/>
        </w:rPr>
      </w:pPr>
    </w:p>
    <w:p w14:paraId="3B2F7185"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1E05577C" w14:textId="77777777">
        <w:tc>
          <w:tcPr>
            <w:tcW w:w="9298" w:type="dxa"/>
          </w:tcPr>
          <w:p w14:paraId="2622BEFB" w14:textId="77777777" w:rsidR="0084378B" w:rsidRPr="00C9575C" w:rsidRDefault="0084378B">
            <w:pPr>
              <w:widowControl w:val="0"/>
              <w:suppressAutoHyphens/>
              <w:ind w:left="567" w:hanging="567"/>
              <w:rPr>
                <w:b/>
                <w:szCs w:val="22"/>
                <w:lang w:val="it-IT"/>
              </w:rPr>
            </w:pPr>
            <w:r w:rsidRPr="00C9575C">
              <w:rPr>
                <w:b/>
                <w:szCs w:val="22"/>
                <w:lang w:val="it-IT"/>
              </w:rPr>
              <w:t>10.</w:t>
            </w:r>
            <w:r w:rsidRPr="00C9575C">
              <w:rPr>
                <w:b/>
                <w:szCs w:val="22"/>
                <w:lang w:val="it-IT"/>
              </w:rPr>
              <w:tab/>
              <w:t>PRECAUZIONI PARTICOLARI PER LO SMALTIMENTO DEL MEDICINALE NON UTILIZZATO O DEI RIFIUTI DERIVATI DA TALE MEDICINALE, SE NECESSARIO</w:t>
            </w:r>
          </w:p>
        </w:tc>
      </w:tr>
    </w:tbl>
    <w:p w14:paraId="4DFA01A5" w14:textId="77777777" w:rsidR="0084378B" w:rsidRPr="00C9575C" w:rsidRDefault="0084378B">
      <w:pPr>
        <w:widowControl w:val="0"/>
        <w:suppressAutoHyphens/>
        <w:rPr>
          <w:szCs w:val="22"/>
          <w:lang w:val="it-IT"/>
        </w:rPr>
      </w:pPr>
    </w:p>
    <w:p w14:paraId="0B1DE95E"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13174EBC" w14:textId="77777777">
        <w:tc>
          <w:tcPr>
            <w:tcW w:w="9298" w:type="dxa"/>
          </w:tcPr>
          <w:p w14:paraId="158E6722" w14:textId="77777777" w:rsidR="0084378B" w:rsidRPr="00C9575C" w:rsidRDefault="0084378B">
            <w:pPr>
              <w:widowControl w:val="0"/>
              <w:suppressAutoHyphens/>
              <w:ind w:left="567" w:hanging="567"/>
              <w:rPr>
                <w:b/>
                <w:szCs w:val="22"/>
                <w:lang w:val="it-IT"/>
              </w:rPr>
            </w:pPr>
            <w:r w:rsidRPr="00C9575C">
              <w:rPr>
                <w:b/>
                <w:szCs w:val="22"/>
                <w:lang w:val="it-IT"/>
              </w:rPr>
              <w:t>11.</w:t>
            </w:r>
            <w:r w:rsidRPr="00C9575C">
              <w:rPr>
                <w:b/>
                <w:szCs w:val="22"/>
                <w:lang w:val="it-IT"/>
              </w:rPr>
              <w:tab/>
              <w:t>NOME E INDIRIZZO DEL TITOLARE DELL'AUTORIZZAZIONE ALL’IMMISSIONE IN COMMERCIO</w:t>
            </w:r>
          </w:p>
        </w:tc>
      </w:tr>
    </w:tbl>
    <w:p w14:paraId="00342B70" w14:textId="77777777" w:rsidR="0084378B" w:rsidRPr="00C9575C" w:rsidRDefault="0084378B">
      <w:pPr>
        <w:widowControl w:val="0"/>
        <w:suppressAutoHyphens/>
        <w:rPr>
          <w:szCs w:val="22"/>
          <w:lang w:val="it-IT"/>
        </w:rPr>
      </w:pPr>
    </w:p>
    <w:p w14:paraId="6C731072" w14:textId="77777777" w:rsidR="006C04AA" w:rsidRPr="00C03451" w:rsidRDefault="006C04AA" w:rsidP="006C04AA">
      <w:pPr>
        <w:rPr>
          <w:szCs w:val="22"/>
          <w:lang w:val="it-IT"/>
        </w:rPr>
      </w:pPr>
      <w:r w:rsidRPr="00C03451">
        <w:rPr>
          <w:szCs w:val="22"/>
          <w:lang w:val="it-IT"/>
        </w:rPr>
        <w:t>ViiV Healthcare BV</w:t>
      </w:r>
    </w:p>
    <w:p w14:paraId="154ADE6D" w14:textId="77777777" w:rsidR="009373EB" w:rsidRPr="00C03451" w:rsidRDefault="009373EB" w:rsidP="009373EB">
      <w:pPr>
        <w:rPr>
          <w:szCs w:val="22"/>
          <w:lang w:val="it-IT"/>
        </w:rPr>
      </w:pPr>
      <w:r w:rsidRPr="00C03451">
        <w:rPr>
          <w:szCs w:val="22"/>
          <w:lang w:val="it-IT"/>
        </w:rPr>
        <w:t>Van Asch van Wijckstraat 55H</w:t>
      </w:r>
    </w:p>
    <w:p w14:paraId="7443CAF2" w14:textId="77777777" w:rsidR="0017227F" w:rsidRPr="00C03451" w:rsidRDefault="009373EB" w:rsidP="006C04AA">
      <w:pPr>
        <w:pStyle w:val="Header"/>
        <w:tabs>
          <w:tab w:val="clear" w:pos="4153"/>
          <w:tab w:val="clear" w:pos="8306"/>
        </w:tabs>
        <w:rPr>
          <w:szCs w:val="22"/>
          <w:lang w:val="it-IT"/>
        </w:rPr>
      </w:pPr>
      <w:r w:rsidRPr="00C03451">
        <w:rPr>
          <w:szCs w:val="22"/>
          <w:lang w:val="it-IT"/>
        </w:rPr>
        <w:t>3811 LP Amersfoort</w:t>
      </w:r>
    </w:p>
    <w:p w14:paraId="67CD8D76" w14:textId="77777777" w:rsidR="006C04AA" w:rsidRPr="00C03451" w:rsidRDefault="006C04AA" w:rsidP="006C04AA">
      <w:pPr>
        <w:pStyle w:val="Header"/>
        <w:tabs>
          <w:tab w:val="clear" w:pos="4153"/>
          <w:tab w:val="clear" w:pos="8306"/>
        </w:tabs>
        <w:rPr>
          <w:szCs w:val="22"/>
          <w:lang w:val="it-IT"/>
        </w:rPr>
      </w:pPr>
      <w:r w:rsidRPr="00C03451">
        <w:rPr>
          <w:szCs w:val="22"/>
          <w:lang w:val="it-IT"/>
        </w:rPr>
        <w:t>Olanda</w:t>
      </w:r>
    </w:p>
    <w:p w14:paraId="53B8E944" w14:textId="77777777" w:rsidR="0084378B" w:rsidRPr="00C03451" w:rsidRDefault="0084378B">
      <w:pPr>
        <w:widowControl w:val="0"/>
        <w:suppressAutoHyphens/>
        <w:rPr>
          <w:szCs w:val="22"/>
          <w:lang w:val="it-IT"/>
        </w:rPr>
      </w:pPr>
    </w:p>
    <w:p w14:paraId="77D9CA23" w14:textId="77777777" w:rsidR="0084378B" w:rsidRPr="00C03451"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41B2D745" w14:textId="77777777">
        <w:tc>
          <w:tcPr>
            <w:tcW w:w="9298" w:type="dxa"/>
          </w:tcPr>
          <w:p w14:paraId="792CAB41" w14:textId="77777777" w:rsidR="0084378B" w:rsidRPr="00C9575C" w:rsidRDefault="0084378B">
            <w:pPr>
              <w:widowControl w:val="0"/>
              <w:suppressAutoHyphens/>
              <w:ind w:left="567" w:hanging="567"/>
              <w:rPr>
                <w:b/>
                <w:szCs w:val="22"/>
                <w:lang w:val="it-IT"/>
              </w:rPr>
            </w:pPr>
            <w:r w:rsidRPr="00C9575C">
              <w:rPr>
                <w:b/>
                <w:szCs w:val="22"/>
                <w:lang w:val="it-IT"/>
              </w:rPr>
              <w:t>12.</w:t>
            </w:r>
            <w:r w:rsidRPr="00C9575C">
              <w:rPr>
                <w:b/>
                <w:szCs w:val="22"/>
                <w:lang w:val="it-IT"/>
              </w:rPr>
              <w:tab/>
              <w:t>NUMERO(I) DELL’AUTORIZZAZIONE (DELLE AUTORIZZAZIONI) ALL’IMMISSIONE IN COMMERCIO</w:t>
            </w:r>
          </w:p>
        </w:tc>
      </w:tr>
    </w:tbl>
    <w:p w14:paraId="04F9593F" w14:textId="77777777" w:rsidR="0084378B" w:rsidRPr="00C9575C" w:rsidRDefault="0084378B">
      <w:pPr>
        <w:widowControl w:val="0"/>
        <w:suppressAutoHyphens/>
        <w:rPr>
          <w:szCs w:val="22"/>
          <w:lang w:val="it-IT"/>
        </w:rPr>
      </w:pPr>
    </w:p>
    <w:p w14:paraId="6CE17DEE"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6DA0BB4C" w14:textId="77777777">
        <w:tc>
          <w:tcPr>
            <w:tcW w:w="9298" w:type="dxa"/>
          </w:tcPr>
          <w:p w14:paraId="21A90E92" w14:textId="77777777" w:rsidR="0084378B" w:rsidRPr="00C9575C" w:rsidRDefault="0084378B">
            <w:pPr>
              <w:widowControl w:val="0"/>
              <w:suppressAutoHyphens/>
              <w:ind w:left="567" w:hanging="567"/>
              <w:rPr>
                <w:b/>
                <w:szCs w:val="22"/>
                <w:lang w:val="it-IT"/>
              </w:rPr>
            </w:pPr>
            <w:r w:rsidRPr="00C9575C">
              <w:rPr>
                <w:b/>
                <w:szCs w:val="22"/>
                <w:lang w:val="it-IT"/>
              </w:rPr>
              <w:t>13.</w:t>
            </w:r>
            <w:r w:rsidRPr="00C9575C">
              <w:rPr>
                <w:b/>
                <w:szCs w:val="22"/>
                <w:lang w:val="it-IT"/>
              </w:rPr>
              <w:tab/>
              <w:t>NUMERO DI LOTTO</w:t>
            </w:r>
          </w:p>
        </w:tc>
      </w:tr>
    </w:tbl>
    <w:p w14:paraId="4A3E3EA8" w14:textId="77777777" w:rsidR="0084378B" w:rsidRPr="00C9575C" w:rsidRDefault="0084378B">
      <w:pPr>
        <w:widowControl w:val="0"/>
        <w:suppressAutoHyphens/>
        <w:rPr>
          <w:szCs w:val="22"/>
          <w:lang w:val="it-IT"/>
        </w:rPr>
      </w:pPr>
    </w:p>
    <w:p w14:paraId="50F68A2C" w14:textId="77777777" w:rsidR="0084378B" w:rsidRPr="00C9575C" w:rsidRDefault="0084378B">
      <w:pPr>
        <w:widowControl w:val="0"/>
        <w:suppressAutoHyphens/>
        <w:rPr>
          <w:szCs w:val="22"/>
          <w:lang w:val="it-IT"/>
        </w:rPr>
      </w:pPr>
      <w:r w:rsidRPr="00C9575C">
        <w:rPr>
          <w:szCs w:val="22"/>
          <w:lang w:val="it-IT"/>
        </w:rPr>
        <w:t>Lotto</w:t>
      </w:r>
    </w:p>
    <w:p w14:paraId="1D1F9D57" w14:textId="77777777" w:rsidR="0084378B" w:rsidRPr="00C9575C" w:rsidRDefault="0084378B">
      <w:pPr>
        <w:widowControl w:val="0"/>
        <w:suppressAutoHyphens/>
        <w:rPr>
          <w:szCs w:val="22"/>
          <w:lang w:val="it-IT"/>
        </w:rPr>
      </w:pPr>
    </w:p>
    <w:p w14:paraId="60E3E6E6"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710CC078" w14:textId="77777777">
        <w:tc>
          <w:tcPr>
            <w:tcW w:w="9298" w:type="dxa"/>
          </w:tcPr>
          <w:p w14:paraId="221DECA8" w14:textId="77777777" w:rsidR="0084378B" w:rsidRPr="00C9575C" w:rsidRDefault="0084378B">
            <w:pPr>
              <w:widowControl w:val="0"/>
              <w:suppressAutoHyphens/>
              <w:ind w:left="567" w:hanging="567"/>
              <w:rPr>
                <w:b/>
                <w:szCs w:val="22"/>
                <w:lang w:val="it-IT"/>
              </w:rPr>
            </w:pPr>
            <w:r w:rsidRPr="00C9575C">
              <w:rPr>
                <w:b/>
                <w:szCs w:val="22"/>
                <w:lang w:val="it-IT"/>
              </w:rPr>
              <w:t>14.</w:t>
            </w:r>
            <w:r w:rsidRPr="00C9575C">
              <w:rPr>
                <w:b/>
                <w:szCs w:val="22"/>
                <w:lang w:val="it-IT"/>
              </w:rPr>
              <w:tab/>
              <w:t xml:space="preserve">CONDIZIONE </w:t>
            </w:r>
            <w:smartTag w:uri="schemas-GSKSiteLocations-com/fourthcoffee" w:element="flavor">
              <w:r w:rsidRPr="00C9575C">
                <w:rPr>
                  <w:b/>
                  <w:szCs w:val="22"/>
                  <w:lang w:val="it-IT"/>
                </w:rPr>
                <w:t>GEN</w:t>
              </w:r>
            </w:smartTag>
            <w:r w:rsidRPr="00C9575C">
              <w:rPr>
                <w:b/>
                <w:szCs w:val="22"/>
                <w:lang w:val="it-IT"/>
              </w:rPr>
              <w:t>ERALE DI FORNITURA</w:t>
            </w:r>
          </w:p>
        </w:tc>
      </w:tr>
    </w:tbl>
    <w:p w14:paraId="1140BAD3" w14:textId="77777777" w:rsidR="0084378B" w:rsidRPr="00C9575C" w:rsidRDefault="0084378B">
      <w:pPr>
        <w:widowControl w:val="0"/>
        <w:tabs>
          <w:tab w:val="left" w:pos="567"/>
        </w:tabs>
        <w:rPr>
          <w:szCs w:val="22"/>
          <w:lang w:val="it-IT"/>
        </w:rPr>
      </w:pPr>
    </w:p>
    <w:p w14:paraId="7B4BF49C" w14:textId="77777777" w:rsidR="0084378B" w:rsidRPr="00C9575C" w:rsidRDefault="0084378B">
      <w:pPr>
        <w:widowControl w:val="0"/>
        <w:tabs>
          <w:tab w:val="left" w:pos="567"/>
        </w:tabs>
        <w:rPr>
          <w:szCs w:val="22"/>
          <w:lang w:val="it-IT"/>
        </w:rPr>
      </w:pPr>
      <w:r w:rsidRPr="00C9575C">
        <w:rPr>
          <w:szCs w:val="22"/>
          <w:lang w:val="it-IT"/>
        </w:rPr>
        <w:t>Medicinale soggetto a prescrizione medica</w:t>
      </w:r>
    </w:p>
    <w:p w14:paraId="2BF3FB36" w14:textId="77777777" w:rsidR="0084378B" w:rsidRPr="00C9575C" w:rsidRDefault="0084378B">
      <w:pPr>
        <w:widowControl w:val="0"/>
        <w:suppressAutoHyphens/>
        <w:rPr>
          <w:szCs w:val="22"/>
          <w:lang w:val="it-IT"/>
        </w:rPr>
      </w:pPr>
    </w:p>
    <w:p w14:paraId="49F907E1" w14:textId="77777777" w:rsidR="0084378B" w:rsidRPr="00C9575C" w:rsidRDefault="0084378B">
      <w:pPr>
        <w:widowControl w:val="0"/>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0D78BD9A" w14:textId="77777777">
        <w:tc>
          <w:tcPr>
            <w:tcW w:w="9298" w:type="dxa"/>
          </w:tcPr>
          <w:p w14:paraId="71B02498" w14:textId="77777777" w:rsidR="0084378B" w:rsidRPr="00C9575C" w:rsidRDefault="0084378B">
            <w:pPr>
              <w:widowControl w:val="0"/>
              <w:suppressAutoHyphens/>
              <w:ind w:left="567" w:hanging="567"/>
              <w:rPr>
                <w:b/>
                <w:szCs w:val="22"/>
                <w:lang w:val="it-IT"/>
              </w:rPr>
            </w:pPr>
            <w:r w:rsidRPr="00C9575C">
              <w:rPr>
                <w:b/>
                <w:szCs w:val="22"/>
                <w:lang w:val="it-IT"/>
              </w:rPr>
              <w:t>15.</w:t>
            </w:r>
            <w:r w:rsidRPr="00C9575C">
              <w:rPr>
                <w:b/>
                <w:szCs w:val="22"/>
                <w:lang w:val="it-IT"/>
              </w:rPr>
              <w:tab/>
              <w:t>ISTRUZIONI PER L’USO</w:t>
            </w:r>
          </w:p>
        </w:tc>
      </w:tr>
    </w:tbl>
    <w:p w14:paraId="6C0E8373" w14:textId="77777777" w:rsidR="0084378B" w:rsidRPr="00C9575C" w:rsidRDefault="0084378B">
      <w:pPr>
        <w:widowControl w:val="0"/>
        <w:tabs>
          <w:tab w:val="left" w:pos="567"/>
        </w:tabs>
        <w:jc w:val="both"/>
        <w:rPr>
          <w:b/>
          <w:szCs w:val="22"/>
          <w:lang w:val="it-IT"/>
        </w:rPr>
      </w:pPr>
    </w:p>
    <w:p w14:paraId="03D5D010" w14:textId="77777777" w:rsidR="0084378B" w:rsidRPr="00C9575C" w:rsidRDefault="0084378B">
      <w:pPr>
        <w:widowControl w:val="0"/>
        <w:suppressAutoHyphens/>
        <w:rP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39056137" w14:textId="77777777">
        <w:tc>
          <w:tcPr>
            <w:tcW w:w="9298" w:type="dxa"/>
          </w:tcPr>
          <w:p w14:paraId="3C9B9DE6" w14:textId="77777777" w:rsidR="0084378B" w:rsidRPr="00C9575C" w:rsidRDefault="0084378B">
            <w:pPr>
              <w:widowControl w:val="0"/>
              <w:suppressAutoHyphens/>
              <w:ind w:left="567" w:hanging="567"/>
              <w:rPr>
                <w:b/>
                <w:szCs w:val="22"/>
                <w:lang w:val="it-IT"/>
              </w:rPr>
            </w:pPr>
            <w:r w:rsidRPr="00C9575C">
              <w:rPr>
                <w:b/>
                <w:szCs w:val="22"/>
                <w:lang w:val="it-IT"/>
              </w:rPr>
              <w:t>16.</w:t>
            </w:r>
            <w:r w:rsidRPr="00C9575C">
              <w:rPr>
                <w:b/>
                <w:szCs w:val="22"/>
                <w:lang w:val="it-IT"/>
              </w:rPr>
              <w:tab/>
              <w:t>INFORMAZIONI IN BRAILLE</w:t>
            </w:r>
          </w:p>
        </w:tc>
      </w:tr>
    </w:tbl>
    <w:p w14:paraId="1E6F3A99" w14:textId="77777777" w:rsidR="0084378B" w:rsidRPr="00C9575C" w:rsidRDefault="0084378B">
      <w:pPr>
        <w:widowControl w:val="0"/>
        <w:tabs>
          <w:tab w:val="left" w:pos="567"/>
        </w:tabs>
        <w:jc w:val="both"/>
        <w:rPr>
          <w:b/>
          <w:szCs w:val="22"/>
          <w:lang w:val="it-IT"/>
        </w:rPr>
      </w:pPr>
    </w:p>
    <w:p w14:paraId="2C27BB3A" w14:textId="77777777" w:rsidR="0084378B" w:rsidRPr="00C9575C" w:rsidRDefault="00D84D90">
      <w:pPr>
        <w:widowControl w:val="0"/>
        <w:tabs>
          <w:tab w:val="left" w:pos="567"/>
        </w:tabs>
        <w:jc w:val="both"/>
        <w:rPr>
          <w:szCs w:val="22"/>
          <w:lang w:val="it-IT"/>
        </w:rPr>
      </w:pPr>
      <w:r w:rsidRPr="00C9575C">
        <w:rPr>
          <w:szCs w:val="22"/>
          <w:lang w:val="it-IT"/>
        </w:rPr>
        <w:t>K</w:t>
      </w:r>
      <w:r w:rsidR="00330822" w:rsidRPr="00C9575C">
        <w:rPr>
          <w:szCs w:val="22"/>
          <w:lang w:val="it-IT"/>
        </w:rPr>
        <w:t>ivexa</w:t>
      </w:r>
    </w:p>
    <w:p w14:paraId="0B466A07" w14:textId="77777777" w:rsidR="00D84D90" w:rsidRPr="00C9575C" w:rsidRDefault="00D84D90">
      <w:pPr>
        <w:widowControl w:val="0"/>
        <w:tabs>
          <w:tab w:val="left" w:pos="567"/>
        </w:tabs>
        <w:jc w:val="both"/>
        <w:rPr>
          <w:szCs w:val="22"/>
          <w:lang w:val="it-IT"/>
        </w:rPr>
      </w:pPr>
    </w:p>
    <w:p w14:paraId="275E4CBC" w14:textId="766C85EB" w:rsidR="00D84D90" w:rsidRPr="00C03451" w:rsidRDefault="00D84D90" w:rsidP="00706D6D">
      <w:pPr>
        <w:pStyle w:val="ListParagraph"/>
        <w:keepNext/>
        <w:pBdr>
          <w:top w:val="single" w:sz="4" w:space="1" w:color="auto"/>
          <w:left w:val="single" w:sz="4" w:space="4" w:color="auto"/>
          <w:bottom w:val="single" w:sz="4" w:space="1" w:color="auto"/>
          <w:right w:val="single" w:sz="4" w:space="4" w:color="auto"/>
        </w:pBdr>
        <w:tabs>
          <w:tab w:val="left" w:pos="0"/>
        </w:tabs>
        <w:spacing w:after="0" w:line="240" w:lineRule="auto"/>
        <w:ind w:left="0"/>
        <w:outlineLvl w:val="0"/>
        <w:rPr>
          <w:rFonts w:ascii="Times New Roman" w:hAnsi="Times New Roman"/>
          <w:i/>
          <w:lang w:val="it-IT"/>
        </w:rPr>
      </w:pPr>
      <w:r w:rsidRPr="00C03451">
        <w:rPr>
          <w:rFonts w:ascii="Times New Roman" w:hAnsi="Times New Roman"/>
          <w:b/>
          <w:lang w:val="it-IT"/>
        </w:rPr>
        <w:t>17</w:t>
      </w:r>
      <w:r w:rsidRPr="00C03451">
        <w:rPr>
          <w:rFonts w:ascii="Times New Roman" w:hAnsi="Times New Roman"/>
          <w:b/>
          <w:lang w:val="it-IT"/>
        </w:rPr>
        <w:tab/>
        <w:t>IDENTIFICATIVO UNICO – CODICE A BARRE BIDIMENSIONALE</w:t>
      </w:r>
      <w:r w:rsidR="0092155C">
        <w:rPr>
          <w:rFonts w:ascii="Times New Roman" w:hAnsi="Times New Roman"/>
          <w:b/>
          <w:lang w:val="it-IT"/>
        </w:rPr>
        <w:fldChar w:fldCharType="begin"/>
      </w:r>
      <w:r w:rsidR="0092155C">
        <w:rPr>
          <w:rFonts w:ascii="Times New Roman" w:hAnsi="Times New Roman"/>
          <w:b/>
          <w:lang w:val="it-IT"/>
        </w:rPr>
        <w:instrText xml:space="preserve"> DOCVARIABLE VAULT_ND_bf5c164a-e97d-4903-a747-a3f42bf666e0 \* MERGEFORMAT </w:instrText>
      </w:r>
      <w:r w:rsidR="0092155C">
        <w:rPr>
          <w:rFonts w:ascii="Times New Roman" w:hAnsi="Times New Roman"/>
          <w:b/>
          <w:lang w:val="it-IT"/>
        </w:rPr>
        <w:fldChar w:fldCharType="separate"/>
      </w:r>
      <w:r w:rsidR="0092155C">
        <w:rPr>
          <w:rFonts w:ascii="Times New Roman" w:hAnsi="Times New Roman"/>
          <w:b/>
          <w:lang w:val="it-IT"/>
        </w:rPr>
        <w:t xml:space="preserve"> </w:t>
      </w:r>
      <w:r w:rsidR="0092155C">
        <w:rPr>
          <w:rFonts w:ascii="Times New Roman" w:hAnsi="Times New Roman"/>
          <w:b/>
          <w:lang w:val="it-IT"/>
        </w:rPr>
        <w:fldChar w:fldCharType="end"/>
      </w:r>
    </w:p>
    <w:p w14:paraId="67B298FE" w14:textId="77777777" w:rsidR="00D84D90" w:rsidRPr="00C03451" w:rsidRDefault="00D84D90" w:rsidP="00D84D90">
      <w:pPr>
        <w:rPr>
          <w:szCs w:val="22"/>
          <w:shd w:val="clear" w:color="auto" w:fill="CCCCCC"/>
          <w:lang w:val="it-IT"/>
        </w:rPr>
      </w:pPr>
    </w:p>
    <w:p w14:paraId="49A43A2A" w14:textId="77777777" w:rsidR="00D84D90" w:rsidRPr="00C03451" w:rsidRDefault="00D84D90" w:rsidP="00D84D90">
      <w:pPr>
        <w:rPr>
          <w:lang w:val="it-IT"/>
        </w:rPr>
      </w:pPr>
    </w:p>
    <w:p w14:paraId="3C583AB2" w14:textId="1B1A5C63" w:rsidR="00D84D90" w:rsidRPr="00C03451" w:rsidRDefault="00D84D90" w:rsidP="00706D6D">
      <w:pPr>
        <w:pStyle w:val="ListParagraph"/>
        <w:keepNext/>
        <w:pBdr>
          <w:top w:val="single" w:sz="4" w:space="1" w:color="auto"/>
          <w:left w:val="single" w:sz="4" w:space="4" w:color="auto"/>
          <w:bottom w:val="single" w:sz="4" w:space="1" w:color="auto"/>
          <w:right w:val="single" w:sz="4" w:space="4" w:color="auto"/>
        </w:pBdr>
        <w:tabs>
          <w:tab w:val="left" w:pos="0"/>
        </w:tabs>
        <w:spacing w:after="0" w:line="240" w:lineRule="auto"/>
        <w:ind w:hanging="720"/>
        <w:outlineLvl w:val="0"/>
        <w:rPr>
          <w:rFonts w:ascii="Times New Roman" w:hAnsi="Times New Roman"/>
          <w:i/>
          <w:lang w:val="it-IT"/>
        </w:rPr>
      </w:pPr>
      <w:r w:rsidRPr="00C03451">
        <w:rPr>
          <w:rFonts w:ascii="Times New Roman" w:hAnsi="Times New Roman"/>
          <w:b/>
          <w:lang w:val="it-IT"/>
        </w:rPr>
        <w:t>18</w:t>
      </w:r>
      <w:r w:rsidRPr="00C03451">
        <w:rPr>
          <w:rFonts w:ascii="Times New Roman" w:hAnsi="Times New Roman"/>
          <w:b/>
          <w:lang w:val="it-IT"/>
        </w:rPr>
        <w:tab/>
        <w:t>IDENTIFICATIVO UNICO - DATI LEGGIBILI</w:t>
      </w:r>
      <w:r w:rsidR="0092155C">
        <w:rPr>
          <w:rFonts w:ascii="Times New Roman" w:hAnsi="Times New Roman"/>
          <w:b/>
          <w:lang w:val="it-IT"/>
        </w:rPr>
        <w:fldChar w:fldCharType="begin"/>
      </w:r>
      <w:r w:rsidR="0092155C">
        <w:rPr>
          <w:rFonts w:ascii="Times New Roman" w:hAnsi="Times New Roman"/>
          <w:b/>
          <w:lang w:val="it-IT"/>
        </w:rPr>
        <w:instrText xml:space="preserve"> DOCVARIABLE VAULT_ND_fd16730c-f7aa-4007-ad7a-4014a9e49686 \* MERGEFORMAT </w:instrText>
      </w:r>
      <w:r w:rsidR="0092155C">
        <w:rPr>
          <w:rFonts w:ascii="Times New Roman" w:hAnsi="Times New Roman"/>
          <w:b/>
          <w:lang w:val="it-IT"/>
        </w:rPr>
        <w:fldChar w:fldCharType="separate"/>
      </w:r>
      <w:r w:rsidR="0092155C">
        <w:rPr>
          <w:rFonts w:ascii="Times New Roman" w:hAnsi="Times New Roman"/>
          <w:b/>
          <w:lang w:val="it-IT"/>
        </w:rPr>
        <w:t xml:space="preserve"> </w:t>
      </w:r>
      <w:r w:rsidR="0092155C">
        <w:rPr>
          <w:rFonts w:ascii="Times New Roman" w:hAnsi="Times New Roman"/>
          <w:b/>
          <w:lang w:val="it-IT"/>
        </w:rPr>
        <w:fldChar w:fldCharType="end"/>
      </w:r>
    </w:p>
    <w:p w14:paraId="1FD0858C" w14:textId="77777777" w:rsidR="00D84D90" w:rsidRPr="00C9575C" w:rsidRDefault="00D84D90" w:rsidP="00D84D90">
      <w:pPr>
        <w:rPr>
          <w:lang w:val="it-IT"/>
        </w:rPr>
      </w:pPr>
    </w:p>
    <w:p w14:paraId="1DA01F42" w14:textId="77777777" w:rsidR="00D84D90" w:rsidRPr="00C9575C" w:rsidRDefault="00D84D90" w:rsidP="00D84D90">
      <w:pPr>
        <w:rPr>
          <w:lang w:val="it-IT"/>
        </w:rPr>
      </w:pPr>
    </w:p>
    <w:p w14:paraId="22DBE0D3" w14:textId="77777777" w:rsidR="00D84D90" w:rsidRPr="00C9575C" w:rsidRDefault="00D84D90">
      <w:pPr>
        <w:widowControl w:val="0"/>
        <w:tabs>
          <w:tab w:val="left" w:pos="567"/>
        </w:tabs>
        <w:jc w:val="both"/>
        <w:rPr>
          <w:szCs w:val="22"/>
          <w:lang w:val="it-IT"/>
        </w:rPr>
      </w:pPr>
    </w:p>
    <w:p w14:paraId="684CBAD1" w14:textId="77777777" w:rsidR="0084378B" w:rsidRPr="00C9575C" w:rsidRDefault="0084378B">
      <w:pPr>
        <w:widowControl w:val="0"/>
        <w:suppressAutoHyphens/>
        <w:rPr>
          <w:b/>
          <w:szCs w:val="22"/>
          <w:lang w:val="it-IT"/>
        </w:rPr>
      </w:pPr>
      <w:r w:rsidRPr="00C9575C">
        <w:rPr>
          <w:b/>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447F27" w14:paraId="5D15C119" w14:textId="77777777">
        <w:tc>
          <w:tcPr>
            <w:tcW w:w="9298" w:type="dxa"/>
          </w:tcPr>
          <w:p w14:paraId="62A7DEA8" w14:textId="77777777" w:rsidR="0084378B" w:rsidRPr="00C9575C" w:rsidRDefault="0084378B">
            <w:pPr>
              <w:widowControl w:val="0"/>
              <w:suppressAutoHyphens/>
              <w:rPr>
                <w:b/>
                <w:szCs w:val="22"/>
                <w:lang w:val="it-IT"/>
              </w:rPr>
            </w:pPr>
            <w:r w:rsidRPr="00C9575C">
              <w:rPr>
                <w:b/>
                <w:szCs w:val="22"/>
                <w:lang w:val="it-IT"/>
              </w:rPr>
              <w:lastRenderedPageBreak/>
              <w:t>INFORMAZIONI MINIME DA APPORRE SUI BLISTER O SUGLI STRIPS</w:t>
            </w:r>
          </w:p>
        </w:tc>
      </w:tr>
    </w:tbl>
    <w:p w14:paraId="269DD5C4" w14:textId="77777777" w:rsidR="0084378B" w:rsidRPr="00C9575C" w:rsidRDefault="0084378B">
      <w:pPr>
        <w:widowControl w:val="0"/>
        <w:rPr>
          <w:b/>
          <w:szCs w:val="22"/>
          <w:lang w:val="it-IT"/>
        </w:rPr>
      </w:pPr>
    </w:p>
    <w:p w14:paraId="101E9972" w14:textId="77777777" w:rsidR="0084378B" w:rsidRPr="00C9575C" w:rsidRDefault="0084378B">
      <w:pPr>
        <w:widowControl w:val="0"/>
        <w:suppressAutoHyphens/>
        <w:ind w:left="567" w:hanging="567"/>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48974F63" w14:textId="77777777">
        <w:tc>
          <w:tcPr>
            <w:tcW w:w="9298" w:type="dxa"/>
          </w:tcPr>
          <w:p w14:paraId="00F16AB5" w14:textId="77777777" w:rsidR="0084378B" w:rsidRPr="00C9575C" w:rsidRDefault="0084378B">
            <w:pPr>
              <w:widowControl w:val="0"/>
              <w:suppressAutoHyphens/>
              <w:ind w:left="567" w:hanging="567"/>
              <w:rPr>
                <w:b/>
                <w:szCs w:val="22"/>
                <w:lang w:val="it-IT"/>
              </w:rPr>
            </w:pPr>
            <w:r w:rsidRPr="00C9575C">
              <w:rPr>
                <w:b/>
                <w:szCs w:val="22"/>
                <w:lang w:val="it-IT"/>
              </w:rPr>
              <w:t>1.</w:t>
            </w:r>
            <w:r w:rsidRPr="00C9575C">
              <w:rPr>
                <w:b/>
                <w:szCs w:val="22"/>
                <w:lang w:val="it-IT"/>
              </w:rPr>
              <w:tab/>
              <w:t>DENOMINAZIONE DEL MEDICINALE</w:t>
            </w:r>
          </w:p>
        </w:tc>
      </w:tr>
    </w:tbl>
    <w:p w14:paraId="6FCD5431" w14:textId="77777777" w:rsidR="0084378B" w:rsidRPr="00C9575C" w:rsidRDefault="0084378B">
      <w:pPr>
        <w:widowControl w:val="0"/>
        <w:rPr>
          <w:szCs w:val="22"/>
          <w:lang w:val="it-IT"/>
        </w:rPr>
      </w:pPr>
    </w:p>
    <w:p w14:paraId="3323CF31" w14:textId="77777777" w:rsidR="0084378B" w:rsidRPr="00C9575C" w:rsidRDefault="0084378B">
      <w:pPr>
        <w:widowControl w:val="0"/>
        <w:rPr>
          <w:szCs w:val="22"/>
          <w:lang w:val="it-IT"/>
        </w:rPr>
      </w:pPr>
      <w:r w:rsidRPr="00C9575C">
        <w:rPr>
          <w:szCs w:val="22"/>
          <w:lang w:val="it-IT"/>
        </w:rPr>
        <w:t xml:space="preserve">Kivexa 600 mg/300 mg compresse </w:t>
      </w:r>
    </w:p>
    <w:p w14:paraId="7FD05A25" w14:textId="77777777" w:rsidR="0084378B" w:rsidRPr="00C9575C" w:rsidRDefault="0084378B">
      <w:pPr>
        <w:widowControl w:val="0"/>
        <w:rPr>
          <w:szCs w:val="22"/>
          <w:lang w:val="it-IT"/>
        </w:rPr>
      </w:pPr>
      <w:r w:rsidRPr="00C9575C">
        <w:rPr>
          <w:szCs w:val="22"/>
          <w:lang w:val="it-IT"/>
        </w:rPr>
        <w:t>abacavir/lamivudina</w:t>
      </w:r>
    </w:p>
    <w:p w14:paraId="771F4B5A" w14:textId="77777777" w:rsidR="0084378B" w:rsidRPr="00C9575C" w:rsidRDefault="0084378B">
      <w:pPr>
        <w:widowControl w:val="0"/>
        <w:suppressAutoHyphens/>
        <w:ind w:left="567" w:hanging="567"/>
        <w:rPr>
          <w:szCs w:val="22"/>
          <w:lang w:val="it-IT"/>
        </w:rPr>
      </w:pPr>
    </w:p>
    <w:p w14:paraId="069ABD1A" w14:textId="77777777" w:rsidR="0084378B" w:rsidRPr="00C9575C" w:rsidRDefault="0084378B">
      <w:pPr>
        <w:widowControl w:val="0"/>
        <w:suppressAutoHyphens/>
        <w:ind w:left="567" w:hanging="567"/>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550E6095" w14:textId="77777777">
        <w:tc>
          <w:tcPr>
            <w:tcW w:w="9298" w:type="dxa"/>
          </w:tcPr>
          <w:p w14:paraId="7955363B" w14:textId="77777777" w:rsidR="0084378B" w:rsidRPr="00C9575C" w:rsidRDefault="0084378B">
            <w:pPr>
              <w:widowControl w:val="0"/>
              <w:suppressAutoHyphens/>
              <w:ind w:left="567" w:hanging="567"/>
              <w:rPr>
                <w:b/>
                <w:szCs w:val="22"/>
                <w:lang w:val="it-IT"/>
              </w:rPr>
            </w:pPr>
            <w:r w:rsidRPr="00C9575C">
              <w:rPr>
                <w:b/>
                <w:szCs w:val="22"/>
                <w:lang w:val="it-IT"/>
              </w:rPr>
              <w:t>2.</w:t>
            </w:r>
            <w:r w:rsidRPr="00C9575C">
              <w:rPr>
                <w:b/>
                <w:szCs w:val="22"/>
                <w:lang w:val="it-IT"/>
              </w:rPr>
              <w:tab/>
              <w:t>NOME DEL TITOLARE DELL'AUTORIZZAZIONE ALL’IMMISSIONE IN COMMERCIO</w:t>
            </w:r>
          </w:p>
        </w:tc>
      </w:tr>
    </w:tbl>
    <w:p w14:paraId="239C0461" w14:textId="77777777" w:rsidR="0084378B" w:rsidRPr="00C9575C" w:rsidRDefault="0084378B">
      <w:pPr>
        <w:widowControl w:val="0"/>
        <w:suppressAutoHyphens/>
        <w:ind w:left="567" w:hanging="567"/>
        <w:rPr>
          <w:szCs w:val="22"/>
          <w:lang w:val="it-IT"/>
        </w:rPr>
      </w:pPr>
    </w:p>
    <w:p w14:paraId="3360C552" w14:textId="77777777" w:rsidR="00135D23" w:rsidRPr="00C9575C" w:rsidRDefault="00135D23" w:rsidP="00135D23">
      <w:pPr>
        <w:rPr>
          <w:lang w:val="it-IT"/>
        </w:rPr>
      </w:pPr>
      <w:r w:rsidRPr="00C9575C">
        <w:rPr>
          <w:lang w:val="it-IT"/>
        </w:rPr>
        <w:t xml:space="preserve">ViiV Healthcare </w:t>
      </w:r>
      <w:r w:rsidR="006C04AA" w:rsidRPr="00C9575C">
        <w:rPr>
          <w:lang w:val="it-IT"/>
        </w:rPr>
        <w:t>BV</w:t>
      </w:r>
    </w:p>
    <w:p w14:paraId="227EAA97" w14:textId="77777777" w:rsidR="0084378B" w:rsidRPr="00C9575C" w:rsidRDefault="0084378B">
      <w:pPr>
        <w:widowControl w:val="0"/>
        <w:suppressAutoHyphens/>
        <w:ind w:left="567" w:hanging="567"/>
        <w:rPr>
          <w:szCs w:val="22"/>
          <w:lang w:val="it-IT"/>
        </w:rPr>
      </w:pPr>
    </w:p>
    <w:p w14:paraId="7063277D" w14:textId="77777777" w:rsidR="0084378B" w:rsidRPr="00C9575C" w:rsidRDefault="0084378B">
      <w:pPr>
        <w:widowControl w:val="0"/>
        <w:suppressAutoHyphens/>
        <w:ind w:left="567" w:hanging="567"/>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32858FA6" w14:textId="77777777">
        <w:tc>
          <w:tcPr>
            <w:tcW w:w="9298" w:type="dxa"/>
          </w:tcPr>
          <w:p w14:paraId="26EECEF0" w14:textId="77777777" w:rsidR="0084378B" w:rsidRPr="00C9575C" w:rsidRDefault="0084378B">
            <w:pPr>
              <w:widowControl w:val="0"/>
              <w:suppressAutoHyphens/>
              <w:ind w:left="567" w:hanging="567"/>
              <w:rPr>
                <w:b/>
                <w:szCs w:val="22"/>
                <w:lang w:val="it-IT"/>
              </w:rPr>
            </w:pPr>
            <w:r w:rsidRPr="00C9575C">
              <w:rPr>
                <w:b/>
                <w:szCs w:val="22"/>
                <w:lang w:val="it-IT"/>
              </w:rPr>
              <w:t>3.</w:t>
            </w:r>
            <w:r w:rsidRPr="00C9575C">
              <w:rPr>
                <w:b/>
                <w:szCs w:val="22"/>
                <w:lang w:val="it-IT"/>
              </w:rPr>
              <w:tab/>
              <w:t>DATA DI SCADENZA</w:t>
            </w:r>
          </w:p>
        </w:tc>
      </w:tr>
    </w:tbl>
    <w:p w14:paraId="48E4B190" w14:textId="77777777" w:rsidR="0084378B" w:rsidRPr="00C9575C" w:rsidRDefault="0084378B">
      <w:pPr>
        <w:widowControl w:val="0"/>
        <w:suppressAutoHyphens/>
        <w:ind w:left="567" w:hanging="567"/>
        <w:rPr>
          <w:szCs w:val="22"/>
          <w:lang w:val="it-IT"/>
        </w:rPr>
      </w:pPr>
    </w:p>
    <w:p w14:paraId="087CCE7D" w14:textId="77777777" w:rsidR="0084378B" w:rsidRPr="00C9575C" w:rsidRDefault="0084378B">
      <w:pPr>
        <w:widowControl w:val="0"/>
        <w:suppressAutoHyphens/>
        <w:ind w:left="567" w:hanging="567"/>
        <w:rPr>
          <w:szCs w:val="22"/>
          <w:lang w:val="it-IT"/>
        </w:rPr>
      </w:pPr>
      <w:r w:rsidRPr="00C9575C">
        <w:rPr>
          <w:szCs w:val="22"/>
          <w:lang w:val="it-IT"/>
        </w:rPr>
        <w:t>Scad.</w:t>
      </w:r>
    </w:p>
    <w:p w14:paraId="370A3779" w14:textId="77777777" w:rsidR="0084378B" w:rsidRPr="00C9575C" w:rsidRDefault="0084378B">
      <w:pPr>
        <w:widowControl w:val="0"/>
        <w:suppressAutoHyphens/>
        <w:ind w:left="567" w:hanging="567"/>
        <w:rPr>
          <w:szCs w:val="22"/>
          <w:lang w:val="it-IT"/>
        </w:rPr>
      </w:pPr>
    </w:p>
    <w:p w14:paraId="1DFF014A" w14:textId="77777777" w:rsidR="0084378B" w:rsidRPr="00C9575C" w:rsidRDefault="0084378B">
      <w:pPr>
        <w:widowControl w:val="0"/>
        <w:suppressAutoHyphens/>
        <w:ind w:left="567" w:hanging="567"/>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4378B" w:rsidRPr="00C9575C" w14:paraId="0BEED7BE" w14:textId="77777777">
        <w:tc>
          <w:tcPr>
            <w:tcW w:w="9298" w:type="dxa"/>
          </w:tcPr>
          <w:p w14:paraId="5AE12FAD" w14:textId="77777777" w:rsidR="0084378B" w:rsidRPr="00C9575C" w:rsidRDefault="0084378B">
            <w:pPr>
              <w:widowControl w:val="0"/>
              <w:suppressAutoHyphens/>
              <w:ind w:left="567" w:hanging="567"/>
              <w:rPr>
                <w:b/>
                <w:szCs w:val="22"/>
                <w:lang w:val="it-IT"/>
              </w:rPr>
            </w:pPr>
            <w:r w:rsidRPr="00C9575C">
              <w:rPr>
                <w:b/>
                <w:szCs w:val="22"/>
                <w:lang w:val="it-IT"/>
              </w:rPr>
              <w:t>4.</w:t>
            </w:r>
            <w:r w:rsidRPr="00C9575C">
              <w:rPr>
                <w:b/>
                <w:szCs w:val="22"/>
                <w:lang w:val="it-IT"/>
              </w:rPr>
              <w:tab/>
              <w:t>NUMERO DI LOTTO</w:t>
            </w:r>
          </w:p>
        </w:tc>
      </w:tr>
    </w:tbl>
    <w:p w14:paraId="64D749F8" w14:textId="77777777" w:rsidR="0084378B" w:rsidRPr="00C9575C" w:rsidRDefault="0084378B">
      <w:pPr>
        <w:widowControl w:val="0"/>
        <w:suppressAutoHyphens/>
        <w:rPr>
          <w:szCs w:val="22"/>
          <w:lang w:val="it-IT"/>
        </w:rPr>
      </w:pPr>
    </w:p>
    <w:p w14:paraId="323DA6E8" w14:textId="77777777" w:rsidR="0084378B" w:rsidRPr="00C9575C" w:rsidRDefault="0084378B">
      <w:pPr>
        <w:pStyle w:val="EndnoteText"/>
        <w:widowControl w:val="0"/>
        <w:tabs>
          <w:tab w:val="clear" w:pos="567"/>
        </w:tabs>
        <w:suppressAutoHyphens/>
        <w:rPr>
          <w:szCs w:val="22"/>
          <w:lang w:val="it-IT"/>
        </w:rPr>
      </w:pPr>
      <w:r w:rsidRPr="00C9575C">
        <w:rPr>
          <w:szCs w:val="22"/>
          <w:lang w:val="it-IT"/>
        </w:rPr>
        <w:t xml:space="preserve">Lotto </w:t>
      </w:r>
    </w:p>
    <w:p w14:paraId="0238D6C5" w14:textId="77777777" w:rsidR="0084378B" w:rsidRPr="00C9575C" w:rsidRDefault="0084378B">
      <w:pPr>
        <w:pStyle w:val="EndnoteText"/>
        <w:widowControl w:val="0"/>
        <w:tabs>
          <w:tab w:val="clear" w:pos="567"/>
        </w:tabs>
        <w:suppressAutoHyphens/>
        <w:rPr>
          <w:szCs w:val="22"/>
          <w:lang w:val="it-IT"/>
        </w:rPr>
      </w:pPr>
    </w:p>
    <w:p w14:paraId="5993F7CA" w14:textId="77777777" w:rsidR="0084378B" w:rsidRPr="00C9575C" w:rsidRDefault="0084378B">
      <w:pPr>
        <w:pStyle w:val="EndnoteText"/>
        <w:widowControl w:val="0"/>
        <w:tabs>
          <w:tab w:val="clear" w:pos="567"/>
        </w:tabs>
        <w:suppressAutoHyphen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378B" w:rsidRPr="00C9575C" w14:paraId="3F59DD6C" w14:textId="77777777">
        <w:tc>
          <w:tcPr>
            <w:tcW w:w="9287" w:type="dxa"/>
          </w:tcPr>
          <w:p w14:paraId="1C95F161" w14:textId="77777777" w:rsidR="0084378B" w:rsidRPr="00C9575C" w:rsidRDefault="0084378B">
            <w:pPr>
              <w:widowControl w:val="0"/>
              <w:tabs>
                <w:tab w:val="left" w:pos="142"/>
              </w:tabs>
              <w:ind w:left="567" w:hanging="567"/>
              <w:rPr>
                <w:b/>
                <w:szCs w:val="22"/>
                <w:lang w:val="it-IT"/>
              </w:rPr>
            </w:pPr>
            <w:r w:rsidRPr="00C9575C">
              <w:rPr>
                <w:b/>
                <w:szCs w:val="22"/>
                <w:lang w:val="it-IT"/>
              </w:rPr>
              <w:t>5.</w:t>
            </w:r>
            <w:r w:rsidRPr="00C9575C">
              <w:rPr>
                <w:b/>
                <w:szCs w:val="22"/>
                <w:lang w:val="it-IT"/>
              </w:rPr>
              <w:tab/>
              <w:t>ALTRO</w:t>
            </w:r>
          </w:p>
        </w:tc>
      </w:tr>
    </w:tbl>
    <w:p w14:paraId="75904123" w14:textId="77777777" w:rsidR="0084378B" w:rsidRPr="00C9575C" w:rsidRDefault="0084378B">
      <w:pPr>
        <w:widowControl w:val="0"/>
        <w:ind w:right="113"/>
        <w:rPr>
          <w:szCs w:val="22"/>
          <w:lang w:val="it-IT"/>
        </w:rPr>
      </w:pPr>
    </w:p>
    <w:p w14:paraId="3A1FD1CD" w14:textId="77777777" w:rsidR="0084378B" w:rsidRPr="00C9575C" w:rsidRDefault="0084378B">
      <w:pPr>
        <w:widowControl w:val="0"/>
        <w:ind w:right="113"/>
        <w:rPr>
          <w:szCs w:val="22"/>
          <w:lang w:val="it-IT"/>
        </w:rPr>
      </w:pPr>
    </w:p>
    <w:p w14:paraId="71C08980" w14:textId="77777777" w:rsidR="00B25201" w:rsidRPr="00C9575C" w:rsidRDefault="00B25201" w:rsidP="00BD5675">
      <w:pPr>
        <w:widowControl w:val="0"/>
        <w:tabs>
          <w:tab w:val="left" w:pos="567"/>
        </w:tabs>
        <w:jc w:val="both"/>
        <w:rPr>
          <w:szCs w:val="22"/>
          <w:lang w:val="it-IT"/>
        </w:rPr>
      </w:pPr>
    </w:p>
    <w:p w14:paraId="0267E026" w14:textId="77777777" w:rsidR="0084378B" w:rsidRPr="00C9575C" w:rsidRDefault="0084378B" w:rsidP="001B38C0">
      <w:pPr>
        <w:widowControl w:val="0"/>
        <w:tabs>
          <w:tab w:val="left" w:pos="567"/>
        </w:tabs>
        <w:rPr>
          <w:b/>
          <w:szCs w:val="22"/>
          <w:lang w:val="it-IT"/>
        </w:rPr>
      </w:pPr>
      <w:r w:rsidRPr="00C9575C">
        <w:rPr>
          <w:szCs w:val="22"/>
          <w:lang w:val="it-IT"/>
        </w:rPr>
        <w:br w:type="page"/>
      </w:r>
      <w:r w:rsidR="007A65A6" w:rsidRPr="00C9575C">
        <w:rPr>
          <w:b/>
          <w:szCs w:val="22"/>
          <w:lang w:val="it-IT"/>
        </w:rPr>
        <w:lastRenderedPageBreak/>
        <w:t>SCHEDA DI ALLERTA</w:t>
      </w:r>
      <w:r w:rsidRPr="00C9575C">
        <w:rPr>
          <w:b/>
          <w:szCs w:val="22"/>
          <w:lang w:val="it-IT"/>
        </w:rPr>
        <w:t xml:space="preserve"> DI KIVEXA COMPRESSE</w:t>
      </w:r>
      <w:r w:rsidR="001B38C0" w:rsidRPr="00C9575C">
        <w:rPr>
          <w:b/>
          <w:szCs w:val="22"/>
          <w:lang w:val="it-IT"/>
        </w:rPr>
        <w:t xml:space="preserve"> </w:t>
      </w:r>
    </w:p>
    <w:p w14:paraId="660ED3F7" w14:textId="77777777" w:rsidR="0084378B" w:rsidRPr="00C9575C" w:rsidRDefault="0084378B">
      <w:pPr>
        <w:widowControl w:val="0"/>
        <w:rPr>
          <w:b/>
          <w:szCs w:val="22"/>
          <w:lang w:val="it-IT"/>
        </w:rPr>
      </w:pPr>
    </w:p>
    <w:p w14:paraId="61E6937B" w14:textId="3B68307F" w:rsidR="0084378B" w:rsidRPr="00C9575C" w:rsidRDefault="0084378B">
      <w:pPr>
        <w:pStyle w:val="Heading1"/>
        <w:spacing w:before="0"/>
        <w:rPr>
          <w:rFonts w:ascii="Times New Roman" w:hAnsi="Times New Roman"/>
          <w:szCs w:val="22"/>
          <w:lang w:val="it-IT"/>
        </w:rPr>
      </w:pPr>
      <w:smartTag w:uri="schemas-GSKSiteLocations-com/fourthcoffee" w:element="flavor">
        <w:r w:rsidRPr="00C9575C">
          <w:rPr>
            <w:rFonts w:ascii="Times New Roman" w:hAnsi="Times New Roman"/>
            <w:szCs w:val="22"/>
            <w:lang w:val="it-IT"/>
          </w:rPr>
          <w:t>LAT</w:t>
        </w:r>
      </w:smartTag>
      <w:r w:rsidRPr="00C9575C">
        <w:rPr>
          <w:rFonts w:ascii="Times New Roman" w:hAnsi="Times New Roman"/>
          <w:szCs w:val="22"/>
          <w:lang w:val="it-IT"/>
        </w:rPr>
        <w:t>O 1</w:t>
      </w:r>
      <w:r w:rsidR="0092155C">
        <w:rPr>
          <w:rFonts w:ascii="Times New Roman" w:hAnsi="Times New Roman"/>
          <w:szCs w:val="22"/>
          <w:lang w:val="it-IT"/>
        </w:rPr>
        <w:fldChar w:fldCharType="begin"/>
      </w:r>
      <w:r w:rsidR="0092155C">
        <w:rPr>
          <w:rFonts w:ascii="Times New Roman" w:hAnsi="Times New Roman"/>
          <w:szCs w:val="22"/>
          <w:lang w:val="it-IT"/>
        </w:rPr>
        <w:instrText xml:space="preserve"> DOCVARIABLE VAULT_ND_ff322c80-0f11-4ec0-892c-8c1ff6634e1f \* MERGEFORMAT </w:instrText>
      </w:r>
      <w:r w:rsidR="0092155C">
        <w:rPr>
          <w:rFonts w:ascii="Times New Roman" w:hAnsi="Times New Roman"/>
          <w:szCs w:val="22"/>
          <w:lang w:val="it-IT"/>
        </w:rPr>
        <w:fldChar w:fldCharType="separate"/>
      </w:r>
      <w:r w:rsidR="0092155C">
        <w:rPr>
          <w:rFonts w:ascii="Times New Roman" w:hAnsi="Times New Roman"/>
          <w:szCs w:val="22"/>
          <w:lang w:val="it-IT"/>
        </w:rPr>
        <w:t xml:space="preserve"> </w:t>
      </w:r>
      <w:r w:rsidR="0092155C">
        <w:rPr>
          <w:rFonts w:ascii="Times New Roman" w:hAnsi="Times New Roman"/>
          <w:szCs w:val="22"/>
          <w:lang w:val="it-IT"/>
        </w:rPr>
        <w:fldChar w:fldCharType="end"/>
      </w:r>
    </w:p>
    <w:p w14:paraId="65B4C3FA" w14:textId="77777777" w:rsidR="0021594F" w:rsidRPr="00C9575C" w:rsidRDefault="0021594F">
      <w:pPr>
        <w:pStyle w:val="Heading1"/>
        <w:spacing w:before="0"/>
        <w:rPr>
          <w:rFonts w:ascii="Times New Roman" w:hAnsi="Times New Roman"/>
          <w:szCs w:val="22"/>
          <w:lang w:val="it-IT"/>
        </w:rPr>
      </w:pPr>
    </w:p>
    <w:tbl>
      <w:tblPr>
        <w:tblpPr w:leftFromText="141" w:rightFromText="141"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21594F" w:rsidRPr="00C9575C" w14:paraId="30BC30D5" w14:textId="77777777" w:rsidTr="0021594F">
        <w:tc>
          <w:tcPr>
            <w:tcW w:w="6604" w:type="dxa"/>
          </w:tcPr>
          <w:p w14:paraId="62CF360B" w14:textId="77777777" w:rsidR="0021594F" w:rsidRPr="00C9575C" w:rsidRDefault="0021594F" w:rsidP="0021594F">
            <w:pPr>
              <w:widowControl w:val="0"/>
              <w:jc w:val="center"/>
              <w:rPr>
                <w:b/>
                <w:color w:val="000000"/>
                <w:szCs w:val="22"/>
                <w:lang w:val="it-IT"/>
              </w:rPr>
            </w:pPr>
            <w:r w:rsidRPr="00C9575C">
              <w:rPr>
                <w:b/>
                <w:color w:val="000000"/>
                <w:szCs w:val="22"/>
                <w:lang w:val="it-IT"/>
              </w:rPr>
              <w:t>IMPORTANTE – SCHEDA DI ALLERTA</w:t>
            </w:r>
          </w:p>
          <w:p w14:paraId="4259373C" w14:textId="77777777" w:rsidR="0021594F" w:rsidRPr="00C9575C" w:rsidRDefault="0021594F" w:rsidP="0021594F">
            <w:pPr>
              <w:widowControl w:val="0"/>
              <w:jc w:val="center"/>
              <w:rPr>
                <w:b/>
                <w:szCs w:val="22"/>
                <w:lang w:val="it-IT"/>
              </w:rPr>
            </w:pPr>
            <w:r w:rsidRPr="00C9575C">
              <w:rPr>
                <w:b/>
                <w:szCs w:val="22"/>
                <w:lang w:val="it-IT"/>
              </w:rPr>
              <w:t>Kivexa (abacavir/lamivudina) compresse</w:t>
            </w:r>
          </w:p>
          <w:p w14:paraId="73A8E092" w14:textId="77777777" w:rsidR="0021594F" w:rsidRPr="00C9575C" w:rsidRDefault="0021594F" w:rsidP="0021594F">
            <w:pPr>
              <w:widowControl w:val="0"/>
              <w:jc w:val="center"/>
              <w:rPr>
                <w:b/>
                <w:szCs w:val="22"/>
                <w:lang w:val="it-IT"/>
              </w:rPr>
            </w:pPr>
            <w:r w:rsidRPr="00C9575C">
              <w:rPr>
                <w:b/>
                <w:szCs w:val="22"/>
                <w:lang w:val="it-IT"/>
              </w:rPr>
              <w:t>Porti questa scheda sempre con sè</w:t>
            </w:r>
          </w:p>
        </w:tc>
      </w:tr>
    </w:tbl>
    <w:p w14:paraId="3EAA3585" w14:textId="77777777" w:rsidR="0021594F" w:rsidRPr="00C9575C" w:rsidRDefault="0021594F" w:rsidP="0021594F">
      <w:pPr>
        <w:widowControl w:val="0"/>
        <w:ind w:right="702"/>
        <w:outlineLvl w:val="0"/>
        <w:rPr>
          <w:b/>
          <w:szCs w:val="22"/>
          <w:u w:val="single"/>
          <w:lang w:val="it-IT"/>
        </w:rPr>
      </w:pPr>
    </w:p>
    <w:p w14:paraId="22D3F680" w14:textId="77777777" w:rsidR="0021594F" w:rsidRPr="00C9575C" w:rsidRDefault="0021594F" w:rsidP="0021594F">
      <w:pPr>
        <w:ind w:left="459" w:right="702" w:hanging="142"/>
        <w:rPr>
          <w:b/>
          <w:szCs w:val="22"/>
          <w:lang w:val="it-IT"/>
        </w:rPr>
      </w:pPr>
    </w:p>
    <w:p w14:paraId="38A45568" w14:textId="77777777" w:rsidR="0021594F" w:rsidRPr="00C9575C" w:rsidRDefault="0021594F" w:rsidP="0021594F">
      <w:pPr>
        <w:rPr>
          <w:szCs w:val="22"/>
          <w:lang w:val="it-IT"/>
        </w:rPr>
      </w:pPr>
    </w:p>
    <w:p w14:paraId="136D4682" w14:textId="77777777" w:rsidR="0021594F" w:rsidRPr="00C9575C" w:rsidRDefault="0021594F">
      <w:pPr>
        <w:pStyle w:val="Heading1"/>
        <w:spacing w:before="0"/>
        <w:rPr>
          <w:rFonts w:ascii="Times New Roman" w:hAnsi="Times New Roman"/>
          <w:szCs w:val="22"/>
          <w:lang w:val="it-IT"/>
        </w:rPr>
      </w:pPr>
    </w:p>
    <w:p w14:paraId="6236A6E4" w14:textId="77777777" w:rsidR="0084378B" w:rsidRPr="00C9575C" w:rsidRDefault="0084378B">
      <w:pPr>
        <w:widowControl w:val="0"/>
        <w:rPr>
          <w:szCs w:val="22"/>
          <w:lang w:val="it-IT"/>
        </w:rPr>
      </w:pPr>
      <w:r w:rsidRPr="00C9575C">
        <w:rPr>
          <w:szCs w:val="22"/>
          <w:lang w:val="it-IT"/>
        </w:rPr>
        <w:t xml:space="preserve">Poiché Kivexa contiene abacavir alcuni pazienti che assumono Kivexa possono andare incontro a reazione di ipersensibilità (grave reazione allergica) che </w:t>
      </w:r>
      <w:r w:rsidRPr="00C9575C">
        <w:rPr>
          <w:b/>
          <w:szCs w:val="22"/>
          <w:lang w:val="it-IT"/>
        </w:rPr>
        <w:t>può essere pericolosa per la vita</w:t>
      </w:r>
      <w:r w:rsidRPr="00C9575C">
        <w:rPr>
          <w:szCs w:val="22"/>
          <w:lang w:val="it-IT"/>
        </w:rPr>
        <w:t xml:space="preserve"> se</w:t>
      </w:r>
      <w:r w:rsidR="00CF45CD" w:rsidRPr="00C9575C">
        <w:rPr>
          <w:szCs w:val="22"/>
          <w:lang w:val="it-IT"/>
        </w:rPr>
        <w:t xml:space="preserve"> il trattamento con Kivexa viene continuato</w:t>
      </w:r>
      <w:r w:rsidRPr="00C9575C">
        <w:rPr>
          <w:szCs w:val="22"/>
          <w:lang w:val="it-IT"/>
        </w:rPr>
        <w:t xml:space="preserve">. </w:t>
      </w:r>
    </w:p>
    <w:p w14:paraId="65AD6579" w14:textId="77777777" w:rsidR="0084378B" w:rsidRPr="00C9575C" w:rsidRDefault="0084378B">
      <w:pPr>
        <w:widowControl w:val="0"/>
        <w:rPr>
          <w:b/>
          <w:szCs w:val="22"/>
          <w:lang w:val="it-IT"/>
        </w:rPr>
      </w:pPr>
      <w:r w:rsidRPr="00C9575C">
        <w:rPr>
          <w:b/>
          <w:szCs w:val="22"/>
          <w:lang w:val="it-IT"/>
        </w:rPr>
        <w:t xml:space="preserve">CONTATTI IMMEDIATAMENTE IL MEDICO per un consiglio sull'opportunità o meno di interrompere l'assunzione di Kivexa se: </w:t>
      </w:r>
    </w:p>
    <w:p w14:paraId="481ABB55" w14:textId="77777777" w:rsidR="0084378B" w:rsidRPr="00C9575C" w:rsidRDefault="000E57BE" w:rsidP="000E57BE">
      <w:pPr>
        <w:widowControl w:val="0"/>
        <w:rPr>
          <w:b/>
          <w:szCs w:val="22"/>
          <w:lang w:val="it-IT"/>
        </w:rPr>
      </w:pPr>
      <w:r w:rsidRPr="00C9575C">
        <w:rPr>
          <w:b/>
          <w:szCs w:val="22"/>
          <w:lang w:val="it-IT"/>
        </w:rPr>
        <w:t>1)</w:t>
      </w:r>
      <w:r w:rsidRPr="00C9575C">
        <w:rPr>
          <w:b/>
          <w:szCs w:val="22"/>
          <w:lang w:val="it-IT"/>
        </w:rPr>
        <w:tab/>
      </w:r>
      <w:r w:rsidR="0084378B" w:rsidRPr="00C9575C">
        <w:rPr>
          <w:b/>
          <w:szCs w:val="22"/>
          <w:lang w:val="it-IT"/>
        </w:rPr>
        <w:t>manifesta eruzione cutanea</w:t>
      </w:r>
      <w:r w:rsidR="00826F46" w:rsidRPr="00C9575C">
        <w:rPr>
          <w:b/>
          <w:szCs w:val="22"/>
          <w:lang w:val="it-IT"/>
        </w:rPr>
        <w:t xml:space="preserve"> (arrossamento) </w:t>
      </w:r>
      <w:r w:rsidR="0084378B" w:rsidRPr="00C9575C">
        <w:rPr>
          <w:b/>
          <w:szCs w:val="22"/>
          <w:lang w:val="it-IT"/>
        </w:rPr>
        <w:t xml:space="preserve">OPPURE </w:t>
      </w:r>
    </w:p>
    <w:p w14:paraId="449186B1" w14:textId="77777777" w:rsidR="0084378B" w:rsidRPr="00C9575C" w:rsidRDefault="0084378B" w:rsidP="000E57BE">
      <w:pPr>
        <w:widowControl w:val="0"/>
        <w:rPr>
          <w:b/>
          <w:szCs w:val="22"/>
          <w:lang w:val="it-IT"/>
        </w:rPr>
      </w:pPr>
      <w:r w:rsidRPr="00C9575C">
        <w:rPr>
          <w:b/>
          <w:szCs w:val="22"/>
          <w:lang w:val="it-IT"/>
        </w:rPr>
        <w:t>2)</w:t>
      </w:r>
      <w:r w:rsidR="000E57BE" w:rsidRPr="00C9575C">
        <w:rPr>
          <w:b/>
          <w:szCs w:val="22"/>
          <w:lang w:val="it-IT"/>
        </w:rPr>
        <w:tab/>
      </w:r>
      <w:r w:rsidRPr="00C9575C">
        <w:rPr>
          <w:b/>
          <w:szCs w:val="22"/>
          <w:lang w:val="it-IT"/>
        </w:rPr>
        <w:t>manifesta uno o più sintomi compresi in almeno DUE dei seguenti gruppi</w:t>
      </w:r>
    </w:p>
    <w:p w14:paraId="1DE913D6" w14:textId="77777777" w:rsidR="0084378B" w:rsidRPr="00C9575C" w:rsidRDefault="0084378B" w:rsidP="00721816">
      <w:pPr>
        <w:widowControl w:val="0"/>
        <w:numPr>
          <w:ilvl w:val="0"/>
          <w:numId w:val="25"/>
        </w:numPr>
        <w:ind w:left="426" w:hanging="426"/>
        <w:rPr>
          <w:szCs w:val="22"/>
          <w:lang w:val="it-IT"/>
        </w:rPr>
      </w:pPr>
      <w:r w:rsidRPr="00C9575C">
        <w:rPr>
          <w:szCs w:val="22"/>
          <w:lang w:val="it-IT"/>
        </w:rPr>
        <w:t>febbre</w:t>
      </w:r>
    </w:p>
    <w:p w14:paraId="11AAC2ED" w14:textId="77777777" w:rsidR="0084378B" w:rsidRPr="00C9575C" w:rsidRDefault="0084378B" w:rsidP="00721816">
      <w:pPr>
        <w:widowControl w:val="0"/>
        <w:numPr>
          <w:ilvl w:val="0"/>
          <w:numId w:val="25"/>
        </w:numPr>
        <w:ind w:left="426" w:hanging="426"/>
        <w:rPr>
          <w:szCs w:val="22"/>
          <w:lang w:val="it-IT"/>
        </w:rPr>
      </w:pPr>
      <w:r w:rsidRPr="00C9575C">
        <w:rPr>
          <w:szCs w:val="22"/>
          <w:lang w:val="it-IT"/>
        </w:rPr>
        <w:t>respiro corto, mal di gola o tosse</w:t>
      </w:r>
    </w:p>
    <w:p w14:paraId="5F04AAD4" w14:textId="77777777" w:rsidR="0084378B" w:rsidRPr="00C9575C" w:rsidRDefault="0084378B" w:rsidP="00721816">
      <w:pPr>
        <w:widowControl w:val="0"/>
        <w:numPr>
          <w:ilvl w:val="0"/>
          <w:numId w:val="25"/>
        </w:numPr>
        <w:ind w:left="426" w:hanging="426"/>
        <w:rPr>
          <w:szCs w:val="22"/>
          <w:lang w:val="it-IT"/>
        </w:rPr>
      </w:pPr>
      <w:r w:rsidRPr="00C9575C">
        <w:rPr>
          <w:szCs w:val="22"/>
          <w:lang w:val="it-IT"/>
        </w:rPr>
        <w:t>nausea o vomito o diarrea o dolore addominale</w:t>
      </w:r>
    </w:p>
    <w:p w14:paraId="511A71B6" w14:textId="77777777" w:rsidR="0084378B" w:rsidRPr="00C9575C" w:rsidRDefault="0084378B" w:rsidP="00721816">
      <w:pPr>
        <w:widowControl w:val="0"/>
        <w:numPr>
          <w:ilvl w:val="0"/>
          <w:numId w:val="25"/>
        </w:numPr>
        <w:ind w:left="426" w:hanging="426"/>
        <w:rPr>
          <w:szCs w:val="22"/>
          <w:lang w:val="it-IT"/>
        </w:rPr>
      </w:pPr>
      <w:r w:rsidRPr="00C9575C">
        <w:rPr>
          <w:szCs w:val="22"/>
          <w:lang w:val="it-IT"/>
        </w:rPr>
        <w:t>grave affaticamento o dolorabilità o sensazione di malessere generale</w:t>
      </w:r>
    </w:p>
    <w:p w14:paraId="7E894621" w14:textId="77777777" w:rsidR="0084378B" w:rsidRPr="00C9575C" w:rsidRDefault="0084378B">
      <w:pPr>
        <w:widowControl w:val="0"/>
        <w:ind w:firstLine="720"/>
        <w:rPr>
          <w:szCs w:val="22"/>
          <w:lang w:val="it-IT"/>
        </w:rPr>
      </w:pPr>
    </w:p>
    <w:p w14:paraId="73545938" w14:textId="77777777" w:rsidR="0084378B" w:rsidRPr="00C9575C" w:rsidRDefault="0084378B">
      <w:pPr>
        <w:widowControl w:val="0"/>
        <w:rPr>
          <w:szCs w:val="22"/>
          <w:lang w:val="it-IT"/>
        </w:rPr>
      </w:pPr>
      <w:r w:rsidRPr="00C9575C">
        <w:rPr>
          <w:szCs w:val="22"/>
          <w:lang w:val="it-IT"/>
        </w:rPr>
        <w:t xml:space="preserve">Se ha interrotto l’assunzione di Kivexa a causa di </w:t>
      </w:r>
      <w:r w:rsidR="00CF45CD" w:rsidRPr="00C9575C">
        <w:rPr>
          <w:szCs w:val="22"/>
          <w:lang w:val="it-IT"/>
        </w:rPr>
        <w:t>una qualsiasi di queste reazioni</w:t>
      </w:r>
      <w:r w:rsidRPr="00C9575C">
        <w:rPr>
          <w:szCs w:val="22"/>
          <w:lang w:val="it-IT"/>
        </w:rPr>
        <w:t xml:space="preserve">, </w:t>
      </w:r>
      <w:r w:rsidRPr="00C9575C">
        <w:rPr>
          <w:b/>
          <w:szCs w:val="22"/>
          <w:lang w:val="it-IT"/>
        </w:rPr>
        <w:t xml:space="preserve">NON DEVE MAI ASSUMERE </w:t>
      </w:r>
      <w:r w:rsidRPr="00C9575C">
        <w:rPr>
          <w:szCs w:val="22"/>
          <w:lang w:val="it-IT"/>
        </w:rPr>
        <w:t>di nuovo</w:t>
      </w:r>
      <w:r w:rsidRPr="00C9575C">
        <w:rPr>
          <w:b/>
          <w:szCs w:val="22"/>
          <w:lang w:val="it-IT"/>
        </w:rPr>
        <w:t xml:space="preserve"> </w:t>
      </w:r>
      <w:r w:rsidRPr="00C9575C">
        <w:rPr>
          <w:szCs w:val="22"/>
          <w:lang w:val="it-IT"/>
        </w:rPr>
        <w:t>Kivexa o qualsiasi altro medicinale contenente abacavir (</w:t>
      </w:r>
      <w:r w:rsidR="00065513" w:rsidRPr="00C9575C">
        <w:rPr>
          <w:szCs w:val="22"/>
          <w:lang w:val="it-IT"/>
        </w:rPr>
        <w:t xml:space="preserve">ad esempio </w:t>
      </w:r>
      <w:r w:rsidRPr="00C9575C">
        <w:rPr>
          <w:szCs w:val="22"/>
          <w:lang w:val="it-IT"/>
        </w:rPr>
        <w:t>Ziagen</w:t>
      </w:r>
      <w:r w:rsidR="00B90200" w:rsidRPr="00C9575C">
        <w:rPr>
          <w:szCs w:val="22"/>
          <w:lang w:val="it-IT"/>
        </w:rPr>
        <w:t>, Triumeq</w:t>
      </w:r>
      <w:r w:rsidRPr="00C9575C">
        <w:rPr>
          <w:szCs w:val="22"/>
          <w:lang w:val="it-IT"/>
        </w:rPr>
        <w:t xml:space="preserve"> o Trizivir), poichè </w:t>
      </w:r>
      <w:r w:rsidRPr="00C9575C">
        <w:rPr>
          <w:b/>
          <w:szCs w:val="22"/>
          <w:lang w:val="it-IT"/>
        </w:rPr>
        <w:t>entro alcune ore</w:t>
      </w:r>
      <w:r w:rsidRPr="00C9575C">
        <w:rPr>
          <w:szCs w:val="22"/>
          <w:lang w:val="it-IT"/>
        </w:rPr>
        <w:t xml:space="preserve"> </w:t>
      </w:r>
      <w:r w:rsidR="00524C00" w:rsidRPr="00C9575C">
        <w:rPr>
          <w:szCs w:val="22"/>
          <w:lang w:val="it-IT"/>
        </w:rPr>
        <w:t xml:space="preserve">può </w:t>
      </w:r>
      <w:r w:rsidRPr="00C9575C">
        <w:rPr>
          <w:szCs w:val="22"/>
          <w:lang w:val="it-IT"/>
        </w:rPr>
        <w:t>andare incontro ad abbassamento della pressione arteriosa pericoloso per la vita o a morte.</w:t>
      </w:r>
    </w:p>
    <w:p w14:paraId="05EFB5A7" w14:textId="77777777" w:rsidR="0084378B" w:rsidRPr="00C9575C" w:rsidRDefault="0084378B">
      <w:pPr>
        <w:widowControl w:val="0"/>
        <w:ind w:left="5040" w:firstLine="720"/>
        <w:rPr>
          <w:b/>
          <w:szCs w:val="22"/>
          <w:lang w:val="it-IT"/>
        </w:rPr>
      </w:pPr>
      <w:r w:rsidRPr="00C9575C">
        <w:rPr>
          <w:b/>
          <w:szCs w:val="22"/>
          <w:lang w:val="it-IT"/>
        </w:rPr>
        <w:t xml:space="preserve">(vedere l’altro lato </w:t>
      </w:r>
      <w:r w:rsidR="00DB621B" w:rsidRPr="00C9575C">
        <w:rPr>
          <w:b/>
          <w:szCs w:val="22"/>
          <w:lang w:val="it-IT"/>
        </w:rPr>
        <w:t>del</w:t>
      </w:r>
      <w:r w:rsidR="00A05866" w:rsidRPr="00C9575C">
        <w:rPr>
          <w:b/>
          <w:szCs w:val="22"/>
          <w:lang w:val="it-IT"/>
        </w:rPr>
        <w:t>la s</w:t>
      </w:r>
      <w:r w:rsidR="00E21EA7" w:rsidRPr="00C9575C">
        <w:rPr>
          <w:b/>
          <w:szCs w:val="22"/>
          <w:lang w:val="it-IT"/>
        </w:rPr>
        <w:t>cheda</w:t>
      </w:r>
      <w:r w:rsidR="00E42C88" w:rsidRPr="00C9575C">
        <w:rPr>
          <w:b/>
          <w:szCs w:val="22"/>
          <w:lang w:val="it-IT"/>
        </w:rPr>
        <w:t>)</w:t>
      </w:r>
    </w:p>
    <w:p w14:paraId="58188854" w14:textId="77777777" w:rsidR="0084378B" w:rsidRPr="00C9575C" w:rsidRDefault="0084378B">
      <w:pPr>
        <w:widowControl w:val="0"/>
        <w:rPr>
          <w:b/>
          <w:szCs w:val="22"/>
          <w:lang w:val="it-IT"/>
        </w:rPr>
      </w:pPr>
    </w:p>
    <w:p w14:paraId="4032F55A" w14:textId="77777777" w:rsidR="0084378B" w:rsidRPr="00C9575C" w:rsidRDefault="0084378B">
      <w:pPr>
        <w:widowControl w:val="0"/>
        <w:rPr>
          <w:b/>
          <w:szCs w:val="22"/>
          <w:u w:val="single"/>
          <w:lang w:val="it-IT"/>
        </w:rPr>
      </w:pPr>
      <w:smartTag w:uri="schemas-GSKSiteLocations-com/fourthcoffee" w:element="flavor">
        <w:r w:rsidRPr="00C9575C">
          <w:rPr>
            <w:b/>
            <w:szCs w:val="22"/>
            <w:u w:val="single"/>
            <w:lang w:val="it-IT"/>
          </w:rPr>
          <w:t>LAT</w:t>
        </w:r>
      </w:smartTag>
      <w:r w:rsidRPr="00C9575C">
        <w:rPr>
          <w:b/>
          <w:szCs w:val="22"/>
          <w:u w:val="single"/>
          <w:lang w:val="it-IT"/>
        </w:rPr>
        <w:t>O 2</w:t>
      </w:r>
    </w:p>
    <w:p w14:paraId="7DFB5AAE" w14:textId="77777777" w:rsidR="0084378B" w:rsidRPr="00C9575C" w:rsidRDefault="0084378B">
      <w:pPr>
        <w:widowControl w:val="0"/>
        <w:rPr>
          <w:b/>
          <w:szCs w:val="22"/>
          <w:lang w:val="it-IT"/>
        </w:rPr>
      </w:pPr>
    </w:p>
    <w:p w14:paraId="2ED2AF03" w14:textId="77777777" w:rsidR="0084378B" w:rsidRPr="00C9575C" w:rsidRDefault="0084378B">
      <w:pPr>
        <w:widowControl w:val="0"/>
        <w:rPr>
          <w:szCs w:val="22"/>
          <w:lang w:val="it-IT"/>
        </w:rPr>
      </w:pPr>
      <w:r w:rsidRPr="00C9575C">
        <w:rPr>
          <w:szCs w:val="22"/>
          <w:lang w:val="it-IT"/>
        </w:rPr>
        <w:t>Contatt</w:t>
      </w:r>
      <w:r w:rsidR="009C6051" w:rsidRPr="00C9575C">
        <w:rPr>
          <w:szCs w:val="22"/>
          <w:lang w:val="it-IT"/>
        </w:rPr>
        <w:t>i</w:t>
      </w:r>
      <w:r w:rsidRPr="00C9575C">
        <w:rPr>
          <w:szCs w:val="22"/>
          <w:lang w:val="it-IT"/>
        </w:rPr>
        <w:t xml:space="preserve"> immediatamente il medico se pensa di avere una reazione di ipersensibilità (</w:t>
      </w:r>
      <w:r w:rsidR="00CF45CD" w:rsidRPr="00C9575C">
        <w:rPr>
          <w:szCs w:val="22"/>
          <w:lang w:val="it-IT"/>
        </w:rPr>
        <w:t>grave reazione allergica)</w:t>
      </w:r>
      <w:r w:rsidR="00A05866" w:rsidRPr="00C9575C">
        <w:rPr>
          <w:szCs w:val="22"/>
          <w:lang w:val="it-IT"/>
        </w:rPr>
        <w:t xml:space="preserve"> </w:t>
      </w:r>
      <w:r w:rsidRPr="00C9575C">
        <w:rPr>
          <w:szCs w:val="22"/>
          <w:lang w:val="it-IT"/>
        </w:rPr>
        <w:t>a Kivexa. Scriva i dati del medico qui di seguito:</w:t>
      </w:r>
    </w:p>
    <w:p w14:paraId="6390CBD9" w14:textId="77777777" w:rsidR="0084378B" w:rsidRPr="00C9575C" w:rsidRDefault="0084378B">
      <w:pPr>
        <w:widowControl w:val="0"/>
        <w:rPr>
          <w:szCs w:val="22"/>
          <w:lang w:val="it-IT"/>
        </w:rPr>
      </w:pPr>
    </w:p>
    <w:p w14:paraId="44E921CB" w14:textId="77777777" w:rsidR="0084378B" w:rsidRPr="00C9575C" w:rsidRDefault="0084378B">
      <w:pPr>
        <w:widowControl w:val="0"/>
        <w:rPr>
          <w:szCs w:val="22"/>
          <w:lang w:val="it-IT"/>
        </w:rPr>
      </w:pPr>
      <w:r w:rsidRPr="00C9575C">
        <w:rPr>
          <w:szCs w:val="22"/>
          <w:lang w:val="it-IT"/>
        </w:rPr>
        <w:t>Medico:.........................................</w:t>
      </w:r>
      <w:r w:rsidRPr="00C9575C">
        <w:rPr>
          <w:szCs w:val="22"/>
          <w:lang w:val="it-IT"/>
        </w:rPr>
        <w:tab/>
      </w:r>
      <w:r w:rsidRPr="00C9575C">
        <w:rPr>
          <w:szCs w:val="22"/>
          <w:lang w:val="it-IT"/>
        </w:rPr>
        <w:tab/>
      </w:r>
      <w:r w:rsidRPr="00C9575C">
        <w:rPr>
          <w:szCs w:val="22"/>
          <w:lang w:val="it-IT"/>
        </w:rPr>
        <w:tab/>
        <w:t>Tel:..................................................</w:t>
      </w:r>
    </w:p>
    <w:p w14:paraId="3EC23A0B" w14:textId="77777777" w:rsidR="0084378B" w:rsidRPr="00C9575C" w:rsidRDefault="0084378B">
      <w:pPr>
        <w:widowControl w:val="0"/>
        <w:rPr>
          <w:szCs w:val="22"/>
          <w:lang w:val="it-IT"/>
        </w:rPr>
      </w:pPr>
    </w:p>
    <w:p w14:paraId="3C3994E8" w14:textId="77777777" w:rsidR="0084378B" w:rsidRPr="00C9575C" w:rsidRDefault="0084378B">
      <w:pPr>
        <w:widowControl w:val="0"/>
        <w:rPr>
          <w:b/>
          <w:szCs w:val="22"/>
          <w:lang w:val="it-IT"/>
        </w:rPr>
      </w:pPr>
      <w:r w:rsidRPr="00C9575C">
        <w:rPr>
          <w:b/>
          <w:szCs w:val="22"/>
          <w:lang w:val="it-IT"/>
        </w:rPr>
        <w:t xml:space="preserve">Se il medico </w:t>
      </w:r>
      <w:r w:rsidR="00566E61" w:rsidRPr="00C9575C">
        <w:rPr>
          <w:b/>
          <w:szCs w:val="22"/>
          <w:lang w:val="it-IT"/>
        </w:rPr>
        <w:t xml:space="preserve">che la segue </w:t>
      </w:r>
      <w:r w:rsidRPr="00C9575C">
        <w:rPr>
          <w:b/>
          <w:szCs w:val="22"/>
          <w:lang w:val="it-IT"/>
        </w:rPr>
        <w:t xml:space="preserve">non dovesse essere disponibile, cerchi con urgenza un consiglio medico </w:t>
      </w:r>
      <w:r w:rsidR="00566E61" w:rsidRPr="00C9575C">
        <w:rPr>
          <w:b/>
          <w:szCs w:val="22"/>
          <w:lang w:val="it-IT"/>
        </w:rPr>
        <w:t xml:space="preserve">alternativo </w:t>
      </w:r>
      <w:r w:rsidRPr="00C9575C">
        <w:rPr>
          <w:b/>
          <w:szCs w:val="22"/>
          <w:lang w:val="it-IT"/>
        </w:rPr>
        <w:t xml:space="preserve">(ad esempio </w:t>
      </w:r>
      <w:r w:rsidR="00566E61" w:rsidRPr="00C9575C">
        <w:rPr>
          <w:b/>
          <w:szCs w:val="22"/>
          <w:lang w:val="it-IT"/>
        </w:rPr>
        <w:t>recandosi a</w:t>
      </w:r>
      <w:r w:rsidRPr="00C9575C">
        <w:rPr>
          <w:b/>
          <w:szCs w:val="22"/>
          <w:lang w:val="it-IT"/>
        </w:rPr>
        <w:t>l Pronto soccorso del più vicino ospedale).</w:t>
      </w:r>
    </w:p>
    <w:p w14:paraId="08126B1E" w14:textId="77777777" w:rsidR="0084378B" w:rsidRPr="00C9575C" w:rsidRDefault="0084378B">
      <w:pPr>
        <w:widowControl w:val="0"/>
        <w:rPr>
          <w:szCs w:val="22"/>
          <w:lang w:val="it-IT"/>
        </w:rPr>
      </w:pPr>
    </w:p>
    <w:p w14:paraId="3A83F68A" w14:textId="07FE860A" w:rsidR="0084378B" w:rsidRPr="00C9575C" w:rsidRDefault="0084378B" w:rsidP="00641D24">
      <w:pPr>
        <w:widowControl w:val="0"/>
        <w:rPr>
          <w:szCs w:val="22"/>
          <w:lang w:val="it-IT"/>
        </w:rPr>
      </w:pPr>
      <w:r w:rsidRPr="00C9575C">
        <w:rPr>
          <w:szCs w:val="22"/>
          <w:lang w:val="it-IT"/>
        </w:rPr>
        <w:t>Per ulteriori informazioni riguardanti Kivexa in generale, contatti</w:t>
      </w:r>
    </w:p>
    <w:p w14:paraId="7395D748" w14:textId="77777777" w:rsidR="0084378B" w:rsidRPr="00C9575C" w:rsidRDefault="0084378B">
      <w:pPr>
        <w:widowControl w:val="0"/>
        <w:tabs>
          <w:tab w:val="left" w:pos="567"/>
        </w:tabs>
        <w:jc w:val="both"/>
        <w:rPr>
          <w:szCs w:val="22"/>
          <w:lang w:val="it-IT"/>
        </w:rPr>
      </w:pPr>
      <w:r w:rsidRPr="00C9575C">
        <w:rPr>
          <w:szCs w:val="22"/>
          <w:lang w:val="it-IT"/>
        </w:rPr>
        <w:br w:type="page"/>
      </w:r>
    </w:p>
    <w:p w14:paraId="5670EC7A" w14:textId="77777777" w:rsidR="0084378B" w:rsidRPr="00C9575C" w:rsidRDefault="0084378B">
      <w:pPr>
        <w:widowControl w:val="0"/>
        <w:tabs>
          <w:tab w:val="left" w:pos="567"/>
        </w:tabs>
        <w:jc w:val="both"/>
        <w:rPr>
          <w:szCs w:val="22"/>
          <w:lang w:val="it-IT"/>
        </w:rPr>
      </w:pPr>
    </w:p>
    <w:p w14:paraId="452CDFF5" w14:textId="77777777" w:rsidR="0084378B" w:rsidRPr="00C9575C" w:rsidRDefault="0084378B">
      <w:pPr>
        <w:widowControl w:val="0"/>
        <w:tabs>
          <w:tab w:val="left" w:pos="567"/>
        </w:tabs>
        <w:jc w:val="both"/>
        <w:rPr>
          <w:szCs w:val="22"/>
          <w:lang w:val="it-IT"/>
        </w:rPr>
      </w:pPr>
    </w:p>
    <w:p w14:paraId="65989976" w14:textId="77777777" w:rsidR="0084378B" w:rsidRPr="00C9575C" w:rsidRDefault="0084378B">
      <w:pPr>
        <w:widowControl w:val="0"/>
        <w:tabs>
          <w:tab w:val="left" w:pos="567"/>
        </w:tabs>
        <w:rPr>
          <w:b/>
          <w:szCs w:val="22"/>
          <w:lang w:val="it-IT"/>
        </w:rPr>
      </w:pPr>
    </w:p>
    <w:p w14:paraId="2A442D71" w14:textId="77777777" w:rsidR="0084378B" w:rsidRPr="00C9575C" w:rsidRDefault="0084378B">
      <w:pPr>
        <w:widowControl w:val="0"/>
        <w:suppressAutoHyphens/>
        <w:rPr>
          <w:szCs w:val="22"/>
          <w:lang w:val="it-IT"/>
        </w:rPr>
      </w:pPr>
    </w:p>
    <w:p w14:paraId="14901F45" w14:textId="77777777" w:rsidR="0084378B" w:rsidRPr="00C9575C" w:rsidRDefault="0084378B">
      <w:pPr>
        <w:widowControl w:val="0"/>
        <w:suppressAutoHyphens/>
        <w:rPr>
          <w:b/>
          <w:szCs w:val="22"/>
          <w:lang w:val="it-IT"/>
        </w:rPr>
      </w:pPr>
    </w:p>
    <w:p w14:paraId="780C5E06" w14:textId="77777777" w:rsidR="0084378B" w:rsidRPr="00C9575C" w:rsidRDefault="0084378B">
      <w:pPr>
        <w:widowControl w:val="0"/>
        <w:suppressAutoHyphens/>
        <w:rPr>
          <w:b/>
          <w:szCs w:val="22"/>
          <w:lang w:val="it-IT"/>
        </w:rPr>
      </w:pPr>
    </w:p>
    <w:p w14:paraId="0D8002B8" w14:textId="77777777" w:rsidR="0084378B" w:rsidRPr="00C9575C" w:rsidRDefault="0084378B">
      <w:pPr>
        <w:widowControl w:val="0"/>
        <w:tabs>
          <w:tab w:val="left" w:pos="-720"/>
          <w:tab w:val="left" w:pos="567"/>
        </w:tabs>
        <w:suppressAutoHyphens/>
        <w:rPr>
          <w:b/>
          <w:szCs w:val="22"/>
          <w:lang w:val="it-IT"/>
        </w:rPr>
      </w:pPr>
    </w:p>
    <w:p w14:paraId="02F50E1C" w14:textId="77777777" w:rsidR="0084378B" w:rsidRPr="00C9575C" w:rsidRDefault="0084378B">
      <w:pPr>
        <w:widowControl w:val="0"/>
        <w:tabs>
          <w:tab w:val="left" w:pos="-720"/>
          <w:tab w:val="left" w:pos="567"/>
        </w:tabs>
        <w:suppressAutoHyphens/>
        <w:rPr>
          <w:b/>
          <w:szCs w:val="22"/>
          <w:lang w:val="it-IT"/>
        </w:rPr>
      </w:pPr>
    </w:p>
    <w:p w14:paraId="0E2B03AB" w14:textId="77777777" w:rsidR="0084378B" w:rsidRPr="00C9575C" w:rsidRDefault="0084378B">
      <w:pPr>
        <w:widowControl w:val="0"/>
        <w:tabs>
          <w:tab w:val="left" w:pos="-720"/>
          <w:tab w:val="left" w:pos="567"/>
        </w:tabs>
        <w:suppressAutoHyphens/>
        <w:rPr>
          <w:b/>
          <w:szCs w:val="22"/>
          <w:lang w:val="it-IT"/>
        </w:rPr>
      </w:pPr>
    </w:p>
    <w:p w14:paraId="23387325" w14:textId="77777777" w:rsidR="0084378B" w:rsidRPr="00C9575C" w:rsidRDefault="0084378B">
      <w:pPr>
        <w:widowControl w:val="0"/>
        <w:tabs>
          <w:tab w:val="left" w:pos="-720"/>
          <w:tab w:val="left" w:pos="567"/>
        </w:tabs>
        <w:suppressAutoHyphens/>
        <w:rPr>
          <w:b/>
          <w:szCs w:val="22"/>
          <w:lang w:val="it-IT"/>
        </w:rPr>
      </w:pPr>
    </w:p>
    <w:p w14:paraId="47A60983" w14:textId="77777777" w:rsidR="0084378B" w:rsidRPr="00C9575C" w:rsidRDefault="0084378B">
      <w:pPr>
        <w:widowControl w:val="0"/>
        <w:tabs>
          <w:tab w:val="left" w:pos="-720"/>
          <w:tab w:val="left" w:pos="567"/>
        </w:tabs>
        <w:suppressAutoHyphens/>
        <w:rPr>
          <w:b/>
          <w:szCs w:val="22"/>
          <w:lang w:val="it-IT"/>
        </w:rPr>
      </w:pPr>
    </w:p>
    <w:p w14:paraId="47C7D3D6" w14:textId="77777777" w:rsidR="0084378B" w:rsidRPr="00C9575C" w:rsidRDefault="0084378B">
      <w:pPr>
        <w:widowControl w:val="0"/>
        <w:tabs>
          <w:tab w:val="left" w:pos="-720"/>
          <w:tab w:val="left" w:pos="567"/>
        </w:tabs>
        <w:suppressAutoHyphens/>
        <w:rPr>
          <w:b/>
          <w:szCs w:val="22"/>
          <w:lang w:val="it-IT"/>
        </w:rPr>
      </w:pPr>
    </w:p>
    <w:p w14:paraId="58168C23" w14:textId="77777777" w:rsidR="0084378B" w:rsidRPr="00C9575C" w:rsidRDefault="0084378B">
      <w:pPr>
        <w:widowControl w:val="0"/>
        <w:tabs>
          <w:tab w:val="left" w:pos="-720"/>
          <w:tab w:val="left" w:pos="567"/>
        </w:tabs>
        <w:suppressAutoHyphens/>
        <w:rPr>
          <w:b/>
          <w:szCs w:val="22"/>
          <w:lang w:val="it-IT"/>
        </w:rPr>
      </w:pPr>
    </w:p>
    <w:p w14:paraId="740AFAEB" w14:textId="77777777" w:rsidR="0084378B" w:rsidRPr="00C9575C" w:rsidRDefault="0084378B">
      <w:pPr>
        <w:widowControl w:val="0"/>
        <w:tabs>
          <w:tab w:val="left" w:pos="-720"/>
          <w:tab w:val="left" w:pos="567"/>
        </w:tabs>
        <w:suppressAutoHyphens/>
        <w:rPr>
          <w:b/>
          <w:szCs w:val="22"/>
          <w:lang w:val="it-IT"/>
        </w:rPr>
      </w:pPr>
    </w:p>
    <w:p w14:paraId="64491243" w14:textId="77777777" w:rsidR="0084378B" w:rsidRPr="00C9575C" w:rsidRDefault="0084378B">
      <w:pPr>
        <w:widowControl w:val="0"/>
        <w:tabs>
          <w:tab w:val="left" w:pos="-720"/>
          <w:tab w:val="left" w:pos="567"/>
        </w:tabs>
        <w:suppressAutoHyphens/>
        <w:rPr>
          <w:b/>
          <w:szCs w:val="22"/>
          <w:lang w:val="it-IT"/>
        </w:rPr>
      </w:pPr>
    </w:p>
    <w:p w14:paraId="624E8F25" w14:textId="77777777" w:rsidR="0084378B" w:rsidRPr="00C9575C" w:rsidRDefault="0084378B">
      <w:pPr>
        <w:widowControl w:val="0"/>
        <w:tabs>
          <w:tab w:val="left" w:pos="-720"/>
          <w:tab w:val="left" w:pos="567"/>
        </w:tabs>
        <w:suppressAutoHyphens/>
        <w:rPr>
          <w:b/>
          <w:szCs w:val="22"/>
          <w:lang w:val="it-IT"/>
        </w:rPr>
      </w:pPr>
    </w:p>
    <w:p w14:paraId="7AD6737A" w14:textId="77777777" w:rsidR="0084378B" w:rsidRPr="00C9575C" w:rsidRDefault="0084378B">
      <w:pPr>
        <w:widowControl w:val="0"/>
        <w:tabs>
          <w:tab w:val="left" w:pos="-720"/>
          <w:tab w:val="left" w:pos="567"/>
        </w:tabs>
        <w:suppressAutoHyphens/>
        <w:rPr>
          <w:b/>
          <w:szCs w:val="22"/>
          <w:lang w:val="it-IT"/>
        </w:rPr>
      </w:pPr>
    </w:p>
    <w:p w14:paraId="101904E3" w14:textId="77777777" w:rsidR="0084378B" w:rsidRPr="00C9575C" w:rsidRDefault="0084378B">
      <w:pPr>
        <w:widowControl w:val="0"/>
        <w:tabs>
          <w:tab w:val="left" w:pos="-720"/>
          <w:tab w:val="left" w:pos="567"/>
        </w:tabs>
        <w:suppressAutoHyphens/>
        <w:rPr>
          <w:b/>
          <w:szCs w:val="22"/>
          <w:lang w:val="it-IT"/>
        </w:rPr>
      </w:pPr>
    </w:p>
    <w:p w14:paraId="2ADD2BCB" w14:textId="77777777" w:rsidR="0084378B" w:rsidRPr="00C9575C" w:rsidRDefault="0084378B">
      <w:pPr>
        <w:widowControl w:val="0"/>
        <w:tabs>
          <w:tab w:val="left" w:pos="-720"/>
          <w:tab w:val="left" w:pos="567"/>
        </w:tabs>
        <w:suppressAutoHyphens/>
        <w:rPr>
          <w:b/>
          <w:szCs w:val="22"/>
          <w:lang w:val="it-IT"/>
        </w:rPr>
      </w:pPr>
    </w:p>
    <w:p w14:paraId="01E5CE7C" w14:textId="77777777" w:rsidR="0084378B" w:rsidRPr="00C9575C" w:rsidRDefault="0084378B">
      <w:pPr>
        <w:widowControl w:val="0"/>
        <w:tabs>
          <w:tab w:val="left" w:pos="-720"/>
          <w:tab w:val="left" w:pos="567"/>
        </w:tabs>
        <w:suppressAutoHyphens/>
        <w:rPr>
          <w:b/>
          <w:szCs w:val="22"/>
          <w:lang w:val="it-IT"/>
        </w:rPr>
      </w:pPr>
    </w:p>
    <w:p w14:paraId="682F2650" w14:textId="77777777" w:rsidR="0084378B" w:rsidRPr="00C9575C" w:rsidRDefault="0084378B">
      <w:pPr>
        <w:widowControl w:val="0"/>
        <w:tabs>
          <w:tab w:val="left" w:pos="-720"/>
          <w:tab w:val="left" w:pos="567"/>
        </w:tabs>
        <w:suppressAutoHyphens/>
        <w:rPr>
          <w:b/>
          <w:szCs w:val="22"/>
          <w:lang w:val="it-IT"/>
        </w:rPr>
      </w:pPr>
    </w:p>
    <w:p w14:paraId="73DDBEE7" w14:textId="77777777" w:rsidR="0084378B" w:rsidRPr="00C9575C" w:rsidRDefault="0084378B" w:rsidP="005544B4">
      <w:pPr>
        <w:pStyle w:val="TitleA"/>
      </w:pPr>
    </w:p>
    <w:p w14:paraId="1CF18DB8" w14:textId="5DF9074B" w:rsidR="0084378B" w:rsidRPr="00C9575C" w:rsidRDefault="0084378B" w:rsidP="005544B4">
      <w:pPr>
        <w:pStyle w:val="TitleA"/>
      </w:pPr>
      <w:r w:rsidRPr="00C9575C">
        <w:t>B. FOGLIO ILLUSTRATIVO</w:t>
      </w:r>
      <w:fldSimple w:instr=" DOCVARIABLE VAULT_ND_eed7ef79-ddc9-4a99-a7b2-a9431bb99035 \* MERGEFORMAT ">
        <w:r w:rsidR="0092155C">
          <w:t xml:space="preserve"> </w:t>
        </w:r>
      </w:fldSimple>
    </w:p>
    <w:p w14:paraId="79D69199" w14:textId="77777777" w:rsidR="00561813" w:rsidRPr="00C9575C" w:rsidRDefault="0084378B" w:rsidP="00561813">
      <w:pPr>
        <w:widowControl w:val="0"/>
        <w:suppressAutoHyphens/>
        <w:jc w:val="center"/>
        <w:rPr>
          <w:b/>
          <w:szCs w:val="22"/>
          <w:lang w:val="it-IT"/>
        </w:rPr>
      </w:pPr>
      <w:r w:rsidRPr="00C9575C">
        <w:rPr>
          <w:b/>
          <w:szCs w:val="22"/>
          <w:lang w:val="it-IT"/>
        </w:rPr>
        <w:br w:type="page"/>
      </w:r>
      <w:r w:rsidR="00922052" w:rsidRPr="00C9575C">
        <w:rPr>
          <w:b/>
          <w:szCs w:val="22"/>
          <w:lang w:val="it-IT"/>
        </w:rPr>
        <w:lastRenderedPageBreak/>
        <w:t>Foglio Illustrativo: Informazioni per l’utilizzatore</w:t>
      </w:r>
    </w:p>
    <w:p w14:paraId="379C9EE8" w14:textId="77777777" w:rsidR="00561813" w:rsidRPr="00C9575C" w:rsidRDefault="00561813" w:rsidP="00561813">
      <w:pPr>
        <w:widowControl w:val="0"/>
        <w:suppressAutoHyphens/>
        <w:jc w:val="center"/>
        <w:rPr>
          <w:b/>
          <w:szCs w:val="22"/>
          <w:lang w:val="it-IT"/>
        </w:rPr>
      </w:pPr>
    </w:p>
    <w:p w14:paraId="0E88FBBB" w14:textId="77777777" w:rsidR="00561813" w:rsidRPr="00C9575C" w:rsidRDefault="00561813" w:rsidP="00561813">
      <w:pPr>
        <w:widowControl w:val="0"/>
        <w:suppressAutoHyphens/>
        <w:jc w:val="center"/>
        <w:rPr>
          <w:b/>
          <w:szCs w:val="22"/>
          <w:lang w:val="it-IT"/>
        </w:rPr>
      </w:pPr>
      <w:r w:rsidRPr="00C9575C">
        <w:rPr>
          <w:b/>
          <w:szCs w:val="22"/>
          <w:lang w:val="it-IT"/>
        </w:rPr>
        <w:t>Kivexa 600 mg/300 mg compresse rivestite con film</w:t>
      </w:r>
    </w:p>
    <w:p w14:paraId="382DF96B" w14:textId="77777777" w:rsidR="00561813" w:rsidRPr="00C9575C" w:rsidRDefault="00CC0BC2" w:rsidP="00561813">
      <w:pPr>
        <w:widowControl w:val="0"/>
        <w:suppressAutoHyphens/>
        <w:jc w:val="center"/>
        <w:rPr>
          <w:szCs w:val="22"/>
          <w:lang w:val="it-IT"/>
        </w:rPr>
      </w:pPr>
      <w:r w:rsidRPr="00C9575C">
        <w:rPr>
          <w:szCs w:val="22"/>
          <w:lang w:val="it-IT"/>
        </w:rPr>
        <w:t>abacavir/lamivudina</w:t>
      </w:r>
    </w:p>
    <w:p w14:paraId="56C65875" w14:textId="77777777" w:rsidR="00561813" w:rsidRPr="00C9575C" w:rsidRDefault="00561813" w:rsidP="00561813">
      <w:pPr>
        <w:widowControl w:val="0"/>
        <w:tabs>
          <w:tab w:val="left" w:pos="567"/>
        </w:tabs>
        <w:jc w:val="center"/>
        <w:outlineLvl w:val="0"/>
        <w:rPr>
          <w:b/>
          <w:szCs w:val="22"/>
          <w:lang w:val="it-IT"/>
        </w:rPr>
      </w:pPr>
    </w:p>
    <w:p w14:paraId="123C7180" w14:textId="77777777" w:rsidR="00B1770D" w:rsidRPr="00C9575C" w:rsidRDefault="00561813" w:rsidP="008841B8">
      <w:pPr>
        <w:tabs>
          <w:tab w:val="left" w:pos="0"/>
        </w:tabs>
        <w:suppressAutoHyphens/>
        <w:spacing w:after="120"/>
        <w:rPr>
          <w:shd w:val="pct15" w:color="auto" w:fill="FFFFFF"/>
          <w:lang w:val="it-IT"/>
        </w:rPr>
      </w:pPr>
      <w:r w:rsidRPr="00C9575C">
        <w:rPr>
          <w:b/>
          <w:lang w:val="it-IT"/>
        </w:rPr>
        <w:t>Legga attentamente questo foglio prima di prendere questo medicinale</w:t>
      </w:r>
      <w:r w:rsidR="00922052" w:rsidRPr="00C03451">
        <w:rPr>
          <w:b/>
          <w:szCs w:val="24"/>
          <w:lang w:val="it-IT"/>
        </w:rPr>
        <w:t xml:space="preserve"> </w:t>
      </w:r>
      <w:r w:rsidR="00B1770D" w:rsidRPr="00C03451">
        <w:rPr>
          <w:b/>
          <w:szCs w:val="24"/>
          <w:lang w:val="it-IT"/>
        </w:rPr>
        <w:t>perché contiene importanti informazioni per lei</w:t>
      </w:r>
      <w:r w:rsidR="00B1770D" w:rsidRPr="00C9575C">
        <w:rPr>
          <w:b/>
          <w:lang w:val="it-IT"/>
        </w:rPr>
        <w:t>.</w:t>
      </w:r>
    </w:p>
    <w:p w14:paraId="33DAEBAE" w14:textId="77777777" w:rsidR="00561813" w:rsidRPr="00C9575C" w:rsidRDefault="002C61BE" w:rsidP="002C61BE">
      <w:pPr>
        <w:widowControl w:val="0"/>
        <w:tabs>
          <w:tab w:val="left" w:pos="567"/>
        </w:tabs>
        <w:spacing w:line="360" w:lineRule="auto"/>
        <w:rPr>
          <w:szCs w:val="22"/>
          <w:lang w:val="it-IT"/>
        </w:rPr>
      </w:pPr>
      <w:r w:rsidRPr="00C03451">
        <w:rPr>
          <w:color w:val="000000"/>
          <w:szCs w:val="22"/>
          <w:lang w:val="it-IT"/>
        </w:rPr>
        <w:t>-</w:t>
      </w:r>
      <w:r w:rsidRPr="00C03451">
        <w:rPr>
          <w:color w:val="000000"/>
          <w:szCs w:val="22"/>
          <w:lang w:val="it-IT"/>
        </w:rPr>
        <w:tab/>
      </w:r>
      <w:r w:rsidR="00561813" w:rsidRPr="00C9575C">
        <w:rPr>
          <w:szCs w:val="22"/>
          <w:lang w:val="it-IT"/>
        </w:rPr>
        <w:t>Conservi questo foglio. Potrebbe aver bisogno di leggerlo di nuovo.</w:t>
      </w:r>
    </w:p>
    <w:p w14:paraId="7090442E" w14:textId="77777777" w:rsidR="00561813" w:rsidRPr="00C9575C" w:rsidRDefault="002C61BE" w:rsidP="002C61BE">
      <w:pPr>
        <w:widowControl w:val="0"/>
        <w:tabs>
          <w:tab w:val="left" w:pos="567"/>
        </w:tabs>
        <w:spacing w:line="360" w:lineRule="auto"/>
        <w:rPr>
          <w:szCs w:val="22"/>
          <w:lang w:val="it-IT"/>
        </w:rPr>
      </w:pPr>
      <w:r w:rsidRPr="00C9575C">
        <w:rPr>
          <w:color w:val="000000"/>
          <w:szCs w:val="22"/>
          <w:lang w:val="it-IT"/>
        </w:rPr>
        <w:t>-</w:t>
      </w:r>
      <w:r w:rsidRPr="00C9575C">
        <w:rPr>
          <w:color w:val="000000"/>
          <w:szCs w:val="22"/>
          <w:lang w:val="it-IT"/>
        </w:rPr>
        <w:tab/>
      </w:r>
      <w:r w:rsidR="00561813" w:rsidRPr="00C9575C">
        <w:rPr>
          <w:szCs w:val="22"/>
          <w:lang w:val="it-IT"/>
        </w:rPr>
        <w:t>Se ha qualsiasi dubbio, si rivolga al medico o al farmacista.</w:t>
      </w:r>
    </w:p>
    <w:p w14:paraId="69948DF9" w14:textId="77777777" w:rsidR="00561813" w:rsidRPr="00C9575C" w:rsidRDefault="00100311" w:rsidP="002C61BE">
      <w:pPr>
        <w:pStyle w:val="ListParagraph"/>
        <w:suppressAutoHyphens/>
        <w:spacing w:after="120" w:line="240" w:lineRule="auto"/>
        <w:ind w:left="567" w:hanging="567"/>
        <w:rPr>
          <w:rFonts w:ascii="Times New Roman" w:hAnsi="Times New Roman"/>
          <w:lang w:val="it-IT"/>
        </w:rPr>
      </w:pPr>
      <w:r w:rsidRPr="00C9575C">
        <w:rPr>
          <w:rFonts w:ascii="Times New Roman" w:eastAsia="Times New Roman" w:hAnsi="Times New Roman"/>
          <w:color w:val="000000"/>
          <w:lang w:val="it-IT" w:eastAsia="it-IT"/>
        </w:rPr>
        <w:t>-</w:t>
      </w:r>
      <w:r w:rsidR="002C61BE" w:rsidRPr="00C9575C">
        <w:rPr>
          <w:color w:val="000000"/>
          <w:lang w:val="it-IT"/>
        </w:rPr>
        <w:tab/>
      </w:r>
      <w:r w:rsidR="00561813" w:rsidRPr="00C9575C">
        <w:rPr>
          <w:rFonts w:ascii="Times New Roman" w:hAnsi="Times New Roman"/>
          <w:lang w:val="it-IT"/>
        </w:rPr>
        <w:t xml:space="preserve">Questo medicinale è stato prescritto </w:t>
      </w:r>
      <w:r w:rsidR="00B1770D" w:rsidRPr="00C9575C">
        <w:rPr>
          <w:rFonts w:ascii="Times New Roman" w:hAnsi="Times New Roman"/>
          <w:lang w:val="it-IT"/>
        </w:rPr>
        <w:t xml:space="preserve">soltanto </w:t>
      </w:r>
      <w:r w:rsidR="00561813" w:rsidRPr="00C9575C">
        <w:rPr>
          <w:rFonts w:ascii="Times New Roman" w:hAnsi="Times New Roman"/>
          <w:lang w:val="it-IT"/>
        </w:rPr>
        <w:t xml:space="preserve">per lei. Non lo dia ad altre persone, anche se </w:t>
      </w:r>
      <w:r w:rsidR="00B1770D" w:rsidRPr="00C9575C">
        <w:rPr>
          <w:rFonts w:ascii="Times New Roman" w:hAnsi="Times New Roman"/>
          <w:lang w:val="it-IT"/>
        </w:rPr>
        <w:t>i segni della malattia</w:t>
      </w:r>
      <w:r w:rsidR="00561813" w:rsidRPr="00C9575C">
        <w:rPr>
          <w:rFonts w:ascii="Times New Roman" w:hAnsi="Times New Roman"/>
          <w:lang w:val="it-IT"/>
        </w:rPr>
        <w:t xml:space="preserve"> sono uguali ai suoi, perché potrebbe essere pericoloso.</w:t>
      </w:r>
    </w:p>
    <w:p w14:paraId="03176DA4" w14:textId="77777777" w:rsidR="00561813" w:rsidRPr="00C9575C" w:rsidRDefault="002C61BE" w:rsidP="002C61BE">
      <w:pPr>
        <w:widowControl w:val="0"/>
        <w:ind w:left="567" w:hanging="567"/>
        <w:rPr>
          <w:szCs w:val="22"/>
          <w:lang w:val="it-IT"/>
        </w:rPr>
      </w:pPr>
      <w:r w:rsidRPr="00C9575C">
        <w:rPr>
          <w:color w:val="000000"/>
          <w:szCs w:val="22"/>
          <w:lang w:val="it-IT"/>
        </w:rPr>
        <w:t>-</w:t>
      </w:r>
      <w:r w:rsidRPr="00C9575C">
        <w:rPr>
          <w:color w:val="000000"/>
          <w:szCs w:val="22"/>
          <w:lang w:val="it-IT"/>
        </w:rPr>
        <w:tab/>
      </w:r>
      <w:r w:rsidR="00CC0BC2" w:rsidRPr="00C9575C">
        <w:rPr>
          <w:szCs w:val="22"/>
          <w:lang w:val="it-IT"/>
        </w:rPr>
        <w:t>Se si manifesta un qualsiasi effetto indesiderato, compresi quelli non elencati in questo foglio, si rivolga immediatamente al medico o al farmacista.</w:t>
      </w:r>
      <w:r w:rsidR="00CC0BC2" w:rsidRPr="00C9575C">
        <w:rPr>
          <w:lang w:val="it-IT"/>
        </w:rPr>
        <w:t xml:space="preserve"> </w:t>
      </w:r>
      <w:r w:rsidR="00A9212E" w:rsidRPr="00C9575C">
        <w:rPr>
          <w:lang w:val="it-IT"/>
        </w:rPr>
        <w:t>Vedere paragrafo 4.</w:t>
      </w:r>
    </w:p>
    <w:p w14:paraId="34D5DA6F" w14:textId="77777777" w:rsidR="0021594F" w:rsidRPr="00C9575C" w:rsidRDefault="0021594F" w:rsidP="0021594F">
      <w:pPr>
        <w:widowControl w:val="0"/>
        <w:rPr>
          <w:b/>
          <w:szCs w:val="22"/>
          <w:lang w:val="it-IT"/>
        </w:rPr>
      </w:pPr>
    </w:p>
    <w:p w14:paraId="0B29B477" w14:textId="77777777" w:rsidR="0021594F" w:rsidRPr="00C9575C" w:rsidRDefault="0021594F" w:rsidP="0021594F">
      <w:pPr>
        <w:widowControl w:val="0"/>
        <w:rPr>
          <w:b/>
          <w:szCs w:val="22"/>
          <w:lang w:val="it-IT"/>
        </w:rPr>
      </w:pPr>
    </w:p>
    <w:p w14:paraId="59FCDF11" w14:textId="77777777" w:rsidR="00561813" w:rsidRPr="00C9575C" w:rsidRDefault="00561813" w:rsidP="0021594F">
      <w:pPr>
        <w:widowControl w:val="0"/>
        <w:spacing w:after="120"/>
        <w:rPr>
          <w:b/>
          <w:lang w:val="it-IT"/>
        </w:rPr>
      </w:pPr>
      <w:r w:rsidRPr="00C9575C">
        <w:rPr>
          <w:b/>
          <w:szCs w:val="22"/>
          <w:lang w:val="it-IT"/>
        </w:rPr>
        <w:t xml:space="preserve">IMPORTANTE </w:t>
      </w:r>
      <w:r w:rsidRPr="00C9575C">
        <w:rPr>
          <w:b/>
          <w:lang w:val="it-IT"/>
        </w:rPr>
        <w:t>— Reazioni di ipersensibilità</w:t>
      </w:r>
    </w:p>
    <w:p w14:paraId="550684F6" w14:textId="77777777" w:rsidR="0021594F" w:rsidRPr="00C9575C" w:rsidRDefault="00561813" w:rsidP="0021594F">
      <w:pPr>
        <w:widowControl w:val="0"/>
        <w:rPr>
          <w:szCs w:val="22"/>
          <w:lang w:val="it-IT"/>
        </w:rPr>
      </w:pPr>
      <w:r w:rsidRPr="00C9575C">
        <w:rPr>
          <w:b/>
          <w:lang w:val="it-IT"/>
        </w:rPr>
        <w:t>Kivexa contiene abacavir</w:t>
      </w:r>
      <w:r w:rsidRPr="00C9575C">
        <w:rPr>
          <w:lang w:val="it-IT"/>
        </w:rPr>
        <w:t xml:space="preserve"> (che è anche il principio attivo contenuto nei medicinali come </w:t>
      </w:r>
      <w:r w:rsidRPr="00C9575C">
        <w:rPr>
          <w:b/>
          <w:lang w:val="it-IT"/>
        </w:rPr>
        <w:t>Trizivir</w:t>
      </w:r>
      <w:r w:rsidR="00332E7B" w:rsidRPr="00C9575C">
        <w:rPr>
          <w:b/>
          <w:lang w:val="it-IT"/>
        </w:rPr>
        <w:t>, Triumeq</w:t>
      </w:r>
      <w:r w:rsidRPr="00C9575C">
        <w:rPr>
          <w:b/>
          <w:lang w:val="it-IT"/>
        </w:rPr>
        <w:t xml:space="preserve"> </w:t>
      </w:r>
      <w:r w:rsidRPr="00C9575C">
        <w:rPr>
          <w:lang w:val="it-IT"/>
        </w:rPr>
        <w:t>e</w:t>
      </w:r>
      <w:r w:rsidRPr="00C9575C">
        <w:rPr>
          <w:b/>
          <w:lang w:val="it-IT"/>
        </w:rPr>
        <w:t xml:space="preserve"> Ziagen</w:t>
      </w:r>
      <w:r w:rsidRPr="00C9575C">
        <w:rPr>
          <w:lang w:val="it-IT"/>
        </w:rPr>
        <w:t>).</w:t>
      </w:r>
      <w:r w:rsidRPr="00C9575C">
        <w:rPr>
          <w:szCs w:val="22"/>
          <w:lang w:val="it-IT"/>
        </w:rPr>
        <w:t xml:space="preserve"> Alcune persone che assumono abacavir possono sviluppare una </w:t>
      </w:r>
      <w:r w:rsidRPr="00C9575C">
        <w:rPr>
          <w:b/>
          <w:szCs w:val="22"/>
          <w:lang w:val="it-IT"/>
        </w:rPr>
        <w:t>reazione di ipersensibilità</w:t>
      </w:r>
      <w:r w:rsidRPr="00C9575C">
        <w:rPr>
          <w:szCs w:val="22"/>
          <w:lang w:val="it-IT"/>
        </w:rPr>
        <w:t xml:space="preserve"> (una grave reazione allergica) che può essere pericolosa per la vita se </w:t>
      </w:r>
      <w:r w:rsidR="00332E7B" w:rsidRPr="00C9575C">
        <w:rPr>
          <w:szCs w:val="22"/>
          <w:lang w:val="it-IT"/>
        </w:rPr>
        <w:t xml:space="preserve">continuano ad assumere medicinali contenenti </w:t>
      </w:r>
      <w:r w:rsidRPr="00C9575C">
        <w:rPr>
          <w:szCs w:val="22"/>
          <w:lang w:val="it-IT"/>
        </w:rPr>
        <w:t>abacavir.</w:t>
      </w:r>
    </w:p>
    <w:p w14:paraId="7627BFE2" w14:textId="77777777" w:rsidR="00561813" w:rsidRPr="00C9575C" w:rsidRDefault="00561813" w:rsidP="0021594F">
      <w:pPr>
        <w:widowControl w:val="0"/>
        <w:rPr>
          <w:szCs w:val="22"/>
          <w:lang w:val="it-IT"/>
        </w:rPr>
      </w:pPr>
      <w:r w:rsidRPr="00C9575C">
        <w:rPr>
          <w:b/>
          <w:lang w:val="it-IT"/>
        </w:rPr>
        <w:t>Legga attentamente tut</w:t>
      </w:r>
      <w:r w:rsidR="00D33BA6" w:rsidRPr="00C9575C">
        <w:rPr>
          <w:b/>
          <w:lang w:val="it-IT"/>
        </w:rPr>
        <w:t xml:space="preserve">te le informazioni riportate in </w:t>
      </w:r>
      <w:r w:rsidRPr="00C9575C">
        <w:rPr>
          <w:b/>
          <w:lang w:val="it-IT"/>
        </w:rPr>
        <w:t>‘Reazioni di ipersensibilità’ nel riquadro del paragrafo 4.</w:t>
      </w:r>
    </w:p>
    <w:p w14:paraId="6DF93E3B" w14:textId="77777777" w:rsidR="00561813" w:rsidRPr="00C9575C" w:rsidRDefault="00561813" w:rsidP="00561813">
      <w:pPr>
        <w:pStyle w:val="Warning"/>
        <w:numPr>
          <w:ilvl w:val="0"/>
          <w:numId w:val="0"/>
        </w:numPr>
        <w:jc w:val="both"/>
      </w:pPr>
    </w:p>
    <w:p w14:paraId="0DD54477" w14:textId="77777777" w:rsidR="00561813" w:rsidRPr="00C9575C" w:rsidRDefault="00561813" w:rsidP="00561813">
      <w:pPr>
        <w:widowControl w:val="0"/>
        <w:tabs>
          <w:tab w:val="left" w:pos="567"/>
        </w:tabs>
        <w:ind w:right="-2"/>
        <w:rPr>
          <w:szCs w:val="22"/>
          <w:lang w:val="it-IT"/>
        </w:rPr>
      </w:pPr>
      <w:r w:rsidRPr="00C9575C">
        <w:rPr>
          <w:lang w:val="it-IT"/>
        </w:rPr>
        <w:t>La confezione di Kivexa include un</w:t>
      </w:r>
      <w:r w:rsidR="007A65A6" w:rsidRPr="00C9575C">
        <w:rPr>
          <w:lang w:val="it-IT"/>
        </w:rPr>
        <w:t xml:space="preserve">a </w:t>
      </w:r>
      <w:r w:rsidR="007A65A6" w:rsidRPr="00C9575C">
        <w:rPr>
          <w:b/>
          <w:lang w:val="it-IT"/>
        </w:rPr>
        <w:t>Scheda di Allerta</w:t>
      </w:r>
      <w:r w:rsidRPr="00C9575C">
        <w:rPr>
          <w:lang w:val="it-IT"/>
        </w:rPr>
        <w:t xml:space="preserve"> </w:t>
      </w:r>
      <w:r w:rsidRPr="00C9575C">
        <w:rPr>
          <w:szCs w:val="22"/>
          <w:lang w:val="it-IT"/>
        </w:rPr>
        <w:t xml:space="preserve">per ricordare a lei e al personale medico l’ipersensibilità ad abacavir. </w:t>
      </w:r>
      <w:r w:rsidRPr="00C9575C">
        <w:rPr>
          <w:b/>
          <w:szCs w:val="22"/>
          <w:lang w:val="it-IT"/>
        </w:rPr>
        <w:t>Rimuova quest</w:t>
      </w:r>
      <w:r w:rsidR="007A65A6" w:rsidRPr="00C9575C">
        <w:rPr>
          <w:b/>
          <w:szCs w:val="22"/>
          <w:lang w:val="it-IT"/>
        </w:rPr>
        <w:t>a scheda</w:t>
      </w:r>
      <w:r w:rsidRPr="00C9575C">
        <w:rPr>
          <w:b/>
          <w:szCs w:val="22"/>
          <w:lang w:val="it-IT"/>
        </w:rPr>
        <w:t xml:space="preserve"> e l</w:t>
      </w:r>
      <w:r w:rsidR="007A65A6" w:rsidRPr="00C9575C">
        <w:rPr>
          <w:b/>
          <w:szCs w:val="22"/>
          <w:lang w:val="it-IT"/>
        </w:rPr>
        <w:t>a</w:t>
      </w:r>
      <w:r w:rsidRPr="00C9575C">
        <w:rPr>
          <w:b/>
          <w:szCs w:val="22"/>
          <w:lang w:val="it-IT"/>
        </w:rPr>
        <w:t xml:space="preserve"> porti sempre con sé.</w:t>
      </w:r>
    </w:p>
    <w:p w14:paraId="49B0336A" w14:textId="77777777" w:rsidR="00561813" w:rsidRPr="00C9575C" w:rsidRDefault="00561813" w:rsidP="00561813">
      <w:pPr>
        <w:widowControl w:val="0"/>
        <w:tabs>
          <w:tab w:val="left" w:pos="567"/>
        </w:tabs>
        <w:rPr>
          <w:szCs w:val="22"/>
          <w:lang w:val="it-IT"/>
        </w:rPr>
      </w:pPr>
    </w:p>
    <w:p w14:paraId="07B14D77" w14:textId="7BE57E37" w:rsidR="00561813" w:rsidRPr="00C9575C" w:rsidRDefault="00561813" w:rsidP="008947B2">
      <w:pPr>
        <w:widowControl w:val="0"/>
        <w:tabs>
          <w:tab w:val="left" w:pos="567"/>
        </w:tabs>
        <w:spacing w:after="120"/>
        <w:outlineLvl w:val="0"/>
        <w:rPr>
          <w:b/>
          <w:szCs w:val="22"/>
          <w:lang w:val="it-IT"/>
        </w:rPr>
      </w:pPr>
      <w:r w:rsidRPr="00C9575C">
        <w:rPr>
          <w:b/>
          <w:szCs w:val="22"/>
          <w:lang w:val="it-IT"/>
        </w:rPr>
        <w:t>Contenuto di questo foglio:</w:t>
      </w:r>
      <w:r w:rsidR="0092155C">
        <w:rPr>
          <w:b/>
          <w:szCs w:val="22"/>
          <w:lang w:val="it-IT"/>
        </w:rPr>
        <w:fldChar w:fldCharType="begin"/>
      </w:r>
      <w:r w:rsidR="0092155C">
        <w:rPr>
          <w:b/>
          <w:szCs w:val="22"/>
          <w:lang w:val="it-IT"/>
        </w:rPr>
        <w:instrText xml:space="preserve"> DOCVARIABLE vault_nd_26b8d85e-e83c-4d15-b1d0-8204dabf87d3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37F58D8C" w14:textId="77777777" w:rsidR="00561813" w:rsidRPr="00C9575C" w:rsidRDefault="00561813" w:rsidP="008947B2">
      <w:pPr>
        <w:widowControl w:val="0"/>
        <w:tabs>
          <w:tab w:val="left" w:pos="567"/>
        </w:tabs>
        <w:rPr>
          <w:szCs w:val="22"/>
          <w:lang w:val="it-IT"/>
        </w:rPr>
      </w:pPr>
      <w:r w:rsidRPr="00C9575C">
        <w:rPr>
          <w:szCs w:val="22"/>
          <w:lang w:val="it-IT"/>
        </w:rPr>
        <w:t>1.</w:t>
      </w:r>
      <w:r w:rsidRPr="00C9575C">
        <w:rPr>
          <w:szCs w:val="22"/>
          <w:lang w:val="it-IT"/>
        </w:rPr>
        <w:tab/>
        <w:t xml:space="preserve">Che cos’è Kivexa e a cosa serve </w:t>
      </w:r>
    </w:p>
    <w:p w14:paraId="6243F9FE" w14:textId="77777777" w:rsidR="00561813" w:rsidRPr="00C9575C" w:rsidRDefault="00561813" w:rsidP="008947B2">
      <w:pPr>
        <w:widowControl w:val="0"/>
        <w:tabs>
          <w:tab w:val="left" w:pos="567"/>
        </w:tabs>
        <w:rPr>
          <w:szCs w:val="22"/>
          <w:lang w:val="it-IT"/>
        </w:rPr>
      </w:pPr>
      <w:r w:rsidRPr="00C9575C">
        <w:rPr>
          <w:szCs w:val="22"/>
          <w:lang w:val="it-IT"/>
        </w:rPr>
        <w:t>2.</w:t>
      </w:r>
      <w:r w:rsidRPr="00C9575C">
        <w:rPr>
          <w:szCs w:val="22"/>
          <w:lang w:val="it-IT"/>
        </w:rPr>
        <w:tab/>
      </w:r>
      <w:r w:rsidR="00FA54E8" w:rsidRPr="00C03451">
        <w:rPr>
          <w:szCs w:val="24"/>
          <w:lang w:val="it-IT"/>
        </w:rPr>
        <w:t xml:space="preserve">Cosa deve sapere </w:t>
      </w:r>
      <w:r w:rsidR="00FA54E8" w:rsidRPr="00C9575C">
        <w:rPr>
          <w:szCs w:val="22"/>
          <w:lang w:val="it-IT"/>
        </w:rPr>
        <w:t>p</w:t>
      </w:r>
      <w:r w:rsidRPr="00C9575C">
        <w:rPr>
          <w:szCs w:val="22"/>
          <w:lang w:val="it-IT"/>
        </w:rPr>
        <w:t>rima di prendere Kivexa</w:t>
      </w:r>
    </w:p>
    <w:p w14:paraId="64DA5FB6" w14:textId="77777777" w:rsidR="00561813" w:rsidRPr="00C9575C" w:rsidRDefault="00561813" w:rsidP="00561813">
      <w:pPr>
        <w:widowControl w:val="0"/>
        <w:tabs>
          <w:tab w:val="left" w:pos="567"/>
        </w:tabs>
        <w:rPr>
          <w:szCs w:val="22"/>
          <w:lang w:val="it-IT"/>
        </w:rPr>
      </w:pPr>
      <w:r w:rsidRPr="00C9575C">
        <w:rPr>
          <w:szCs w:val="22"/>
          <w:lang w:val="it-IT"/>
        </w:rPr>
        <w:t>3.</w:t>
      </w:r>
      <w:r w:rsidRPr="00C9575C">
        <w:rPr>
          <w:szCs w:val="22"/>
          <w:lang w:val="it-IT"/>
        </w:rPr>
        <w:tab/>
        <w:t>Come prendere Kivexa</w:t>
      </w:r>
    </w:p>
    <w:p w14:paraId="2896AC2D" w14:textId="77777777" w:rsidR="00561813" w:rsidRPr="00C9575C" w:rsidRDefault="00561813" w:rsidP="00561813">
      <w:pPr>
        <w:widowControl w:val="0"/>
        <w:tabs>
          <w:tab w:val="left" w:pos="567"/>
        </w:tabs>
        <w:rPr>
          <w:szCs w:val="22"/>
          <w:lang w:val="it-IT"/>
        </w:rPr>
      </w:pPr>
      <w:r w:rsidRPr="00C9575C">
        <w:rPr>
          <w:szCs w:val="22"/>
          <w:lang w:val="it-IT"/>
        </w:rPr>
        <w:t>4.</w:t>
      </w:r>
      <w:r w:rsidRPr="00C9575C">
        <w:rPr>
          <w:szCs w:val="22"/>
          <w:lang w:val="it-IT"/>
        </w:rPr>
        <w:tab/>
        <w:t>Possibili effetti indesiderati</w:t>
      </w:r>
    </w:p>
    <w:p w14:paraId="3757F2C5" w14:textId="77777777" w:rsidR="00561813" w:rsidRPr="00C9575C" w:rsidRDefault="00561813" w:rsidP="00561813">
      <w:pPr>
        <w:widowControl w:val="0"/>
        <w:tabs>
          <w:tab w:val="left" w:pos="567"/>
        </w:tabs>
        <w:rPr>
          <w:szCs w:val="22"/>
          <w:lang w:val="it-IT"/>
        </w:rPr>
      </w:pPr>
      <w:r w:rsidRPr="00C9575C">
        <w:rPr>
          <w:szCs w:val="22"/>
          <w:lang w:val="it-IT"/>
        </w:rPr>
        <w:t>5.</w:t>
      </w:r>
      <w:r w:rsidRPr="00C9575C">
        <w:rPr>
          <w:szCs w:val="22"/>
          <w:lang w:val="it-IT"/>
        </w:rPr>
        <w:tab/>
        <w:t>Come conservare Kivexa</w:t>
      </w:r>
    </w:p>
    <w:p w14:paraId="440940CA" w14:textId="77777777" w:rsidR="00561813" w:rsidRPr="00C9575C" w:rsidRDefault="00561813" w:rsidP="00561813">
      <w:pPr>
        <w:widowControl w:val="0"/>
        <w:tabs>
          <w:tab w:val="left" w:pos="567"/>
        </w:tabs>
        <w:rPr>
          <w:szCs w:val="22"/>
          <w:lang w:val="it-IT"/>
        </w:rPr>
      </w:pPr>
      <w:r w:rsidRPr="00C9575C">
        <w:rPr>
          <w:szCs w:val="22"/>
          <w:lang w:val="it-IT"/>
        </w:rPr>
        <w:t>6.</w:t>
      </w:r>
      <w:r w:rsidRPr="00C9575C">
        <w:rPr>
          <w:szCs w:val="22"/>
          <w:lang w:val="it-IT"/>
        </w:rPr>
        <w:tab/>
      </w:r>
      <w:r w:rsidR="00FA54E8" w:rsidRPr="00C03451">
        <w:rPr>
          <w:szCs w:val="24"/>
          <w:lang w:val="it-IT"/>
        </w:rPr>
        <w:t xml:space="preserve">Contenuto della confezione e </w:t>
      </w:r>
      <w:r w:rsidR="00FA54E8" w:rsidRPr="00C9575C">
        <w:rPr>
          <w:szCs w:val="22"/>
          <w:lang w:val="it-IT"/>
        </w:rPr>
        <w:t>a</w:t>
      </w:r>
      <w:r w:rsidRPr="00C9575C">
        <w:rPr>
          <w:szCs w:val="22"/>
          <w:lang w:val="it-IT"/>
        </w:rPr>
        <w:t>ltre informazioni</w:t>
      </w:r>
    </w:p>
    <w:p w14:paraId="32075B54" w14:textId="77777777" w:rsidR="00561813" w:rsidRPr="00C9575C" w:rsidRDefault="00561813" w:rsidP="00561813">
      <w:pPr>
        <w:widowControl w:val="0"/>
        <w:tabs>
          <w:tab w:val="left" w:pos="567"/>
        </w:tabs>
        <w:rPr>
          <w:b/>
          <w:szCs w:val="22"/>
          <w:lang w:val="it-IT"/>
        </w:rPr>
      </w:pPr>
    </w:p>
    <w:p w14:paraId="5F47661A" w14:textId="77777777" w:rsidR="00561813" w:rsidRPr="00C9575C" w:rsidRDefault="00FA54E8" w:rsidP="005B214A">
      <w:pPr>
        <w:widowControl w:val="0"/>
        <w:numPr>
          <w:ilvl w:val="0"/>
          <w:numId w:val="2"/>
        </w:numPr>
        <w:tabs>
          <w:tab w:val="left" w:pos="567"/>
        </w:tabs>
        <w:ind w:left="567" w:hanging="567"/>
        <w:rPr>
          <w:b/>
          <w:szCs w:val="22"/>
          <w:lang w:val="it-IT"/>
        </w:rPr>
      </w:pPr>
      <w:r w:rsidRPr="00C9575C">
        <w:rPr>
          <w:b/>
          <w:szCs w:val="22"/>
          <w:lang w:val="it-IT"/>
        </w:rPr>
        <w:t>Che cos’e’ Kivexa e a cosa serve</w:t>
      </w:r>
    </w:p>
    <w:p w14:paraId="5124E350" w14:textId="77777777" w:rsidR="00561813" w:rsidRPr="00C9575C" w:rsidRDefault="00561813" w:rsidP="00561813">
      <w:pPr>
        <w:widowControl w:val="0"/>
        <w:tabs>
          <w:tab w:val="left" w:pos="567"/>
        </w:tabs>
        <w:rPr>
          <w:szCs w:val="22"/>
          <w:lang w:val="it-IT"/>
        </w:rPr>
      </w:pPr>
    </w:p>
    <w:p w14:paraId="0F31552C" w14:textId="77777777" w:rsidR="003B3563" w:rsidRPr="00C9575C" w:rsidRDefault="00561813" w:rsidP="000B2FF9">
      <w:pPr>
        <w:rPr>
          <w:b/>
          <w:lang w:val="it-IT"/>
        </w:rPr>
      </w:pPr>
      <w:r w:rsidRPr="00C9575C">
        <w:rPr>
          <w:b/>
          <w:lang w:val="it-IT"/>
        </w:rPr>
        <w:t xml:space="preserve">Kivexa è usato per trattare </w:t>
      </w:r>
      <w:r w:rsidR="003B3563" w:rsidRPr="00C9575C">
        <w:rPr>
          <w:b/>
          <w:lang w:val="it-IT"/>
        </w:rPr>
        <w:t>l’infezione da HIV (Virus dell’Immunodeficienza Umana)</w:t>
      </w:r>
      <w:r w:rsidR="00225A7F" w:rsidRPr="00C9575C">
        <w:rPr>
          <w:b/>
          <w:lang w:val="it-IT"/>
        </w:rPr>
        <w:t xml:space="preserve"> </w:t>
      </w:r>
      <w:r w:rsidRPr="00C9575C">
        <w:rPr>
          <w:b/>
          <w:lang w:val="it-IT"/>
        </w:rPr>
        <w:t>negli adulti</w:t>
      </w:r>
      <w:r w:rsidR="00D37B47" w:rsidRPr="00C9575C">
        <w:rPr>
          <w:b/>
          <w:lang w:val="it-IT"/>
        </w:rPr>
        <w:t xml:space="preserve">, </w:t>
      </w:r>
      <w:r w:rsidR="00D45E93" w:rsidRPr="00C9575C">
        <w:rPr>
          <w:b/>
          <w:lang w:val="it-IT"/>
        </w:rPr>
        <w:t xml:space="preserve">negli </w:t>
      </w:r>
      <w:r w:rsidR="00D37B47" w:rsidRPr="00C9575C">
        <w:rPr>
          <w:b/>
          <w:lang w:val="it-IT"/>
        </w:rPr>
        <w:t>adolescenti</w:t>
      </w:r>
      <w:r w:rsidR="003B3563" w:rsidRPr="00C9575C">
        <w:rPr>
          <w:b/>
          <w:lang w:val="it-IT"/>
        </w:rPr>
        <w:t xml:space="preserve"> e nei bambini </w:t>
      </w:r>
      <w:r w:rsidR="00D45E93" w:rsidRPr="00C9575C">
        <w:rPr>
          <w:b/>
          <w:lang w:val="it-IT"/>
        </w:rPr>
        <w:t>che pesano almeno 25 kg</w:t>
      </w:r>
      <w:r w:rsidR="003B3563" w:rsidRPr="00C9575C">
        <w:rPr>
          <w:b/>
          <w:lang w:val="it-IT"/>
        </w:rPr>
        <w:t>.</w:t>
      </w:r>
    </w:p>
    <w:p w14:paraId="729D3C0B" w14:textId="77777777" w:rsidR="00561813" w:rsidRPr="00C9575C" w:rsidRDefault="00561813" w:rsidP="000B2FF9">
      <w:pPr>
        <w:pStyle w:val="Warning"/>
        <w:numPr>
          <w:ilvl w:val="0"/>
          <w:numId w:val="0"/>
        </w:numPr>
        <w:rPr>
          <w:szCs w:val="22"/>
        </w:rPr>
      </w:pPr>
    </w:p>
    <w:p w14:paraId="151561A4" w14:textId="77777777" w:rsidR="00561813" w:rsidRPr="00C9575C" w:rsidRDefault="00561813" w:rsidP="000B2FF9">
      <w:pPr>
        <w:pStyle w:val="Warning"/>
        <w:numPr>
          <w:ilvl w:val="0"/>
          <w:numId w:val="0"/>
        </w:numPr>
        <w:rPr>
          <w:szCs w:val="22"/>
        </w:rPr>
      </w:pPr>
      <w:r w:rsidRPr="00C9575C">
        <w:rPr>
          <w:szCs w:val="22"/>
        </w:rPr>
        <w:t xml:space="preserve">Kivexa contiene due principi attivi che vengono impiegati nel trattamento dell’infezione da HIV: abacavir e lamivudina. Questi medicinali appartengono ad un gruppo di farmaci antiretrovirali denominati </w:t>
      </w:r>
      <w:r w:rsidRPr="00C9575C">
        <w:rPr>
          <w:i/>
          <w:szCs w:val="22"/>
        </w:rPr>
        <w:t>analoghi nucleosidici inibitori della trascrittasi inversa (NRTI)</w:t>
      </w:r>
      <w:r w:rsidRPr="00C9575C">
        <w:rPr>
          <w:szCs w:val="22"/>
        </w:rPr>
        <w:t>.</w:t>
      </w:r>
    </w:p>
    <w:p w14:paraId="704F9CED" w14:textId="77777777" w:rsidR="00561813" w:rsidRPr="00C9575C" w:rsidRDefault="00561813" w:rsidP="000B2FF9">
      <w:pPr>
        <w:widowControl w:val="0"/>
        <w:rPr>
          <w:szCs w:val="22"/>
          <w:lang w:val="it-IT"/>
        </w:rPr>
      </w:pPr>
    </w:p>
    <w:p w14:paraId="394433D3" w14:textId="2EAFAE99" w:rsidR="00561813" w:rsidRPr="00C9575C" w:rsidRDefault="00561813" w:rsidP="000B2FF9">
      <w:pPr>
        <w:widowControl w:val="0"/>
        <w:rPr>
          <w:szCs w:val="22"/>
          <w:lang w:val="it-IT"/>
        </w:rPr>
      </w:pPr>
      <w:r w:rsidRPr="00C9575C">
        <w:rPr>
          <w:szCs w:val="22"/>
          <w:lang w:val="it-IT"/>
        </w:rPr>
        <w:t>Kivexa non guarisce completamente l’infezione da HIV</w:t>
      </w:r>
      <w:r w:rsidR="00FE68DD" w:rsidRPr="00C9575C">
        <w:rPr>
          <w:szCs w:val="22"/>
          <w:lang w:val="it-IT"/>
        </w:rPr>
        <w:t>;</w:t>
      </w:r>
      <w:r w:rsidRPr="00C9575C">
        <w:rPr>
          <w:szCs w:val="22"/>
          <w:lang w:val="it-IT"/>
        </w:rPr>
        <w:t xml:space="preserve"> riduce il quantitativo virale nel</w:t>
      </w:r>
      <w:r w:rsidR="00BB46B0" w:rsidRPr="00C9575C">
        <w:rPr>
          <w:szCs w:val="22"/>
          <w:lang w:val="it-IT"/>
        </w:rPr>
        <w:t>l’organismo</w:t>
      </w:r>
      <w:r w:rsidR="002C7EE7" w:rsidRPr="00C9575C">
        <w:rPr>
          <w:szCs w:val="22"/>
          <w:lang w:val="it-IT"/>
        </w:rPr>
        <w:t xml:space="preserve"> </w:t>
      </w:r>
      <w:r w:rsidRPr="00C9575C">
        <w:rPr>
          <w:szCs w:val="22"/>
          <w:lang w:val="it-IT"/>
        </w:rPr>
        <w:t xml:space="preserve">e </w:t>
      </w:r>
      <w:r w:rsidR="00CF45CD" w:rsidRPr="00C9575C">
        <w:rPr>
          <w:szCs w:val="22"/>
          <w:lang w:val="it-IT"/>
        </w:rPr>
        <w:t xml:space="preserve">lo </w:t>
      </w:r>
      <w:r w:rsidRPr="00C9575C">
        <w:rPr>
          <w:szCs w:val="22"/>
          <w:lang w:val="it-IT"/>
        </w:rPr>
        <w:t>mantiene a livelli bassi. Inoltre</w:t>
      </w:r>
      <w:r w:rsidR="00DA2719">
        <w:rPr>
          <w:szCs w:val="22"/>
          <w:lang w:val="it-IT"/>
        </w:rPr>
        <w:t>,</w:t>
      </w:r>
      <w:r w:rsidRPr="00C9575C">
        <w:rPr>
          <w:szCs w:val="22"/>
          <w:lang w:val="it-IT"/>
        </w:rPr>
        <w:t xml:space="preserve"> aumenta il numero delle cellule CD4 nel sangue. Le cellule CD4 sono un tipo di globuli bianchi importanti nell’aiutare l’organismo a combattere l’infezione.</w:t>
      </w:r>
    </w:p>
    <w:p w14:paraId="0884E5B8" w14:textId="77777777" w:rsidR="00561813" w:rsidRPr="00C9575C" w:rsidRDefault="00561813" w:rsidP="000B2FF9">
      <w:pPr>
        <w:widowControl w:val="0"/>
        <w:rPr>
          <w:szCs w:val="22"/>
          <w:lang w:val="it-IT"/>
        </w:rPr>
      </w:pPr>
    </w:p>
    <w:p w14:paraId="6D6D82EE" w14:textId="77777777" w:rsidR="00561813" w:rsidRPr="00C9575C" w:rsidRDefault="00561813" w:rsidP="000B2FF9">
      <w:pPr>
        <w:widowControl w:val="0"/>
        <w:rPr>
          <w:szCs w:val="22"/>
          <w:lang w:val="it-IT"/>
        </w:rPr>
      </w:pPr>
      <w:r w:rsidRPr="00C9575C">
        <w:rPr>
          <w:szCs w:val="22"/>
          <w:lang w:val="it-IT"/>
        </w:rPr>
        <w:t>Non tutte le persone rispondono al trattamento con Kivexa nella stessa maniera. Il medico controllerà l’efficacia del trattamento.</w:t>
      </w:r>
    </w:p>
    <w:p w14:paraId="1D44E26B" w14:textId="77777777" w:rsidR="00F25164" w:rsidRPr="00C9575C" w:rsidRDefault="00F25164" w:rsidP="00561813">
      <w:pPr>
        <w:widowControl w:val="0"/>
        <w:rPr>
          <w:szCs w:val="22"/>
          <w:lang w:val="it-IT"/>
        </w:rPr>
      </w:pPr>
    </w:p>
    <w:p w14:paraId="76AEE362" w14:textId="77777777" w:rsidR="00561813" w:rsidRPr="00C9575C" w:rsidRDefault="00561813" w:rsidP="00561813">
      <w:pPr>
        <w:widowControl w:val="0"/>
        <w:tabs>
          <w:tab w:val="left" w:pos="567"/>
        </w:tabs>
        <w:rPr>
          <w:szCs w:val="22"/>
          <w:lang w:val="it-IT"/>
        </w:rPr>
      </w:pPr>
    </w:p>
    <w:p w14:paraId="2E560F81" w14:textId="77777777" w:rsidR="00561813" w:rsidRPr="00C9575C" w:rsidRDefault="00925C43" w:rsidP="005B214A">
      <w:pPr>
        <w:keepNext/>
        <w:widowControl w:val="0"/>
        <w:numPr>
          <w:ilvl w:val="0"/>
          <w:numId w:val="3"/>
        </w:numPr>
        <w:tabs>
          <w:tab w:val="left" w:pos="567"/>
        </w:tabs>
        <w:ind w:left="567" w:hanging="567"/>
        <w:rPr>
          <w:b/>
          <w:szCs w:val="22"/>
          <w:lang w:val="it-IT"/>
        </w:rPr>
      </w:pPr>
      <w:r w:rsidRPr="00C9575C">
        <w:rPr>
          <w:b/>
          <w:szCs w:val="22"/>
          <w:lang w:val="it-IT"/>
        </w:rPr>
        <w:t>Cosa deve sapere p</w:t>
      </w:r>
      <w:r w:rsidR="00FA54E8" w:rsidRPr="00C9575C">
        <w:rPr>
          <w:b/>
          <w:szCs w:val="22"/>
          <w:lang w:val="it-IT"/>
        </w:rPr>
        <w:t>rima di prendere Kivexa</w:t>
      </w:r>
    </w:p>
    <w:p w14:paraId="369D86BB" w14:textId="77777777" w:rsidR="00561813" w:rsidRPr="00C9575C" w:rsidRDefault="00561813" w:rsidP="00561813">
      <w:pPr>
        <w:keepNext/>
        <w:widowControl w:val="0"/>
        <w:tabs>
          <w:tab w:val="left" w:pos="567"/>
        </w:tabs>
        <w:ind w:left="283" w:hanging="283"/>
        <w:rPr>
          <w:b/>
          <w:szCs w:val="22"/>
          <w:lang w:val="it-IT"/>
        </w:rPr>
      </w:pPr>
    </w:p>
    <w:p w14:paraId="5446769E" w14:textId="17A7BAC5" w:rsidR="00561813" w:rsidRPr="00C9575C" w:rsidRDefault="00561813" w:rsidP="00561813">
      <w:pPr>
        <w:keepNext/>
        <w:widowControl w:val="0"/>
        <w:outlineLvl w:val="0"/>
        <w:rPr>
          <w:b/>
          <w:szCs w:val="22"/>
          <w:lang w:val="it-IT"/>
        </w:rPr>
      </w:pPr>
      <w:r w:rsidRPr="00C9575C">
        <w:rPr>
          <w:b/>
          <w:szCs w:val="22"/>
          <w:lang w:val="it-IT"/>
        </w:rPr>
        <w:t>Non prenda Kivexa:</w:t>
      </w:r>
      <w:r w:rsidR="0092155C">
        <w:rPr>
          <w:b/>
          <w:szCs w:val="22"/>
          <w:lang w:val="it-IT"/>
        </w:rPr>
        <w:fldChar w:fldCharType="begin"/>
      </w:r>
      <w:r w:rsidR="0092155C">
        <w:rPr>
          <w:b/>
          <w:szCs w:val="22"/>
          <w:lang w:val="it-IT"/>
        </w:rPr>
        <w:instrText xml:space="preserve"> DOCVARIABLE vault_nd_ab27ef9d-f89e-440f-8b4e-e686712f71a5 \* MERGEFORMAT </w:instrText>
      </w:r>
      <w:r w:rsidR="0092155C">
        <w:rPr>
          <w:b/>
          <w:szCs w:val="22"/>
          <w:lang w:val="it-IT"/>
        </w:rPr>
        <w:fldChar w:fldCharType="separate"/>
      </w:r>
      <w:r w:rsidR="0092155C">
        <w:rPr>
          <w:b/>
          <w:szCs w:val="22"/>
          <w:lang w:val="it-IT"/>
        </w:rPr>
        <w:t xml:space="preserve"> </w:t>
      </w:r>
      <w:r w:rsidR="0092155C">
        <w:rPr>
          <w:b/>
          <w:szCs w:val="22"/>
          <w:lang w:val="it-IT"/>
        </w:rPr>
        <w:fldChar w:fldCharType="end"/>
      </w:r>
    </w:p>
    <w:p w14:paraId="2E417E91" w14:textId="77777777" w:rsidR="00561813" w:rsidRPr="00C9575C" w:rsidRDefault="00561813" w:rsidP="00D73A4F">
      <w:pPr>
        <w:keepNext/>
        <w:widowControl w:val="0"/>
        <w:numPr>
          <w:ilvl w:val="0"/>
          <w:numId w:val="6"/>
        </w:numPr>
        <w:tabs>
          <w:tab w:val="clear" w:pos="720"/>
          <w:tab w:val="num" w:pos="709"/>
        </w:tabs>
        <w:suppressAutoHyphens/>
        <w:adjustRightInd w:val="0"/>
        <w:ind w:left="426" w:firstLine="0"/>
        <w:textAlignment w:val="baseline"/>
        <w:rPr>
          <w:szCs w:val="22"/>
          <w:lang w:val="it-IT"/>
        </w:rPr>
      </w:pPr>
      <w:r w:rsidRPr="00C9575C">
        <w:rPr>
          <w:szCs w:val="22"/>
          <w:lang w:val="it-IT"/>
        </w:rPr>
        <w:t>se è</w:t>
      </w:r>
      <w:r w:rsidRPr="00C9575C">
        <w:rPr>
          <w:b/>
          <w:szCs w:val="22"/>
          <w:lang w:val="it-IT"/>
        </w:rPr>
        <w:t xml:space="preserve"> allergico</w:t>
      </w:r>
      <w:r w:rsidRPr="00C9575C">
        <w:rPr>
          <w:szCs w:val="22"/>
          <w:lang w:val="it-IT"/>
        </w:rPr>
        <w:t xml:space="preserve"> (</w:t>
      </w:r>
      <w:r w:rsidRPr="00C9575C">
        <w:rPr>
          <w:i/>
          <w:szCs w:val="22"/>
          <w:lang w:val="it-IT"/>
        </w:rPr>
        <w:t>ipersensibile</w:t>
      </w:r>
      <w:r w:rsidRPr="00C9575C">
        <w:rPr>
          <w:szCs w:val="22"/>
          <w:lang w:val="it-IT"/>
        </w:rPr>
        <w:t xml:space="preserve">) ad abacavir (o a qualsiasi altro medicinale contenente abacavir – </w:t>
      </w:r>
      <w:r w:rsidRPr="00C9575C">
        <w:rPr>
          <w:szCs w:val="22"/>
          <w:lang w:val="it-IT"/>
        </w:rPr>
        <w:lastRenderedPageBreak/>
        <w:t xml:space="preserve">ad esempio </w:t>
      </w:r>
      <w:r w:rsidRPr="00C9575C">
        <w:rPr>
          <w:b/>
          <w:szCs w:val="22"/>
          <w:lang w:val="it-IT"/>
        </w:rPr>
        <w:t>Trizivir</w:t>
      </w:r>
      <w:r w:rsidR="00332E7B" w:rsidRPr="00C9575C">
        <w:rPr>
          <w:b/>
          <w:szCs w:val="22"/>
          <w:lang w:val="it-IT"/>
        </w:rPr>
        <w:t>, Triumeq</w:t>
      </w:r>
      <w:r w:rsidRPr="00C9575C">
        <w:rPr>
          <w:b/>
          <w:szCs w:val="22"/>
          <w:lang w:val="it-IT"/>
        </w:rPr>
        <w:t xml:space="preserve"> </w:t>
      </w:r>
      <w:r w:rsidRPr="00C9575C">
        <w:rPr>
          <w:szCs w:val="22"/>
          <w:lang w:val="it-IT"/>
        </w:rPr>
        <w:t xml:space="preserve">o </w:t>
      </w:r>
      <w:r w:rsidRPr="00C9575C">
        <w:rPr>
          <w:b/>
          <w:szCs w:val="22"/>
          <w:lang w:val="it-IT"/>
        </w:rPr>
        <w:t>Ziagen</w:t>
      </w:r>
      <w:r w:rsidRPr="00C9575C">
        <w:rPr>
          <w:szCs w:val="22"/>
          <w:lang w:val="it-IT"/>
        </w:rPr>
        <w:t xml:space="preserve">), a lamivudina </w:t>
      </w:r>
      <w:r w:rsidR="00A84626" w:rsidRPr="00C9575C">
        <w:rPr>
          <w:lang w:val="it-IT"/>
        </w:rPr>
        <w:t xml:space="preserve">o ad uno qualsiasi degli </w:t>
      </w:r>
      <w:r w:rsidR="00A84626" w:rsidRPr="00C03451">
        <w:rPr>
          <w:szCs w:val="24"/>
          <w:lang w:val="it-IT"/>
        </w:rPr>
        <w:t xml:space="preserve">altri </w:t>
      </w:r>
      <w:r w:rsidRPr="00C9575C">
        <w:rPr>
          <w:szCs w:val="22"/>
          <w:lang w:val="it-IT"/>
        </w:rPr>
        <w:t>component</w:t>
      </w:r>
      <w:r w:rsidR="00C72010" w:rsidRPr="00C9575C">
        <w:rPr>
          <w:szCs w:val="22"/>
          <w:lang w:val="it-IT"/>
        </w:rPr>
        <w:t>i</w:t>
      </w:r>
      <w:r w:rsidRPr="00C9575C">
        <w:rPr>
          <w:szCs w:val="22"/>
          <w:lang w:val="it-IT"/>
        </w:rPr>
        <w:t xml:space="preserve"> </w:t>
      </w:r>
      <w:r w:rsidR="00A84626" w:rsidRPr="00C9575C">
        <w:rPr>
          <w:szCs w:val="22"/>
          <w:lang w:val="it-IT"/>
        </w:rPr>
        <w:t>di</w:t>
      </w:r>
      <w:r w:rsidRPr="00C9575C">
        <w:rPr>
          <w:szCs w:val="22"/>
          <w:lang w:val="it-IT"/>
        </w:rPr>
        <w:t xml:space="preserve"> </w:t>
      </w:r>
      <w:r w:rsidR="00FA54E8" w:rsidRPr="00C9575C">
        <w:rPr>
          <w:szCs w:val="22"/>
          <w:lang w:val="it-IT"/>
        </w:rPr>
        <w:t xml:space="preserve">questo medicinale </w:t>
      </w:r>
      <w:r w:rsidRPr="00C9575C">
        <w:rPr>
          <w:szCs w:val="22"/>
          <w:lang w:val="it-IT"/>
        </w:rPr>
        <w:t xml:space="preserve">(elencato </w:t>
      </w:r>
      <w:r w:rsidR="00970A6C" w:rsidRPr="00C9575C">
        <w:rPr>
          <w:szCs w:val="22"/>
          <w:lang w:val="it-IT"/>
        </w:rPr>
        <w:t xml:space="preserve">al </w:t>
      </w:r>
      <w:r w:rsidRPr="00C9575C">
        <w:rPr>
          <w:szCs w:val="22"/>
          <w:lang w:val="it-IT"/>
        </w:rPr>
        <w:t>paragrafo 6).</w:t>
      </w:r>
    </w:p>
    <w:p w14:paraId="21A13B1F" w14:textId="77777777" w:rsidR="00561813" w:rsidRPr="00C9575C" w:rsidRDefault="00561813" w:rsidP="008C3A7B">
      <w:pPr>
        <w:pStyle w:val="ListParagraph"/>
        <w:widowControl w:val="0"/>
        <w:tabs>
          <w:tab w:val="left" w:pos="567"/>
        </w:tabs>
        <w:suppressAutoHyphens/>
        <w:adjustRightInd w:val="0"/>
        <w:spacing w:after="0" w:line="240" w:lineRule="auto"/>
        <w:ind w:left="426"/>
        <w:jc w:val="both"/>
        <w:textAlignment w:val="baseline"/>
        <w:rPr>
          <w:rFonts w:ascii="Times New Roman" w:hAnsi="Times New Roman"/>
          <w:lang w:val="it-IT"/>
        </w:rPr>
      </w:pPr>
      <w:r w:rsidRPr="00C9575C">
        <w:rPr>
          <w:rFonts w:ascii="Times New Roman" w:hAnsi="Times New Roman"/>
          <w:b/>
          <w:lang w:val="it-IT"/>
        </w:rPr>
        <w:t>Legga attentamente tutte le informazioni sulle reazioni di ipersensibilità nel paragrafo 4.</w:t>
      </w:r>
    </w:p>
    <w:p w14:paraId="4165E1D0" w14:textId="77777777" w:rsidR="00561813" w:rsidRPr="00C9575C" w:rsidRDefault="00561813" w:rsidP="008947B2">
      <w:pPr>
        <w:pStyle w:val="Action"/>
        <w:tabs>
          <w:tab w:val="clear" w:pos="284"/>
          <w:tab w:val="left" w:pos="426"/>
        </w:tabs>
        <w:spacing w:before="0" w:line="240" w:lineRule="auto"/>
        <w:ind w:left="426"/>
        <w:rPr>
          <w:b/>
        </w:rPr>
      </w:pPr>
      <w:r w:rsidRPr="00C9575C">
        <w:rPr>
          <w:b/>
        </w:rPr>
        <w:t xml:space="preserve">Si rivolga al medico </w:t>
      </w:r>
      <w:r w:rsidRPr="00C9575C">
        <w:t xml:space="preserve">se pensa che </w:t>
      </w:r>
      <w:r w:rsidR="009E34A7" w:rsidRPr="00C9575C">
        <w:t>ciò</w:t>
      </w:r>
      <w:r w:rsidRPr="00C9575C">
        <w:t xml:space="preserve"> la riguardi.</w:t>
      </w:r>
      <w:r w:rsidRPr="00C9575C">
        <w:rPr>
          <w:b/>
        </w:rPr>
        <w:t xml:space="preserve"> Non assuma Kivexa.</w:t>
      </w:r>
    </w:p>
    <w:p w14:paraId="7C94C253" w14:textId="77777777" w:rsidR="00561813" w:rsidRPr="00C9575C" w:rsidRDefault="00561813" w:rsidP="00561813">
      <w:pPr>
        <w:widowControl w:val="0"/>
        <w:numPr>
          <w:ilvl w:val="12"/>
          <w:numId w:val="0"/>
        </w:numPr>
        <w:tabs>
          <w:tab w:val="left" w:pos="567"/>
        </w:tabs>
        <w:rPr>
          <w:szCs w:val="22"/>
          <w:lang w:val="it-IT"/>
        </w:rPr>
      </w:pPr>
    </w:p>
    <w:p w14:paraId="71EFDB37" w14:textId="77777777" w:rsidR="00561813" w:rsidRPr="00C9575C" w:rsidRDefault="00561813" w:rsidP="008947B2">
      <w:pPr>
        <w:widowControl w:val="0"/>
        <w:numPr>
          <w:ilvl w:val="12"/>
          <w:numId w:val="0"/>
        </w:numPr>
        <w:spacing w:after="120"/>
        <w:ind w:right="-2"/>
        <w:rPr>
          <w:szCs w:val="22"/>
          <w:lang w:val="it-IT"/>
        </w:rPr>
      </w:pPr>
      <w:r w:rsidRPr="00C9575C">
        <w:rPr>
          <w:b/>
          <w:szCs w:val="22"/>
          <w:lang w:val="it-IT"/>
        </w:rPr>
        <w:t>Faccia particolare attenzione con Kivexa</w:t>
      </w:r>
    </w:p>
    <w:p w14:paraId="19B9D0EF" w14:textId="77777777" w:rsidR="00561813" w:rsidRPr="00C9575C" w:rsidRDefault="00561813" w:rsidP="008947B2">
      <w:pPr>
        <w:suppressAutoHyphens/>
        <w:spacing w:after="120"/>
        <w:rPr>
          <w:lang w:val="it-IT"/>
        </w:rPr>
      </w:pPr>
      <w:r w:rsidRPr="00C9575C">
        <w:rPr>
          <w:lang w:val="it-IT"/>
        </w:rPr>
        <w:t xml:space="preserve">Alcune persone che assumono Kivexa o altre terapie di </w:t>
      </w:r>
      <w:r w:rsidR="00AF21DD" w:rsidRPr="00C9575C">
        <w:rPr>
          <w:lang w:val="it-IT"/>
        </w:rPr>
        <w:t xml:space="preserve">combinazione </w:t>
      </w:r>
      <w:r w:rsidRPr="00C9575C">
        <w:rPr>
          <w:lang w:val="it-IT"/>
        </w:rPr>
        <w:t>per il trattamento dell’HIV sono maggiormente a rischio di effetti indesiderati gravi. È necessario che lei sia consapevole di questi ulteriori rischi:</w:t>
      </w:r>
    </w:p>
    <w:p w14:paraId="08910F5C" w14:textId="77777777" w:rsidR="009E34A7" w:rsidRPr="00C9575C" w:rsidRDefault="009E34A7" w:rsidP="00C628FC">
      <w:pPr>
        <w:numPr>
          <w:ilvl w:val="0"/>
          <w:numId w:val="22"/>
        </w:numPr>
        <w:suppressAutoHyphens/>
        <w:ind w:left="567" w:hanging="283"/>
        <w:rPr>
          <w:lang w:val="it-IT"/>
        </w:rPr>
      </w:pPr>
      <w:r w:rsidRPr="00C9575C">
        <w:rPr>
          <w:szCs w:val="22"/>
          <w:lang w:val="it-IT"/>
        </w:rPr>
        <w:t>se ha una</w:t>
      </w:r>
      <w:r w:rsidRPr="00C9575C">
        <w:rPr>
          <w:b/>
          <w:szCs w:val="22"/>
          <w:lang w:val="it-IT"/>
        </w:rPr>
        <w:t xml:space="preserve"> malattia del fegato moderata o grave</w:t>
      </w:r>
    </w:p>
    <w:p w14:paraId="4006E82E" w14:textId="77777777" w:rsidR="00561813" w:rsidRPr="00C9575C" w:rsidRDefault="00561813" w:rsidP="00C628FC">
      <w:pPr>
        <w:widowControl w:val="0"/>
        <w:numPr>
          <w:ilvl w:val="0"/>
          <w:numId w:val="7"/>
        </w:numPr>
        <w:tabs>
          <w:tab w:val="clear" w:pos="720"/>
          <w:tab w:val="num" w:pos="567"/>
        </w:tabs>
        <w:adjustRightInd w:val="0"/>
        <w:ind w:left="567" w:hanging="283"/>
        <w:jc w:val="both"/>
        <w:textAlignment w:val="baseline"/>
        <w:rPr>
          <w:lang w:val="it-IT"/>
        </w:rPr>
      </w:pPr>
      <w:r w:rsidRPr="00C9575C">
        <w:rPr>
          <w:szCs w:val="22"/>
          <w:lang w:val="it-IT"/>
        </w:rPr>
        <w:t>se ha avuto una</w:t>
      </w:r>
      <w:r w:rsidRPr="00C9575C">
        <w:rPr>
          <w:b/>
          <w:szCs w:val="22"/>
          <w:lang w:val="it-IT"/>
        </w:rPr>
        <w:t xml:space="preserve"> malattia del fegato </w:t>
      </w:r>
      <w:r w:rsidRPr="00C9575C">
        <w:rPr>
          <w:szCs w:val="22"/>
          <w:lang w:val="it-IT"/>
        </w:rPr>
        <w:t xml:space="preserve">inclusa l’epatite B o C (se ha l’infezione da epatite B non smetta di assumere Kivexa senza aver consultato il medico poiché l’epatite </w:t>
      </w:r>
      <w:r w:rsidR="00FE68DD" w:rsidRPr="00C9575C">
        <w:rPr>
          <w:szCs w:val="22"/>
          <w:lang w:val="it-IT"/>
        </w:rPr>
        <w:t xml:space="preserve">può </w:t>
      </w:r>
      <w:r w:rsidRPr="00C9575C">
        <w:rPr>
          <w:szCs w:val="22"/>
          <w:lang w:val="it-IT"/>
        </w:rPr>
        <w:t xml:space="preserve">ripresentarsi) </w:t>
      </w:r>
    </w:p>
    <w:p w14:paraId="6406098C" w14:textId="77777777" w:rsidR="00561813" w:rsidRPr="00C9575C" w:rsidRDefault="00561813" w:rsidP="00C628FC">
      <w:pPr>
        <w:widowControl w:val="0"/>
        <w:numPr>
          <w:ilvl w:val="0"/>
          <w:numId w:val="7"/>
        </w:numPr>
        <w:tabs>
          <w:tab w:val="clear" w:pos="720"/>
          <w:tab w:val="num" w:pos="567"/>
        </w:tabs>
        <w:adjustRightInd w:val="0"/>
        <w:ind w:left="567" w:hanging="283"/>
        <w:jc w:val="both"/>
        <w:textAlignment w:val="baseline"/>
        <w:rPr>
          <w:lang w:val="it-IT"/>
        </w:rPr>
      </w:pPr>
      <w:r w:rsidRPr="00C9575C">
        <w:rPr>
          <w:lang w:val="it-IT"/>
        </w:rPr>
        <w:t>se è gravemente in</w:t>
      </w:r>
      <w:r w:rsidRPr="00C9575C">
        <w:rPr>
          <w:b/>
          <w:lang w:val="it-IT"/>
        </w:rPr>
        <w:t xml:space="preserve"> sovrappeso </w:t>
      </w:r>
      <w:r w:rsidRPr="00C9575C">
        <w:rPr>
          <w:lang w:val="it-IT"/>
        </w:rPr>
        <w:t xml:space="preserve">(specialmente se è una donna) </w:t>
      </w:r>
    </w:p>
    <w:p w14:paraId="56A91BB8" w14:textId="77777777" w:rsidR="00B266E8" w:rsidRPr="00C9575C" w:rsidRDefault="00B266E8" w:rsidP="00C628FC">
      <w:pPr>
        <w:widowControl w:val="0"/>
        <w:numPr>
          <w:ilvl w:val="0"/>
          <w:numId w:val="7"/>
        </w:numPr>
        <w:tabs>
          <w:tab w:val="clear" w:pos="720"/>
          <w:tab w:val="num" w:pos="567"/>
        </w:tabs>
        <w:adjustRightInd w:val="0"/>
        <w:ind w:left="567" w:hanging="283"/>
        <w:jc w:val="both"/>
        <w:textAlignment w:val="baseline"/>
        <w:rPr>
          <w:lang w:val="it-IT"/>
        </w:rPr>
      </w:pPr>
      <w:r w:rsidRPr="00C9575C">
        <w:rPr>
          <w:lang w:val="it-IT"/>
        </w:rPr>
        <w:t xml:space="preserve">se ha un </w:t>
      </w:r>
      <w:r w:rsidR="00CC0BC2" w:rsidRPr="00C9575C">
        <w:rPr>
          <w:b/>
          <w:lang w:val="it-IT"/>
        </w:rPr>
        <w:t>problema renale</w:t>
      </w:r>
    </w:p>
    <w:p w14:paraId="34A04AF8" w14:textId="77777777" w:rsidR="00D73A4F" w:rsidRDefault="00D73A4F" w:rsidP="00C628FC">
      <w:pPr>
        <w:pStyle w:val="Action"/>
        <w:tabs>
          <w:tab w:val="clear" w:pos="567"/>
        </w:tabs>
        <w:spacing w:before="0" w:line="240" w:lineRule="auto"/>
        <w:ind w:left="284"/>
        <w:rPr>
          <w:b/>
        </w:rPr>
      </w:pPr>
    </w:p>
    <w:p w14:paraId="30995635" w14:textId="59EB581E" w:rsidR="00561813" w:rsidRPr="00C9575C" w:rsidRDefault="00561813" w:rsidP="00C628FC">
      <w:pPr>
        <w:pStyle w:val="Action"/>
        <w:tabs>
          <w:tab w:val="clear" w:pos="567"/>
        </w:tabs>
        <w:spacing w:before="0" w:line="240" w:lineRule="auto"/>
        <w:ind w:left="284"/>
      </w:pPr>
      <w:r w:rsidRPr="00C9575C">
        <w:rPr>
          <w:b/>
        </w:rPr>
        <w:t>Informi il medico se una qualsiasi di queste situazioni la riguarda</w:t>
      </w:r>
      <w:r w:rsidR="00FA54E8" w:rsidRPr="00C9575C">
        <w:rPr>
          <w:b/>
        </w:rPr>
        <w:t xml:space="preserve"> prima di usare Kivexa</w:t>
      </w:r>
      <w:r w:rsidRPr="00C9575C">
        <w:t xml:space="preserve">. </w:t>
      </w:r>
      <w:r w:rsidR="007A65A6" w:rsidRPr="00C9575C">
        <w:t>P</w:t>
      </w:r>
      <w:r w:rsidRPr="00C9575C">
        <w:t xml:space="preserve">otrebbe aver bisogno di ulteriori controlli, compresi esami del sangue, mentre sta assumendo il medicinale. </w:t>
      </w:r>
      <w:r w:rsidR="00CC0BC2" w:rsidRPr="00C9575C">
        <w:rPr>
          <w:b/>
        </w:rPr>
        <w:t>Vedere il paragrafo 4 per ulteriori informazioni</w:t>
      </w:r>
      <w:r w:rsidRPr="00C9575C">
        <w:t>.</w:t>
      </w:r>
    </w:p>
    <w:p w14:paraId="058D0C78" w14:textId="77777777" w:rsidR="002F1EAD" w:rsidRPr="00C9575C" w:rsidRDefault="002F1EAD" w:rsidP="00C628FC">
      <w:pPr>
        <w:pStyle w:val="Warning"/>
        <w:numPr>
          <w:ilvl w:val="0"/>
          <w:numId w:val="0"/>
        </w:numPr>
        <w:ind w:left="567" w:hanging="283"/>
        <w:jc w:val="both"/>
        <w:rPr>
          <w:szCs w:val="24"/>
          <w:u w:val="single"/>
          <w:lang w:eastAsia="en-GB"/>
        </w:rPr>
      </w:pPr>
    </w:p>
    <w:p w14:paraId="0F240993" w14:textId="77777777" w:rsidR="002F1EAD" w:rsidRPr="00C9575C" w:rsidRDefault="002F1EAD" w:rsidP="002F1EAD">
      <w:pPr>
        <w:pStyle w:val="Warning"/>
        <w:numPr>
          <w:ilvl w:val="0"/>
          <w:numId w:val="0"/>
        </w:numPr>
        <w:jc w:val="both"/>
        <w:rPr>
          <w:szCs w:val="24"/>
          <w:u w:val="single"/>
          <w:lang w:eastAsia="en-GB"/>
        </w:rPr>
      </w:pPr>
      <w:r w:rsidRPr="00C9575C">
        <w:rPr>
          <w:szCs w:val="24"/>
          <w:u w:val="single"/>
          <w:lang w:eastAsia="en-GB"/>
        </w:rPr>
        <w:t>Reazioni di ipersensibilità ad abacavir</w:t>
      </w:r>
    </w:p>
    <w:p w14:paraId="749005CB" w14:textId="77777777" w:rsidR="002F1EAD" w:rsidRPr="00C9575C" w:rsidRDefault="002F1EAD" w:rsidP="007E6504">
      <w:pPr>
        <w:widowControl w:val="0"/>
        <w:spacing w:after="120"/>
        <w:ind w:left="425"/>
        <w:rPr>
          <w:szCs w:val="24"/>
          <w:lang w:val="it-IT" w:eastAsia="en-GB"/>
        </w:rPr>
      </w:pPr>
      <w:r w:rsidRPr="00C9575C">
        <w:rPr>
          <w:szCs w:val="24"/>
          <w:lang w:val="it-IT" w:eastAsia="en-GB"/>
        </w:rPr>
        <w:t xml:space="preserve">Anche i pazienti che non hanno il gene HLA-B*5701 possono ancora sviluppare una </w:t>
      </w:r>
      <w:r w:rsidRPr="00C9575C">
        <w:rPr>
          <w:b/>
          <w:szCs w:val="24"/>
          <w:lang w:val="it-IT" w:eastAsia="en-GB"/>
        </w:rPr>
        <w:t>reazione di ipersensibilità</w:t>
      </w:r>
      <w:r w:rsidRPr="00C9575C">
        <w:rPr>
          <w:szCs w:val="24"/>
          <w:lang w:val="it-IT" w:eastAsia="en-GB"/>
        </w:rPr>
        <w:t xml:space="preserve"> (una grave reazione allergica).</w:t>
      </w:r>
    </w:p>
    <w:p w14:paraId="543B4231" w14:textId="77777777" w:rsidR="002F1EAD" w:rsidRPr="00C9575C" w:rsidRDefault="002F1EAD" w:rsidP="00F3057A">
      <w:pPr>
        <w:widowControl w:val="0"/>
        <w:ind w:left="425"/>
        <w:rPr>
          <w:szCs w:val="24"/>
          <w:lang w:val="it-IT" w:eastAsia="en-GB"/>
        </w:rPr>
      </w:pPr>
      <w:r w:rsidRPr="00C9575C">
        <w:rPr>
          <w:b/>
          <w:szCs w:val="24"/>
          <w:lang w:val="it-IT" w:eastAsia="en-GB"/>
        </w:rPr>
        <w:t>Legga attentamente tutte le informazioni sulle reazioni di ipersensibilità nel Paragrafo 4 di questo foglio.</w:t>
      </w:r>
      <w:r w:rsidRPr="00C9575C">
        <w:rPr>
          <w:szCs w:val="24"/>
          <w:lang w:val="it-IT" w:eastAsia="en-GB"/>
        </w:rPr>
        <w:t xml:space="preserve"> </w:t>
      </w:r>
    </w:p>
    <w:p w14:paraId="00673EFA" w14:textId="77777777" w:rsidR="00561813" w:rsidRPr="00C9575C" w:rsidRDefault="00561813" w:rsidP="00F3057A">
      <w:pPr>
        <w:pStyle w:val="Warning"/>
        <w:numPr>
          <w:ilvl w:val="0"/>
          <w:numId w:val="0"/>
        </w:numPr>
        <w:jc w:val="both"/>
        <w:rPr>
          <w:b/>
        </w:rPr>
      </w:pPr>
    </w:p>
    <w:p w14:paraId="13E7A2E3" w14:textId="58B06066" w:rsidR="00561813" w:rsidRPr="00C9575C" w:rsidRDefault="00561813" w:rsidP="00F3057A">
      <w:pPr>
        <w:rPr>
          <w:b/>
          <w:lang w:val="it-IT"/>
        </w:rPr>
      </w:pPr>
      <w:r w:rsidRPr="00C9575C">
        <w:rPr>
          <w:b/>
          <w:lang w:val="it-IT"/>
        </w:rPr>
        <w:t xml:space="preserve">Rischio di </w:t>
      </w:r>
      <w:r w:rsidR="00F03299">
        <w:rPr>
          <w:b/>
          <w:lang w:val="it-IT"/>
        </w:rPr>
        <w:t>eventi cardiovascolari</w:t>
      </w:r>
    </w:p>
    <w:p w14:paraId="38609C6F" w14:textId="016F1B79" w:rsidR="00561813" w:rsidRPr="00C9575C" w:rsidRDefault="00561813" w:rsidP="00561813">
      <w:pPr>
        <w:rPr>
          <w:lang w:val="it-IT"/>
        </w:rPr>
      </w:pPr>
      <w:r w:rsidRPr="00C9575C">
        <w:rPr>
          <w:lang w:val="it-IT"/>
        </w:rPr>
        <w:t xml:space="preserve">Non si può escludere che abacavir possa essere associato ad un aumento del rischio di </w:t>
      </w:r>
      <w:r w:rsidR="00F03299">
        <w:rPr>
          <w:lang w:val="it-IT"/>
        </w:rPr>
        <w:t>eventi cardiovascolari.</w:t>
      </w:r>
    </w:p>
    <w:p w14:paraId="6D5E187B" w14:textId="70210014" w:rsidR="00561813" w:rsidRPr="00C9575C" w:rsidRDefault="00561813" w:rsidP="008C3A7B">
      <w:pPr>
        <w:pStyle w:val="Action"/>
        <w:tabs>
          <w:tab w:val="clear" w:pos="284"/>
          <w:tab w:val="left" w:pos="426"/>
        </w:tabs>
        <w:spacing w:before="0" w:line="240" w:lineRule="auto"/>
        <w:ind w:left="426"/>
      </w:pPr>
      <w:r w:rsidRPr="00C9575C">
        <w:rPr>
          <w:b/>
          <w:szCs w:val="22"/>
        </w:rPr>
        <w:t>Informi il medico</w:t>
      </w:r>
      <w:r w:rsidRPr="00C9575C">
        <w:t xml:space="preserve"> se ha problemi </w:t>
      </w:r>
      <w:r w:rsidR="00F03299">
        <w:t>cardiovascolari</w:t>
      </w:r>
      <w:r w:rsidRPr="00C9575C">
        <w:t>, è un fumatore o soffre di malattie che aumentano il rischio di malatti</w:t>
      </w:r>
      <w:r w:rsidR="00F03299">
        <w:t>e</w:t>
      </w:r>
      <w:r w:rsidRPr="00C9575C">
        <w:t xml:space="preserve"> </w:t>
      </w:r>
      <w:r w:rsidR="00F03299">
        <w:t>cardiovascolari</w:t>
      </w:r>
      <w:r w:rsidRPr="00C9575C">
        <w:t xml:space="preserve"> come la</w:t>
      </w:r>
      <w:r w:rsidR="00445476">
        <w:t xml:space="preserve"> </w:t>
      </w:r>
      <w:r w:rsidRPr="00C9575C">
        <w:t xml:space="preserve">pressione del sangue elevata o il diabete. Non smetta di assumere Kivexa a meno che ciò non le venga raccomandato dal medico. </w:t>
      </w:r>
    </w:p>
    <w:p w14:paraId="4DDE2802" w14:textId="77777777" w:rsidR="00561813" w:rsidRPr="00C9575C" w:rsidRDefault="00561813" w:rsidP="00561813">
      <w:pPr>
        <w:pStyle w:val="Warning"/>
        <w:numPr>
          <w:ilvl w:val="0"/>
          <w:numId w:val="0"/>
        </w:numPr>
        <w:jc w:val="both"/>
        <w:rPr>
          <w:b/>
        </w:rPr>
      </w:pPr>
    </w:p>
    <w:p w14:paraId="5EB1C258" w14:textId="77777777" w:rsidR="00561813" w:rsidRPr="00C9575C" w:rsidRDefault="00561813" w:rsidP="00561813">
      <w:pPr>
        <w:rPr>
          <w:b/>
          <w:szCs w:val="22"/>
          <w:lang w:val="it-IT"/>
        </w:rPr>
      </w:pPr>
      <w:r w:rsidRPr="00C9575C">
        <w:rPr>
          <w:b/>
          <w:szCs w:val="22"/>
          <w:lang w:val="it-IT"/>
        </w:rPr>
        <w:t>Faccia attenzione ai sintomi importanti</w:t>
      </w:r>
    </w:p>
    <w:p w14:paraId="6479A034" w14:textId="77777777" w:rsidR="00561813" w:rsidRPr="00C9575C" w:rsidRDefault="00561813" w:rsidP="002C61BE">
      <w:pPr>
        <w:rPr>
          <w:szCs w:val="22"/>
          <w:lang w:val="it-IT"/>
        </w:rPr>
      </w:pPr>
      <w:r w:rsidRPr="00C9575C">
        <w:rPr>
          <w:szCs w:val="22"/>
          <w:lang w:val="it-IT"/>
        </w:rPr>
        <w:t xml:space="preserve">Alcune persone che assumono medicinali per l’infezione da HIV sviluppano altre patologie che possono essere gravi. </w:t>
      </w:r>
      <w:r w:rsidR="00D84D90" w:rsidRPr="00C9575C">
        <w:rPr>
          <w:szCs w:val="22"/>
          <w:lang w:val="it-IT"/>
        </w:rPr>
        <w:t xml:space="preserve">È </w:t>
      </w:r>
      <w:r w:rsidRPr="00C9575C">
        <w:rPr>
          <w:szCs w:val="22"/>
          <w:lang w:val="it-IT"/>
        </w:rPr>
        <w:t>necessario che sia informato circa segni e sintomi importanti in modo tale da prestare attenzione mentre sta assumendo Kivexa.</w:t>
      </w:r>
    </w:p>
    <w:p w14:paraId="64EF1BA7" w14:textId="77777777" w:rsidR="00D73A4F" w:rsidRDefault="00D73A4F" w:rsidP="002C61BE">
      <w:pPr>
        <w:pStyle w:val="Action"/>
        <w:tabs>
          <w:tab w:val="clear" w:pos="284"/>
          <w:tab w:val="left" w:pos="426"/>
        </w:tabs>
        <w:spacing w:before="0" w:line="240" w:lineRule="auto"/>
        <w:ind w:left="426"/>
        <w:rPr>
          <w:b/>
        </w:rPr>
      </w:pPr>
    </w:p>
    <w:p w14:paraId="2903DCDC" w14:textId="0C459844" w:rsidR="00561813" w:rsidRPr="00C9575C" w:rsidRDefault="00561813" w:rsidP="002C61BE">
      <w:pPr>
        <w:pStyle w:val="Action"/>
        <w:tabs>
          <w:tab w:val="clear" w:pos="284"/>
          <w:tab w:val="left" w:pos="426"/>
        </w:tabs>
        <w:spacing w:before="0" w:line="240" w:lineRule="auto"/>
        <w:ind w:left="426"/>
        <w:rPr>
          <w:b/>
        </w:rPr>
      </w:pPr>
      <w:r w:rsidRPr="00C9575C">
        <w:rPr>
          <w:b/>
        </w:rPr>
        <w:t>Legga le informazioni in</w:t>
      </w:r>
      <w:r w:rsidR="00303722" w:rsidRPr="00C9575C">
        <w:rPr>
          <w:b/>
        </w:rPr>
        <w:t xml:space="preserve"> </w:t>
      </w:r>
      <w:r w:rsidR="00E1725C" w:rsidRPr="00C9575C">
        <w:rPr>
          <w:b/>
        </w:rPr>
        <w:t>‘</w:t>
      </w:r>
      <w:r w:rsidRPr="00C9575C">
        <w:rPr>
          <w:b/>
        </w:rPr>
        <w:t xml:space="preserve">Altri possibili effetti indesiderati della terapia di </w:t>
      </w:r>
      <w:r w:rsidR="00AF21DD" w:rsidRPr="00C9575C">
        <w:rPr>
          <w:b/>
        </w:rPr>
        <w:t xml:space="preserve">combinazione </w:t>
      </w:r>
      <w:r w:rsidRPr="00C9575C">
        <w:rPr>
          <w:b/>
        </w:rPr>
        <w:t xml:space="preserve">per l’HIV’ nel </w:t>
      </w:r>
      <w:r w:rsidR="002F1EAD" w:rsidRPr="00C9575C">
        <w:rPr>
          <w:b/>
        </w:rPr>
        <w:t>P</w:t>
      </w:r>
      <w:r w:rsidRPr="00C9575C">
        <w:rPr>
          <w:b/>
        </w:rPr>
        <w:t>aragrafo 4 di questo foglio.</w:t>
      </w:r>
    </w:p>
    <w:p w14:paraId="143CA1F7" w14:textId="77777777" w:rsidR="00561813" w:rsidRPr="00C9575C" w:rsidRDefault="00561813" w:rsidP="002C61BE">
      <w:pPr>
        <w:rPr>
          <w:b/>
          <w:lang w:val="it-IT"/>
        </w:rPr>
      </w:pPr>
    </w:p>
    <w:p w14:paraId="5D1251BD" w14:textId="77777777" w:rsidR="00561813" w:rsidRPr="00C9575C" w:rsidRDefault="00414CA9" w:rsidP="002C61BE">
      <w:pPr>
        <w:spacing w:after="120"/>
        <w:rPr>
          <w:b/>
          <w:lang w:val="it-IT"/>
        </w:rPr>
      </w:pPr>
      <w:r w:rsidRPr="00C9575C">
        <w:rPr>
          <w:b/>
          <w:lang w:val="it-IT"/>
        </w:rPr>
        <w:t>A</w:t>
      </w:r>
      <w:r w:rsidR="00561813" w:rsidRPr="00C9575C">
        <w:rPr>
          <w:b/>
          <w:lang w:val="it-IT"/>
        </w:rPr>
        <w:t xml:space="preserve">ltri medicinali </w:t>
      </w:r>
      <w:r w:rsidRPr="00C9575C">
        <w:rPr>
          <w:b/>
          <w:lang w:val="it-IT"/>
        </w:rPr>
        <w:t>e Kivexa</w:t>
      </w:r>
    </w:p>
    <w:p w14:paraId="22D6B42D" w14:textId="77777777" w:rsidR="00561813" w:rsidRPr="00C9575C" w:rsidRDefault="00561813" w:rsidP="002C61BE">
      <w:pPr>
        <w:spacing w:after="120"/>
        <w:rPr>
          <w:lang w:val="it-IT"/>
        </w:rPr>
      </w:pPr>
      <w:r w:rsidRPr="00C9575C">
        <w:rPr>
          <w:b/>
          <w:lang w:val="it-IT"/>
        </w:rPr>
        <w:t>Informi il medico o il farmacista se sta assumendo qualsiasi altro medicinale</w:t>
      </w:r>
      <w:r w:rsidRPr="00C9575C">
        <w:rPr>
          <w:lang w:val="it-IT"/>
        </w:rPr>
        <w:t xml:space="preserve">, o se ne ha assunto qualcuno recentemente, compresi </w:t>
      </w:r>
      <w:r w:rsidR="00526D69" w:rsidRPr="00C9575C">
        <w:rPr>
          <w:lang w:val="it-IT"/>
        </w:rPr>
        <w:t xml:space="preserve">quelli </w:t>
      </w:r>
      <w:r w:rsidRPr="00C9575C">
        <w:rPr>
          <w:lang w:val="it-IT"/>
        </w:rPr>
        <w:t xml:space="preserve">a base di piante medicinali o altri medicinali </w:t>
      </w:r>
      <w:r w:rsidR="00941F14" w:rsidRPr="00C9575C">
        <w:rPr>
          <w:lang w:val="it-IT"/>
        </w:rPr>
        <w:t>acquistati</w:t>
      </w:r>
      <w:r w:rsidRPr="00C9575C">
        <w:rPr>
          <w:lang w:val="it-IT"/>
        </w:rPr>
        <w:t xml:space="preserve"> senza obbligo di ricetta.</w:t>
      </w:r>
    </w:p>
    <w:p w14:paraId="21CAE722" w14:textId="77777777" w:rsidR="00561813" w:rsidRPr="00C9575C" w:rsidRDefault="00561813" w:rsidP="002C61BE">
      <w:pPr>
        <w:rPr>
          <w:lang w:val="it-IT"/>
        </w:rPr>
      </w:pPr>
      <w:r w:rsidRPr="00C9575C">
        <w:rPr>
          <w:lang w:val="it-IT"/>
        </w:rPr>
        <w:t>Ricordi di informare il medico o il farmacista se sta assumendo un nuovo medicinale durante il trattamento con Kivexa.</w:t>
      </w:r>
    </w:p>
    <w:p w14:paraId="0011D374" w14:textId="77777777" w:rsidR="002C61BE" w:rsidRPr="00C9575C" w:rsidRDefault="002C61BE" w:rsidP="002C61BE">
      <w:pPr>
        <w:rPr>
          <w:b/>
          <w:lang w:val="it-IT"/>
        </w:rPr>
      </w:pPr>
    </w:p>
    <w:p w14:paraId="46E9C349" w14:textId="77777777" w:rsidR="00561813" w:rsidRPr="00C9575C" w:rsidRDefault="00561813" w:rsidP="002C61BE">
      <w:pPr>
        <w:rPr>
          <w:b/>
          <w:lang w:val="it-IT"/>
        </w:rPr>
      </w:pPr>
      <w:r w:rsidRPr="00C9575C">
        <w:rPr>
          <w:b/>
          <w:lang w:val="it-IT"/>
        </w:rPr>
        <w:t>Questi medicinali non devono essere assunti con Kivexa:</w:t>
      </w:r>
    </w:p>
    <w:p w14:paraId="10F59F91" w14:textId="77777777" w:rsidR="008C3A7B" w:rsidRPr="00C9575C" w:rsidRDefault="008C3A7B" w:rsidP="00C628FC">
      <w:pPr>
        <w:widowControl w:val="0"/>
        <w:numPr>
          <w:ilvl w:val="0"/>
          <w:numId w:val="5"/>
        </w:numPr>
        <w:tabs>
          <w:tab w:val="clear" w:pos="360"/>
          <w:tab w:val="num" w:pos="567"/>
        </w:tabs>
        <w:suppressAutoHyphens/>
        <w:adjustRightInd w:val="0"/>
        <w:ind w:left="567" w:hanging="283"/>
        <w:jc w:val="both"/>
        <w:textAlignment w:val="baseline"/>
        <w:rPr>
          <w:lang w:val="it-IT"/>
        </w:rPr>
      </w:pPr>
      <w:r w:rsidRPr="00C9575C">
        <w:rPr>
          <w:lang w:val="it-IT"/>
        </w:rPr>
        <w:t xml:space="preserve">emtricitabina per trattare </w:t>
      </w:r>
      <w:r w:rsidRPr="00C9575C">
        <w:rPr>
          <w:b/>
          <w:lang w:val="it-IT"/>
        </w:rPr>
        <w:t>l’infezione</w:t>
      </w:r>
      <w:r w:rsidRPr="00C9575C">
        <w:rPr>
          <w:lang w:val="it-IT"/>
        </w:rPr>
        <w:t xml:space="preserve"> da </w:t>
      </w:r>
      <w:r w:rsidRPr="00C9575C">
        <w:rPr>
          <w:b/>
          <w:lang w:val="it-IT"/>
        </w:rPr>
        <w:t>HIV</w:t>
      </w:r>
    </w:p>
    <w:p w14:paraId="39F728D6" w14:textId="77777777" w:rsidR="008C3A7B" w:rsidRPr="00C9575C" w:rsidRDefault="008C3A7B" w:rsidP="00C628FC">
      <w:pPr>
        <w:widowControl w:val="0"/>
        <w:numPr>
          <w:ilvl w:val="0"/>
          <w:numId w:val="5"/>
        </w:numPr>
        <w:tabs>
          <w:tab w:val="clear" w:pos="360"/>
          <w:tab w:val="num" w:pos="284"/>
        </w:tabs>
        <w:suppressAutoHyphens/>
        <w:adjustRightInd w:val="0"/>
        <w:ind w:left="567" w:hanging="283"/>
        <w:textAlignment w:val="baseline"/>
        <w:rPr>
          <w:lang w:val="it-IT"/>
        </w:rPr>
      </w:pPr>
      <w:r w:rsidRPr="00C9575C">
        <w:rPr>
          <w:lang w:val="it-IT"/>
        </w:rPr>
        <w:t xml:space="preserve">altri medicinali contenenti lamivudina usati per trattare </w:t>
      </w:r>
      <w:r w:rsidRPr="00C9575C">
        <w:rPr>
          <w:b/>
          <w:lang w:val="it-IT"/>
        </w:rPr>
        <w:t>l’infezione da HIV</w:t>
      </w:r>
      <w:r w:rsidRPr="00C9575C">
        <w:rPr>
          <w:lang w:val="it-IT"/>
        </w:rPr>
        <w:t xml:space="preserve"> o </w:t>
      </w:r>
      <w:r w:rsidRPr="00C9575C">
        <w:rPr>
          <w:b/>
          <w:lang w:val="it-IT"/>
        </w:rPr>
        <w:t>l’</w:t>
      </w:r>
      <w:r w:rsidR="00FE68DD" w:rsidRPr="00C9575C">
        <w:rPr>
          <w:b/>
          <w:lang w:val="it-IT"/>
        </w:rPr>
        <w:t>infezione da virus dell’</w:t>
      </w:r>
      <w:r w:rsidRPr="00C9575C">
        <w:rPr>
          <w:b/>
          <w:lang w:val="it-IT"/>
        </w:rPr>
        <w:t>epatite B</w:t>
      </w:r>
    </w:p>
    <w:p w14:paraId="59E66532" w14:textId="77777777" w:rsidR="00561813" w:rsidRPr="00C9575C" w:rsidRDefault="00561813" w:rsidP="00C628FC">
      <w:pPr>
        <w:widowControl w:val="0"/>
        <w:numPr>
          <w:ilvl w:val="0"/>
          <w:numId w:val="5"/>
        </w:numPr>
        <w:tabs>
          <w:tab w:val="clear" w:pos="360"/>
          <w:tab w:val="num" w:pos="567"/>
        </w:tabs>
        <w:suppressAutoHyphens/>
        <w:adjustRightInd w:val="0"/>
        <w:ind w:left="567" w:hanging="283"/>
        <w:jc w:val="both"/>
        <w:textAlignment w:val="baseline"/>
        <w:rPr>
          <w:lang w:val="it-IT"/>
        </w:rPr>
      </w:pPr>
      <w:r w:rsidRPr="00C9575C">
        <w:rPr>
          <w:lang w:val="it-IT"/>
        </w:rPr>
        <w:t>alte dosi di</w:t>
      </w:r>
      <w:r w:rsidRPr="00C9575C">
        <w:rPr>
          <w:b/>
          <w:lang w:val="it-IT"/>
        </w:rPr>
        <w:t xml:space="preserve"> </w:t>
      </w:r>
      <w:r w:rsidR="00FE68DD" w:rsidRPr="00C9575C">
        <w:rPr>
          <w:b/>
          <w:lang w:val="it-IT"/>
        </w:rPr>
        <w:t>trimetoprim/sulfametossazolo</w:t>
      </w:r>
      <w:r w:rsidRPr="00C9575C">
        <w:rPr>
          <w:b/>
          <w:lang w:val="it-IT"/>
        </w:rPr>
        <w:t xml:space="preserve">, </w:t>
      </w:r>
      <w:r w:rsidRPr="00C9575C">
        <w:rPr>
          <w:lang w:val="it-IT"/>
        </w:rPr>
        <w:t>un antibiotico</w:t>
      </w:r>
    </w:p>
    <w:p w14:paraId="76C505A1" w14:textId="617F76CD" w:rsidR="00A445A1" w:rsidRPr="00D73A4F" w:rsidRDefault="00A445A1" w:rsidP="00C628FC">
      <w:pPr>
        <w:widowControl w:val="0"/>
        <w:numPr>
          <w:ilvl w:val="0"/>
          <w:numId w:val="5"/>
        </w:numPr>
        <w:tabs>
          <w:tab w:val="clear" w:pos="360"/>
          <w:tab w:val="num" w:pos="709"/>
        </w:tabs>
        <w:suppressAutoHyphens/>
        <w:adjustRightInd w:val="0"/>
        <w:ind w:left="567" w:hanging="283"/>
        <w:jc w:val="both"/>
        <w:textAlignment w:val="baseline"/>
        <w:rPr>
          <w:lang w:val="it-IT"/>
        </w:rPr>
      </w:pPr>
      <w:r w:rsidRPr="00C9575C">
        <w:rPr>
          <w:lang w:val="it-IT"/>
        </w:rPr>
        <w:t xml:space="preserve">cladribina, usata per trattare la </w:t>
      </w:r>
      <w:r w:rsidRPr="00C9575C">
        <w:rPr>
          <w:b/>
          <w:lang w:val="it-IT"/>
        </w:rPr>
        <w:t>leucemia a cellule capellute</w:t>
      </w:r>
      <w:r w:rsidR="00614CD3" w:rsidRPr="00C9575C">
        <w:rPr>
          <w:b/>
          <w:lang w:val="it-IT"/>
        </w:rPr>
        <w:t>.</w:t>
      </w:r>
    </w:p>
    <w:p w14:paraId="71FD91BA" w14:textId="77777777" w:rsidR="00D73A4F" w:rsidRPr="00C9575C" w:rsidRDefault="00D73A4F" w:rsidP="00D73A4F">
      <w:pPr>
        <w:widowControl w:val="0"/>
        <w:suppressAutoHyphens/>
        <w:adjustRightInd w:val="0"/>
        <w:ind w:left="284"/>
        <w:jc w:val="both"/>
        <w:textAlignment w:val="baseline"/>
        <w:rPr>
          <w:lang w:val="it-IT"/>
        </w:rPr>
      </w:pPr>
    </w:p>
    <w:p w14:paraId="7F75E2DA" w14:textId="77777777" w:rsidR="00561813" w:rsidRPr="00C9575C" w:rsidRDefault="00561813" w:rsidP="00C628FC">
      <w:pPr>
        <w:pStyle w:val="Action"/>
        <w:tabs>
          <w:tab w:val="clear" w:pos="284"/>
        </w:tabs>
        <w:spacing w:before="0" w:line="240" w:lineRule="auto"/>
        <w:ind w:left="851" w:hanging="567"/>
        <w:rPr>
          <w:b/>
        </w:rPr>
      </w:pPr>
      <w:r w:rsidRPr="00C9575C">
        <w:rPr>
          <w:b/>
        </w:rPr>
        <w:t xml:space="preserve">Informi il medico </w:t>
      </w:r>
      <w:r w:rsidRPr="00C9575C">
        <w:t>se viene trattato con uno di questi medicinali.</w:t>
      </w:r>
    </w:p>
    <w:p w14:paraId="7A7AF770" w14:textId="3502C461" w:rsidR="00561813" w:rsidRPr="00C9575C" w:rsidRDefault="00561813" w:rsidP="00561813">
      <w:pPr>
        <w:rPr>
          <w:b/>
          <w:lang w:val="it-IT"/>
        </w:rPr>
      </w:pPr>
      <w:r w:rsidRPr="00C9575C">
        <w:rPr>
          <w:b/>
          <w:lang w:val="it-IT"/>
        </w:rPr>
        <w:lastRenderedPageBreak/>
        <w:t>Alcuni medicinali interagiscono con Kivexa</w:t>
      </w:r>
    </w:p>
    <w:p w14:paraId="5A737DAB" w14:textId="77777777" w:rsidR="00561813" w:rsidRPr="00C9575C" w:rsidRDefault="00561813" w:rsidP="00303722">
      <w:pPr>
        <w:spacing w:after="120"/>
        <w:rPr>
          <w:lang w:val="it-IT"/>
        </w:rPr>
      </w:pPr>
      <w:r w:rsidRPr="00C9575C">
        <w:rPr>
          <w:lang w:val="it-IT"/>
        </w:rPr>
        <w:t>Questi includono:</w:t>
      </w:r>
    </w:p>
    <w:p w14:paraId="1BA8FE3D" w14:textId="77777777" w:rsidR="00561813" w:rsidRPr="00C9575C" w:rsidRDefault="00561813" w:rsidP="00C628FC">
      <w:pPr>
        <w:pStyle w:val="ListParagraph"/>
        <w:numPr>
          <w:ilvl w:val="0"/>
          <w:numId w:val="8"/>
        </w:numPr>
        <w:spacing w:after="0" w:line="240" w:lineRule="auto"/>
        <w:ind w:left="567" w:hanging="283"/>
        <w:rPr>
          <w:rFonts w:ascii="Times New Roman" w:hAnsi="Times New Roman"/>
          <w:lang w:val="it-IT"/>
        </w:rPr>
      </w:pPr>
      <w:r w:rsidRPr="00C9575C">
        <w:rPr>
          <w:rFonts w:ascii="Times New Roman" w:hAnsi="Times New Roman"/>
          <w:b/>
          <w:lang w:val="it-IT"/>
        </w:rPr>
        <w:t>fenitoina</w:t>
      </w:r>
      <w:r w:rsidRPr="00C9575C">
        <w:rPr>
          <w:rFonts w:ascii="Times New Roman" w:hAnsi="Times New Roman"/>
          <w:lang w:val="it-IT"/>
        </w:rPr>
        <w:t xml:space="preserve"> per trattare </w:t>
      </w:r>
      <w:r w:rsidRPr="00C9575C">
        <w:rPr>
          <w:rFonts w:ascii="Times New Roman" w:hAnsi="Times New Roman"/>
          <w:b/>
          <w:lang w:val="it-IT"/>
        </w:rPr>
        <w:t>l’epilessia</w:t>
      </w:r>
      <w:r w:rsidR="00971774" w:rsidRPr="00C9575C">
        <w:rPr>
          <w:rFonts w:ascii="Times New Roman" w:hAnsi="Times New Roman"/>
          <w:b/>
          <w:lang w:val="it-IT"/>
        </w:rPr>
        <w:t>.</w:t>
      </w:r>
    </w:p>
    <w:p w14:paraId="3D2E19F7" w14:textId="41E21769" w:rsidR="00561813" w:rsidRPr="00C9575C" w:rsidRDefault="00561813" w:rsidP="00C628FC">
      <w:pPr>
        <w:pStyle w:val="Action"/>
        <w:tabs>
          <w:tab w:val="clear" w:pos="567"/>
        </w:tabs>
        <w:spacing w:before="0" w:line="240" w:lineRule="auto"/>
        <w:ind w:left="284"/>
        <w:rPr>
          <w:szCs w:val="22"/>
        </w:rPr>
      </w:pPr>
      <w:r w:rsidRPr="00C9575C">
        <w:rPr>
          <w:b/>
          <w:szCs w:val="22"/>
        </w:rPr>
        <w:t>Informi il medico</w:t>
      </w:r>
      <w:r w:rsidRPr="00C9575C">
        <w:rPr>
          <w:szCs w:val="22"/>
        </w:rPr>
        <w:t xml:space="preserve"> se sta assumendo fenitoina. Il medico potrebbe avere bisogno di controllarla mentre sta assumendo Kivexa.</w:t>
      </w:r>
    </w:p>
    <w:p w14:paraId="2CA6EE3A" w14:textId="77777777" w:rsidR="008C3A7B" w:rsidRPr="00C9575C" w:rsidRDefault="008C3A7B" w:rsidP="00E54AAA">
      <w:pPr>
        <w:pStyle w:val="Action"/>
        <w:tabs>
          <w:tab w:val="clear" w:pos="284"/>
          <w:tab w:val="clear" w:pos="567"/>
          <w:tab w:val="left" w:pos="426"/>
        </w:tabs>
        <w:spacing w:before="0" w:line="240" w:lineRule="auto"/>
        <w:ind w:left="425"/>
        <w:rPr>
          <w:szCs w:val="22"/>
        </w:rPr>
      </w:pPr>
    </w:p>
    <w:p w14:paraId="1B0DE437" w14:textId="77777777" w:rsidR="00561813" w:rsidRPr="00C9575C" w:rsidRDefault="00971774" w:rsidP="00C628FC">
      <w:pPr>
        <w:pStyle w:val="ListParagraph"/>
        <w:keepNext/>
        <w:numPr>
          <w:ilvl w:val="0"/>
          <w:numId w:val="8"/>
        </w:numPr>
        <w:spacing w:after="0" w:line="240" w:lineRule="auto"/>
        <w:ind w:left="567" w:hanging="283"/>
        <w:rPr>
          <w:rFonts w:ascii="Times New Roman" w:hAnsi="Times New Roman"/>
          <w:lang w:val="it-IT"/>
        </w:rPr>
      </w:pPr>
      <w:r w:rsidRPr="00C9575C">
        <w:rPr>
          <w:rFonts w:ascii="Times New Roman" w:hAnsi="Times New Roman"/>
          <w:b/>
          <w:lang w:val="it-IT"/>
        </w:rPr>
        <w:t>m</w:t>
      </w:r>
      <w:r w:rsidR="00561813" w:rsidRPr="00C9575C">
        <w:rPr>
          <w:rFonts w:ascii="Times New Roman" w:hAnsi="Times New Roman"/>
          <w:b/>
          <w:lang w:val="it-IT"/>
        </w:rPr>
        <w:t>etadone</w:t>
      </w:r>
      <w:r w:rsidRPr="00C9575C">
        <w:rPr>
          <w:rFonts w:ascii="Times New Roman" w:hAnsi="Times New Roman"/>
          <w:b/>
          <w:lang w:val="it-IT"/>
        </w:rPr>
        <w:t>,</w:t>
      </w:r>
      <w:r w:rsidR="00561813" w:rsidRPr="00C9575C">
        <w:rPr>
          <w:rFonts w:ascii="Times New Roman" w:hAnsi="Times New Roman"/>
          <w:b/>
          <w:lang w:val="it-IT"/>
        </w:rPr>
        <w:t xml:space="preserve"> </w:t>
      </w:r>
      <w:r w:rsidR="00561813" w:rsidRPr="00C9575C">
        <w:rPr>
          <w:rFonts w:ascii="Times New Roman" w:hAnsi="Times New Roman"/>
          <w:lang w:val="it-IT"/>
        </w:rPr>
        <w:t>usato come</w:t>
      </w:r>
      <w:r w:rsidR="00561813" w:rsidRPr="00C9575C">
        <w:rPr>
          <w:rFonts w:ascii="Times New Roman" w:hAnsi="Times New Roman"/>
          <w:b/>
          <w:lang w:val="it-IT"/>
        </w:rPr>
        <w:t xml:space="preserve"> sostituto dell’eroina. </w:t>
      </w:r>
      <w:r w:rsidR="00561813" w:rsidRPr="00C9575C">
        <w:rPr>
          <w:rFonts w:ascii="Times New Roman" w:hAnsi="Times New Roman"/>
          <w:lang w:val="it-IT"/>
        </w:rPr>
        <w:t>Abacavir aumenta la velocità con cui il metadone è eliminato dall’organismo. Se sta assumendo metadone sarà controllato per qu</w:t>
      </w:r>
      <w:r w:rsidR="00F3057A" w:rsidRPr="00C9575C">
        <w:rPr>
          <w:rFonts w:ascii="Times New Roman" w:hAnsi="Times New Roman"/>
          <w:lang w:val="it-IT"/>
        </w:rPr>
        <w:t xml:space="preserve">alsiasi sintomo di astinenza. È </w:t>
      </w:r>
      <w:r w:rsidR="00561813" w:rsidRPr="00C9575C">
        <w:rPr>
          <w:rFonts w:ascii="Times New Roman" w:hAnsi="Times New Roman"/>
          <w:lang w:val="it-IT"/>
        </w:rPr>
        <w:t>possibile che la dose di metadone debba essere cambiata.</w:t>
      </w:r>
    </w:p>
    <w:p w14:paraId="7EF8CDD8" w14:textId="77777777" w:rsidR="00011520" w:rsidRPr="00C9575C" w:rsidRDefault="00561813" w:rsidP="00B44A70">
      <w:pPr>
        <w:ind w:left="142" w:firstLine="142"/>
        <w:rPr>
          <w:lang w:val="it-IT"/>
        </w:rPr>
      </w:pPr>
      <w:r w:rsidRPr="00C9575C">
        <w:rPr>
          <w:b/>
          <w:lang w:val="it-IT"/>
        </w:rPr>
        <w:t>Informi il medico</w:t>
      </w:r>
      <w:r w:rsidR="00E47972" w:rsidRPr="00C9575C">
        <w:rPr>
          <w:lang w:val="it-IT"/>
        </w:rPr>
        <w:t xml:space="preserve"> se sta assumendo </w:t>
      </w:r>
      <w:r w:rsidRPr="00C9575C">
        <w:rPr>
          <w:lang w:val="it-IT"/>
        </w:rPr>
        <w:t>metadone.</w:t>
      </w:r>
    </w:p>
    <w:p w14:paraId="29FDDCB1" w14:textId="77777777" w:rsidR="009321FB" w:rsidRPr="00C9575C" w:rsidRDefault="009321FB" w:rsidP="000B2FF9">
      <w:pPr>
        <w:ind w:left="425" w:firstLine="426"/>
        <w:rPr>
          <w:lang w:val="it-IT"/>
        </w:rPr>
      </w:pPr>
    </w:p>
    <w:p w14:paraId="0B084AA5" w14:textId="77777777" w:rsidR="00F736B0" w:rsidRPr="00C9575C" w:rsidRDefault="00F736B0" w:rsidP="00C628FC">
      <w:pPr>
        <w:numPr>
          <w:ilvl w:val="0"/>
          <w:numId w:val="8"/>
        </w:numPr>
        <w:ind w:left="567" w:hanging="283"/>
        <w:rPr>
          <w:lang w:val="it-IT"/>
        </w:rPr>
      </w:pPr>
      <w:r w:rsidRPr="00C9575C">
        <w:rPr>
          <w:lang w:val="it-IT"/>
        </w:rPr>
        <w:t>medicinali</w:t>
      </w:r>
      <w:r w:rsidRPr="00C9575C">
        <w:rPr>
          <w:b/>
          <w:lang w:val="it-IT"/>
        </w:rPr>
        <w:t xml:space="preserve"> </w:t>
      </w:r>
      <w:r w:rsidRPr="00C9575C">
        <w:rPr>
          <w:lang w:val="it-IT"/>
        </w:rPr>
        <w:t xml:space="preserve">(solitamente liquidi) contenenti </w:t>
      </w:r>
      <w:r w:rsidRPr="00C9575C">
        <w:rPr>
          <w:b/>
          <w:lang w:val="it-IT"/>
        </w:rPr>
        <w:t>sorbitolo e altri dolcificanti</w:t>
      </w:r>
      <w:r w:rsidRPr="00C9575C">
        <w:rPr>
          <w:lang w:val="it-IT"/>
        </w:rPr>
        <w:t xml:space="preserve"> (come xilitolo, mannitolo, lactitolo o maltitolo)</w:t>
      </w:r>
      <w:r w:rsidR="00D84D90" w:rsidRPr="00C9575C">
        <w:rPr>
          <w:lang w:val="it-IT"/>
        </w:rPr>
        <w:t>,</w:t>
      </w:r>
      <w:r w:rsidRPr="00C9575C">
        <w:rPr>
          <w:lang w:val="it-IT"/>
        </w:rPr>
        <w:t xml:space="preserve"> se assunti regolarmente</w:t>
      </w:r>
      <w:r w:rsidR="00D84D90" w:rsidRPr="00C9575C">
        <w:rPr>
          <w:lang w:val="it-IT"/>
        </w:rPr>
        <w:t>.</w:t>
      </w:r>
    </w:p>
    <w:p w14:paraId="58245556" w14:textId="77777777" w:rsidR="00F736B0" w:rsidRPr="00C9575C" w:rsidRDefault="00F736B0" w:rsidP="00B44A70">
      <w:pPr>
        <w:ind w:left="851" w:hanging="567"/>
        <w:rPr>
          <w:lang w:val="it-IT"/>
        </w:rPr>
      </w:pPr>
      <w:r w:rsidRPr="00C9575C">
        <w:rPr>
          <w:b/>
          <w:lang w:val="it-IT"/>
        </w:rPr>
        <w:t xml:space="preserve">Informi il medico o il farmacista </w:t>
      </w:r>
      <w:r w:rsidRPr="00C9575C">
        <w:rPr>
          <w:lang w:val="it-IT"/>
        </w:rPr>
        <w:t>se sta assumendo uno qualsiasi di questi.</w:t>
      </w:r>
    </w:p>
    <w:p w14:paraId="04EAA355" w14:textId="77777777" w:rsidR="009F5DB0" w:rsidRPr="00C9575C" w:rsidRDefault="009F5DB0" w:rsidP="00706D6D">
      <w:pPr>
        <w:ind w:left="851"/>
        <w:rPr>
          <w:lang w:val="it-IT"/>
        </w:rPr>
      </w:pPr>
    </w:p>
    <w:p w14:paraId="38889440" w14:textId="77777777" w:rsidR="009F5DB0" w:rsidRPr="00C9575C" w:rsidRDefault="009F5DB0" w:rsidP="00C628FC">
      <w:pPr>
        <w:pStyle w:val="Elencoacolori-Colore11"/>
        <w:keepNext/>
        <w:numPr>
          <w:ilvl w:val="0"/>
          <w:numId w:val="8"/>
        </w:numPr>
        <w:ind w:left="567" w:hanging="283"/>
        <w:rPr>
          <w:szCs w:val="22"/>
        </w:rPr>
      </w:pPr>
      <w:r w:rsidRPr="00C9575C">
        <w:rPr>
          <w:b/>
          <w:bCs/>
          <w:szCs w:val="22"/>
        </w:rPr>
        <w:t>riociguat</w:t>
      </w:r>
      <w:r w:rsidRPr="00C9575C">
        <w:rPr>
          <w:szCs w:val="22"/>
        </w:rPr>
        <w:t xml:space="preserve">, per il trattamento </w:t>
      </w:r>
      <w:r w:rsidRPr="00C9575C">
        <w:rPr>
          <w:b/>
          <w:bCs/>
          <w:szCs w:val="22"/>
        </w:rPr>
        <w:t>della pressione alta nei vasi sanguigni</w:t>
      </w:r>
      <w:r w:rsidRPr="00C9575C">
        <w:rPr>
          <w:szCs w:val="22"/>
        </w:rPr>
        <w:t xml:space="preserve"> (le arterie polmonari) che portano il sangue dal cuore ai polmoni. Il medico può avere bisogno di ridurre la dose di riociguat, dal momento che abacavir può aumentare i livelli ematici di riociguat.  </w:t>
      </w:r>
    </w:p>
    <w:p w14:paraId="6AAC20B5" w14:textId="77777777" w:rsidR="00F736B0" w:rsidRPr="00C9575C" w:rsidRDefault="00F736B0" w:rsidP="00F736B0">
      <w:pPr>
        <w:ind w:left="425"/>
        <w:rPr>
          <w:lang w:val="it-IT"/>
        </w:rPr>
      </w:pPr>
    </w:p>
    <w:p w14:paraId="686FA834" w14:textId="77777777" w:rsidR="00561813" w:rsidRPr="00C9575C" w:rsidRDefault="00561813" w:rsidP="00561813">
      <w:pPr>
        <w:rPr>
          <w:b/>
          <w:lang w:val="it-IT"/>
        </w:rPr>
      </w:pPr>
      <w:r w:rsidRPr="00C9575C">
        <w:rPr>
          <w:b/>
          <w:lang w:val="it-IT"/>
        </w:rPr>
        <w:t xml:space="preserve">Gravidanza </w:t>
      </w:r>
    </w:p>
    <w:p w14:paraId="45445D7A" w14:textId="77777777" w:rsidR="00B44A70" w:rsidRDefault="00561813" w:rsidP="00DF4AC4">
      <w:pPr>
        <w:rPr>
          <w:lang w:val="it-IT"/>
        </w:rPr>
      </w:pPr>
      <w:r w:rsidRPr="00C9575C">
        <w:rPr>
          <w:b/>
          <w:lang w:val="it-IT"/>
        </w:rPr>
        <w:t xml:space="preserve">Non è raccomandato l’uso di Kivexa durante la gravidanza. </w:t>
      </w:r>
      <w:r w:rsidRPr="00C9575C">
        <w:rPr>
          <w:lang w:val="it-IT"/>
        </w:rPr>
        <w:t>Kivexa e medicinali simili possono causare effetti indesidera</w:t>
      </w:r>
      <w:r w:rsidR="00DF4AC4" w:rsidRPr="00C9575C">
        <w:rPr>
          <w:lang w:val="it-IT"/>
        </w:rPr>
        <w:t xml:space="preserve">ti nei bambini non ancora nati. </w:t>
      </w:r>
    </w:p>
    <w:p w14:paraId="1E94B4AD" w14:textId="607A0CA7" w:rsidR="00982930" w:rsidRPr="00C9575C" w:rsidRDefault="00982930" w:rsidP="00DF4AC4">
      <w:pPr>
        <w:rPr>
          <w:lang w:val="it-IT"/>
        </w:rPr>
      </w:pPr>
      <w:r w:rsidRPr="00C9575C">
        <w:rPr>
          <w:bCs/>
          <w:lang w:val="it-IT"/>
        </w:rPr>
        <w:t>Se ha già assunto Kivexa</w:t>
      </w:r>
      <w:r w:rsidRPr="00C9575C">
        <w:rPr>
          <w:lang w:val="it-IT"/>
        </w:rPr>
        <w:t xml:space="preserve"> durante la gravidanza, il medico può richiedere regolarmente analisi del sangue e altri esami diagnostici per monitorare lo sviluppo del bambino. Nei bambini le cui madri hanno assunto NRTI durante la gravidanza, il beneficio della protezione contro l’HIV ha superato il rischio di effetti collaterali.</w:t>
      </w:r>
    </w:p>
    <w:p w14:paraId="49E405E6" w14:textId="77777777" w:rsidR="00561813" w:rsidRPr="00C9575C" w:rsidRDefault="00561813" w:rsidP="00561813">
      <w:pPr>
        <w:rPr>
          <w:b/>
          <w:lang w:val="it-IT"/>
        </w:rPr>
      </w:pPr>
    </w:p>
    <w:p w14:paraId="4BC3131C" w14:textId="77777777" w:rsidR="00561813" w:rsidRPr="00C9575C" w:rsidRDefault="00561813" w:rsidP="00561813">
      <w:pPr>
        <w:rPr>
          <w:b/>
          <w:lang w:val="it-IT"/>
        </w:rPr>
      </w:pPr>
      <w:r w:rsidRPr="00C9575C">
        <w:rPr>
          <w:b/>
          <w:lang w:val="it-IT"/>
        </w:rPr>
        <w:t xml:space="preserve">Allattamento </w:t>
      </w:r>
    </w:p>
    <w:p w14:paraId="15C0E8C0" w14:textId="241D76EF" w:rsidR="00561813" w:rsidRPr="00C9575C" w:rsidRDefault="00E24882" w:rsidP="006765E7">
      <w:pPr>
        <w:rPr>
          <w:szCs w:val="22"/>
          <w:lang w:val="it-IT"/>
        </w:rPr>
      </w:pPr>
      <w:r w:rsidRPr="00C628FC">
        <w:rPr>
          <w:bCs/>
          <w:szCs w:val="22"/>
          <w:lang w:val="it-IT"/>
        </w:rPr>
        <w:t xml:space="preserve">L’allattamento </w:t>
      </w:r>
      <w:r w:rsidRPr="00332303">
        <w:rPr>
          <w:b/>
          <w:szCs w:val="22"/>
          <w:lang w:val="it-IT"/>
        </w:rPr>
        <w:t>non è raccomandato</w:t>
      </w:r>
      <w:r w:rsidRPr="00C628FC">
        <w:rPr>
          <w:bCs/>
          <w:szCs w:val="22"/>
          <w:lang w:val="it-IT"/>
        </w:rPr>
        <w:t xml:space="preserve"> </w:t>
      </w:r>
      <w:r w:rsidR="00E81E60">
        <w:rPr>
          <w:bCs/>
          <w:szCs w:val="22"/>
          <w:lang w:val="it-IT"/>
        </w:rPr>
        <w:t>per le</w:t>
      </w:r>
      <w:r w:rsidR="00561813" w:rsidRPr="00C628FC">
        <w:rPr>
          <w:bCs/>
          <w:szCs w:val="22"/>
          <w:lang w:val="it-IT"/>
        </w:rPr>
        <w:t xml:space="preserve"> donne </w:t>
      </w:r>
      <w:r w:rsidR="00E81E60">
        <w:rPr>
          <w:bCs/>
          <w:szCs w:val="22"/>
          <w:lang w:val="it-IT"/>
        </w:rPr>
        <w:t xml:space="preserve">sieropositive poiché </w:t>
      </w:r>
      <w:r w:rsidR="00561813" w:rsidRPr="00C9575C">
        <w:rPr>
          <w:szCs w:val="22"/>
          <w:lang w:val="it-IT"/>
        </w:rPr>
        <w:t xml:space="preserve">l’infezione da HIV può essere trasmessa al bambino </w:t>
      </w:r>
      <w:r w:rsidR="00E81E60">
        <w:rPr>
          <w:szCs w:val="22"/>
          <w:lang w:val="it-IT"/>
        </w:rPr>
        <w:t>con</w:t>
      </w:r>
      <w:r w:rsidR="00E81E60" w:rsidRPr="00C9575C">
        <w:rPr>
          <w:szCs w:val="22"/>
          <w:lang w:val="it-IT"/>
        </w:rPr>
        <w:t xml:space="preserve"> </w:t>
      </w:r>
      <w:r w:rsidR="00561813" w:rsidRPr="00C9575C">
        <w:rPr>
          <w:szCs w:val="22"/>
          <w:lang w:val="it-IT"/>
        </w:rPr>
        <w:t>il latte</w:t>
      </w:r>
      <w:r>
        <w:rPr>
          <w:szCs w:val="22"/>
          <w:lang w:val="it-IT"/>
        </w:rPr>
        <w:t xml:space="preserve"> materno</w:t>
      </w:r>
      <w:r w:rsidR="00561813" w:rsidRPr="00C9575C">
        <w:rPr>
          <w:szCs w:val="22"/>
          <w:lang w:val="it-IT"/>
        </w:rPr>
        <w:t xml:space="preserve">. </w:t>
      </w:r>
      <w:r w:rsidR="006765E7" w:rsidRPr="00C9575C">
        <w:rPr>
          <w:szCs w:val="22"/>
          <w:lang w:val="it-IT"/>
        </w:rPr>
        <w:t>Una piccola quantità dei componenti di Kivexa può passare anche nel latte materno.</w:t>
      </w:r>
    </w:p>
    <w:p w14:paraId="24ADBD7B" w14:textId="77777777" w:rsidR="00D45E93" w:rsidRPr="00C9575C" w:rsidRDefault="00D45E93" w:rsidP="006765E7">
      <w:pPr>
        <w:rPr>
          <w:szCs w:val="22"/>
          <w:lang w:val="it-IT"/>
        </w:rPr>
      </w:pPr>
    </w:p>
    <w:p w14:paraId="384AE636" w14:textId="0433B40A" w:rsidR="00561813" w:rsidRPr="00C9575C" w:rsidRDefault="00561813" w:rsidP="006765E7">
      <w:pPr>
        <w:rPr>
          <w:szCs w:val="22"/>
          <w:lang w:val="it-IT"/>
        </w:rPr>
      </w:pPr>
      <w:r w:rsidRPr="00C9575C">
        <w:rPr>
          <w:szCs w:val="22"/>
          <w:lang w:val="it-IT"/>
        </w:rPr>
        <w:t>Se sta allattando</w:t>
      </w:r>
      <w:r w:rsidR="006765E7" w:rsidRPr="00C9575C">
        <w:rPr>
          <w:szCs w:val="22"/>
          <w:lang w:val="it-IT"/>
        </w:rPr>
        <w:t xml:space="preserve"> </w:t>
      </w:r>
      <w:r w:rsidR="00E81E60" w:rsidRPr="00E81E60">
        <w:rPr>
          <w:szCs w:val="22"/>
          <w:lang w:val="it-IT"/>
        </w:rPr>
        <w:t xml:space="preserve">o sta pensando di allattare al seno </w:t>
      </w:r>
      <w:r w:rsidR="00E81E60" w:rsidRPr="00C628FC">
        <w:rPr>
          <w:b/>
          <w:bCs/>
          <w:szCs w:val="22"/>
          <w:lang w:val="it-IT"/>
        </w:rPr>
        <w:t xml:space="preserve">deve parlarne con il medico </w:t>
      </w:r>
      <w:r w:rsidR="00BF5AF6">
        <w:rPr>
          <w:b/>
          <w:bCs/>
          <w:szCs w:val="22"/>
          <w:lang w:val="it-IT"/>
        </w:rPr>
        <w:t>il prima possibile</w:t>
      </w:r>
      <w:r w:rsidR="00E81E60" w:rsidRPr="00C628FC">
        <w:rPr>
          <w:b/>
          <w:bCs/>
          <w:szCs w:val="22"/>
          <w:lang w:val="it-IT"/>
        </w:rPr>
        <w:t>.</w:t>
      </w:r>
      <w:r w:rsidR="00E24882">
        <w:rPr>
          <w:b/>
          <w:szCs w:val="22"/>
          <w:lang w:val="it-IT"/>
        </w:rPr>
        <w:t xml:space="preserve"> </w:t>
      </w:r>
    </w:p>
    <w:p w14:paraId="226DA799" w14:textId="77777777" w:rsidR="00561813" w:rsidRPr="00C9575C" w:rsidRDefault="00561813" w:rsidP="00561813">
      <w:pPr>
        <w:rPr>
          <w:b/>
          <w:lang w:val="it-IT"/>
        </w:rPr>
      </w:pPr>
    </w:p>
    <w:p w14:paraId="63C35499" w14:textId="77777777" w:rsidR="00561813" w:rsidRPr="00C9575C" w:rsidRDefault="00561813" w:rsidP="00561813">
      <w:pPr>
        <w:keepNext/>
        <w:rPr>
          <w:b/>
          <w:lang w:val="it-IT"/>
        </w:rPr>
      </w:pPr>
      <w:r w:rsidRPr="00C9575C">
        <w:rPr>
          <w:b/>
          <w:lang w:val="it-IT"/>
        </w:rPr>
        <w:t>Guida di veicoli e utilizzo di macchinari</w:t>
      </w:r>
    </w:p>
    <w:p w14:paraId="57915E60" w14:textId="77777777" w:rsidR="00DD3985" w:rsidRPr="00C9575C" w:rsidRDefault="00CC0BC2" w:rsidP="00DD3985">
      <w:pPr>
        <w:pStyle w:val="Action"/>
        <w:tabs>
          <w:tab w:val="left" w:pos="0"/>
        </w:tabs>
        <w:spacing w:before="0"/>
        <w:rPr>
          <w:szCs w:val="22"/>
        </w:rPr>
      </w:pPr>
      <w:r w:rsidRPr="00C9575C">
        <w:t xml:space="preserve">Kivexa può causare effetti indesiderati che possono avere effetto sulla </w:t>
      </w:r>
      <w:r w:rsidR="00BF44C0" w:rsidRPr="00C9575C">
        <w:rPr>
          <w:szCs w:val="22"/>
        </w:rPr>
        <w:t>capacità di guidare e utilizzare macchinari.</w:t>
      </w:r>
    </w:p>
    <w:p w14:paraId="7EDE7F2F" w14:textId="77777777" w:rsidR="00793874" w:rsidRPr="00C9575C" w:rsidRDefault="00CC0BC2" w:rsidP="00B44A70">
      <w:pPr>
        <w:pStyle w:val="Action"/>
        <w:tabs>
          <w:tab w:val="left" w:pos="0"/>
        </w:tabs>
        <w:spacing w:before="0"/>
        <w:ind w:firstLine="567"/>
        <w:rPr>
          <w:szCs w:val="22"/>
        </w:rPr>
      </w:pPr>
      <w:r w:rsidRPr="00C9575C">
        <w:rPr>
          <w:b/>
          <w:szCs w:val="22"/>
        </w:rPr>
        <w:t>Parli con il medico</w:t>
      </w:r>
      <w:r w:rsidR="00DD3985" w:rsidRPr="00C9575C">
        <w:rPr>
          <w:szCs w:val="22"/>
        </w:rPr>
        <w:t xml:space="preserve"> sulla capacità di guidare e utilizzare macchinari mentre assume Kivexa.</w:t>
      </w:r>
    </w:p>
    <w:p w14:paraId="38C22702" w14:textId="77777777" w:rsidR="00561813" w:rsidRPr="00C9575C" w:rsidRDefault="00561813" w:rsidP="00561813">
      <w:pPr>
        <w:widowControl w:val="0"/>
        <w:rPr>
          <w:szCs w:val="22"/>
          <w:lang w:val="it-IT"/>
        </w:rPr>
      </w:pPr>
    </w:p>
    <w:p w14:paraId="0B5F582A" w14:textId="77777777" w:rsidR="00561813" w:rsidRPr="00C9575C" w:rsidRDefault="00561813" w:rsidP="00011337">
      <w:pPr>
        <w:keepNext/>
        <w:widowControl w:val="0"/>
        <w:rPr>
          <w:b/>
          <w:szCs w:val="22"/>
          <w:lang w:val="it-IT"/>
        </w:rPr>
      </w:pPr>
      <w:r w:rsidRPr="00C9575C">
        <w:rPr>
          <w:b/>
          <w:szCs w:val="22"/>
          <w:lang w:val="it-IT"/>
        </w:rPr>
        <w:t>Informazioni importanti su alcuni eccipienti di Kivexa compresse</w:t>
      </w:r>
    </w:p>
    <w:p w14:paraId="63C5EDF7" w14:textId="77777777" w:rsidR="00561813" w:rsidRPr="00C9575C" w:rsidRDefault="00561813" w:rsidP="00011337">
      <w:pPr>
        <w:keepNext/>
        <w:widowControl w:val="0"/>
        <w:rPr>
          <w:szCs w:val="22"/>
          <w:lang w:val="it-IT"/>
        </w:rPr>
      </w:pPr>
      <w:r w:rsidRPr="00C9575C">
        <w:rPr>
          <w:szCs w:val="22"/>
          <w:lang w:val="it-IT"/>
        </w:rPr>
        <w:t>Kivexa contiene il colorante chiamato giallo tramonto (E110) che può causare reazioni allergiche in alcuni individui.</w:t>
      </w:r>
    </w:p>
    <w:p w14:paraId="3B470B1A" w14:textId="77777777" w:rsidR="009F5DB0" w:rsidRPr="00C03451" w:rsidRDefault="009F5DB0" w:rsidP="009F5DB0">
      <w:pPr>
        <w:tabs>
          <w:tab w:val="left" w:pos="851"/>
        </w:tabs>
        <w:contextualSpacing/>
        <w:rPr>
          <w:color w:val="000000"/>
          <w:szCs w:val="22"/>
          <w:lang w:val="it-IT"/>
        </w:rPr>
      </w:pPr>
    </w:p>
    <w:p w14:paraId="2F81AD47" w14:textId="77777777" w:rsidR="009F5DB0" w:rsidRPr="00C03451" w:rsidRDefault="009F5DB0" w:rsidP="009F5DB0">
      <w:pPr>
        <w:tabs>
          <w:tab w:val="left" w:pos="851"/>
        </w:tabs>
        <w:contextualSpacing/>
        <w:rPr>
          <w:szCs w:val="22"/>
          <w:lang w:val="it-IT"/>
        </w:rPr>
      </w:pPr>
      <w:r w:rsidRPr="00C03451">
        <w:rPr>
          <w:color w:val="000000"/>
          <w:szCs w:val="22"/>
          <w:lang w:val="it-IT"/>
        </w:rPr>
        <w:t>Questo medicinale contiene meno di 1 mmol (23 mg) di sodio per unità di dosaggio, cioè è essenzialmente ‘senza sodio’.</w:t>
      </w:r>
      <w:r w:rsidRPr="00C03451">
        <w:rPr>
          <w:szCs w:val="22"/>
          <w:lang w:val="it-IT"/>
        </w:rPr>
        <w:t xml:space="preserve"> </w:t>
      </w:r>
    </w:p>
    <w:p w14:paraId="1CE1458D" w14:textId="5EDB3D99" w:rsidR="00561813" w:rsidRDefault="00561813" w:rsidP="00561813">
      <w:pPr>
        <w:widowControl w:val="0"/>
        <w:rPr>
          <w:szCs w:val="22"/>
          <w:lang w:val="it-IT"/>
        </w:rPr>
      </w:pPr>
    </w:p>
    <w:p w14:paraId="1BD6F106" w14:textId="77777777" w:rsidR="00B44A70" w:rsidRPr="00C9575C" w:rsidRDefault="00B44A70" w:rsidP="00561813">
      <w:pPr>
        <w:widowControl w:val="0"/>
        <w:rPr>
          <w:szCs w:val="22"/>
          <w:lang w:val="it-IT"/>
        </w:rPr>
      </w:pPr>
    </w:p>
    <w:p w14:paraId="0935F403" w14:textId="77777777" w:rsidR="00561813" w:rsidRPr="00C9575C" w:rsidRDefault="00561813" w:rsidP="00303722">
      <w:pPr>
        <w:keepNext/>
        <w:widowControl w:val="0"/>
        <w:numPr>
          <w:ilvl w:val="12"/>
          <w:numId w:val="0"/>
        </w:numPr>
        <w:tabs>
          <w:tab w:val="left" w:pos="567"/>
        </w:tabs>
        <w:rPr>
          <w:b/>
          <w:szCs w:val="22"/>
          <w:lang w:val="it-IT"/>
        </w:rPr>
      </w:pPr>
      <w:r w:rsidRPr="00C9575C">
        <w:rPr>
          <w:b/>
          <w:szCs w:val="22"/>
          <w:lang w:val="it-IT"/>
        </w:rPr>
        <w:t xml:space="preserve">3. </w:t>
      </w:r>
      <w:r w:rsidRPr="00C9575C">
        <w:rPr>
          <w:b/>
          <w:szCs w:val="22"/>
          <w:lang w:val="it-IT"/>
        </w:rPr>
        <w:tab/>
      </w:r>
      <w:r w:rsidR="00FA54E8" w:rsidRPr="00C9575C">
        <w:rPr>
          <w:b/>
          <w:szCs w:val="22"/>
          <w:lang w:val="it-IT"/>
        </w:rPr>
        <w:t>Come prendere Kivexa</w:t>
      </w:r>
    </w:p>
    <w:p w14:paraId="75DEDCFF" w14:textId="77777777" w:rsidR="00561813" w:rsidRPr="00C9575C" w:rsidRDefault="00561813" w:rsidP="00303722">
      <w:pPr>
        <w:keepNext/>
        <w:rPr>
          <w:b/>
          <w:lang w:val="it-IT"/>
        </w:rPr>
      </w:pPr>
    </w:p>
    <w:p w14:paraId="01D10E8A" w14:textId="77777777" w:rsidR="00561813" w:rsidRPr="00C9575C" w:rsidRDefault="00561813" w:rsidP="00303722">
      <w:pPr>
        <w:keepNext/>
        <w:rPr>
          <w:lang w:val="it-IT"/>
        </w:rPr>
      </w:pPr>
      <w:r w:rsidRPr="00C9575C">
        <w:rPr>
          <w:b/>
          <w:lang w:val="it-IT"/>
        </w:rPr>
        <w:t xml:space="preserve">Prenda sempre </w:t>
      </w:r>
      <w:r w:rsidR="00FA54E8" w:rsidRPr="00C9575C">
        <w:rPr>
          <w:b/>
          <w:lang w:val="it-IT"/>
        </w:rPr>
        <w:t xml:space="preserve">questo medicinale </w:t>
      </w:r>
      <w:r w:rsidRPr="00C9575C">
        <w:rPr>
          <w:b/>
          <w:lang w:val="it-IT"/>
        </w:rPr>
        <w:t>seguendo esattamente le indicazioni del medico</w:t>
      </w:r>
      <w:r w:rsidRPr="00C9575C">
        <w:rPr>
          <w:lang w:val="it-IT"/>
        </w:rPr>
        <w:t>. Controlli con il medico o il farmacista se non è sicuro.</w:t>
      </w:r>
    </w:p>
    <w:p w14:paraId="4C2766D3" w14:textId="77777777" w:rsidR="00DD3985" w:rsidRPr="00C9575C" w:rsidRDefault="00DD3985" w:rsidP="00DD3985">
      <w:pPr>
        <w:rPr>
          <w:b/>
          <w:lang w:val="it-IT"/>
        </w:rPr>
      </w:pPr>
    </w:p>
    <w:p w14:paraId="1EA08A51" w14:textId="77777777" w:rsidR="00DD3985" w:rsidRPr="00C9575C" w:rsidRDefault="00DD3985" w:rsidP="00DD3985">
      <w:pPr>
        <w:rPr>
          <w:b/>
          <w:lang w:val="it-IT"/>
        </w:rPr>
      </w:pPr>
      <w:r w:rsidRPr="00C9575C">
        <w:rPr>
          <w:b/>
          <w:lang w:val="it-IT"/>
        </w:rPr>
        <w:t>La dose raccomandata di Kivexa negli adulti</w:t>
      </w:r>
      <w:r w:rsidR="00D45E93" w:rsidRPr="00C9575C">
        <w:rPr>
          <w:b/>
          <w:lang w:val="it-IT"/>
        </w:rPr>
        <w:t>, negli adolescenti</w:t>
      </w:r>
      <w:r w:rsidRPr="00C9575C">
        <w:rPr>
          <w:b/>
          <w:lang w:val="it-IT"/>
        </w:rPr>
        <w:t xml:space="preserve"> e nei bambini </w:t>
      </w:r>
      <w:r w:rsidR="00D45E93" w:rsidRPr="00C9575C">
        <w:rPr>
          <w:b/>
          <w:lang w:val="it-IT"/>
        </w:rPr>
        <w:t>che pesano 25 kg</w:t>
      </w:r>
      <w:r w:rsidRPr="00C9575C">
        <w:rPr>
          <w:b/>
          <w:lang w:val="it-IT"/>
        </w:rPr>
        <w:t xml:space="preserve"> o più è una compressa una volta al giorno.</w:t>
      </w:r>
    </w:p>
    <w:p w14:paraId="0FE711DB" w14:textId="77777777" w:rsidR="00DF4AC4" w:rsidRPr="00C9575C" w:rsidRDefault="00DF4AC4" w:rsidP="00DD3985">
      <w:pPr>
        <w:rPr>
          <w:b/>
          <w:lang w:val="it-IT"/>
        </w:rPr>
      </w:pPr>
    </w:p>
    <w:p w14:paraId="2EA4BC87" w14:textId="77777777" w:rsidR="00DF4AC4" w:rsidRPr="00C9575C" w:rsidRDefault="00561813" w:rsidP="00DF4AC4">
      <w:pPr>
        <w:widowControl w:val="0"/>
        <w:numPr>
          <w:ilvl w:val="12"/>
          <w:numId w:val="0"/>
        </w:numPr>
        <w:rPr>
          <w:szCs w:val="22"/>
          <w:lang w:val="it-IT"/>
        </w:rPr>
      </w:pPr>
      <w:r w:rsidRPr="00C9575C">
        <w:rPr>
          <w:szCs w:val="22"/>
          <w:lang w:val="it-IT"/>
        </w:rPr>
        <w:t>Deglutisca le compresse intere con acqua. Kivexa può essere preso con o senza cibo.</w:t>
      </w:r>
    </w:p>
    <w:p w14:paraId="00E142D7" w14:textId="77777777" w:rsidR="00DF4AC4" w:rsidRPr="00C9575C" w:rsidRDefault="00DF4AC4" w:rsidP="00DF4AC4">
      <w:pPr>
        <w:widowControl w:val="0"/>
        <w:numPr>
          <w:ilvl w:val="12"/>
          <w:numId w:val="0"/>
        </w:numPr>
        <w:rPr>
          <w:szCs w:val="22"/>
          <w:lang w:val="it-IT"/>
        </w:rPr>
      </w:pPr>
    </w:p>
    <w:p w14:paraId="5CCDE3A2" w14:textId="77777777" w:rsidR="00561813" w:rsidRPr="00C9575C" w:rsidRDefault="00561813" w:rsidP="00561813">
      <w:pPr>
        <w:keepNext/>
        <w:rPr>
          <w:b/>
          <w:lang w:val="it-IT"/>
        </w:rPr>
      </w:pPr>
      <w:r w:rsidRPr="00C9575C">
        <w:rPr>
          <w:b/>
          <w:lang w:val="it-IT"/>
        </w:rPr>
        <w:lastRenderedPageBreak/>
        <w:t>Rimanga in costante contatto con il medico</w:t>
      </w:r>
    </w:p>
    <w:p w14:paraId="61A29A2A" w14:textId="77777777" w:rsidR="00561813" w:rsidRPr="00C9575C" w:rsidRDefault="00561813" w:rsidP="00561813">
      <w:pPr>
        <w:keepNext/>
        <w:rPr>
          <w:lang w:val="it-IT"/>
        </w:rPr>
      </w:pPr>
      <w:r w:rsidRPr="00C9575C">
        <w:rPr>
          <w:lang w:val="it-IT"/>
        </w:rPr>
        <w:t xml:space="preserve">Kivexa aiuta a controllare la malattia. </w:t>
      </w:r>
      <w:r w:rsidR="00D84D90" w:rsidRPr="00C9575C">
        <w:rPr>
          <w:lang w:val="it-IT"/>
        </w:rPr>
        <w:t xml:space="preserve">È </w:t>
      </w:r>
      <w:r w:rsidRPr="00C9575C">
        <w:rPr>
          <w:lang w:val="it-IT"/>
        </w:rPr>
        <w:t>necessario che lo assuma ogni giorno per evitare che la malattia peggiori. Può ancora sviluppare altre infezioni e malattie legate all’infezione da HIV.</w:t>
      </w:r>
    </w:p>
    <w:p w14:paraId="36011A2B" w14:textId="77777777" w:rsidR="00561813" w:rsidRPr="00C9575C" w:rsidRDefault="00561813" w:rsidP="008C3A7B">
      <w:pPr>
        <w:pStyle w:val="Action"/>
        <w:tabs>
          <w:tab w:val="clear" w:pos="284"/>
          <w:tab w:val="left" w:pos="426"/>
        </w:tabs>
        <w:spacing w:before="0" w:line="240" w:lineRule="auto"/>
        <w:ind w:left="1145" w:hanging="719"/>
      </w:pPr>
      <w:r w:rsidRPr="00C9575C">
        <w:rPr>
          <w:b/>
        </w:rPr>
        <w:t>Stia in contatto con il medico,</w:t>
      </w:r>
      <w:r w:rsidRPr="00C9575C">
        <w:t xml:space="preserve"> </w:t>
      </w:r>
      <w:r w:rsidRPr="00C9575C">
        <w:rPr>
          <w:b/>
        </w:rPr>
        <w:t>e</w:t>
      </w:r>
      <w:r w:rsidRPr="00C9575C">
        <w:t xml:space="preserve"> </w:t>
      </w:r>
      <w:r w:rsidRPr="00C9575C">
        <w:rPr>
          <w:b/>
        </w:rPr>
        <w:t>non smetta di assumere Kivexa</w:t>
      </w:r>
      <w:r w:rsidRPr="00C9575C">
        <w:t xml:space="preserve"> senza il consiglio del medico.</w:t>
      </w:r>
    </w:p>
    <w:p w14:paraId="6355C673" w14:textId="77777777" w:rsidR="009321FB" w:rsidRPr="00C9575C" w:rsidRDefault="009321FB" w:rsidP="00561813">
      <w:pPr>
        <w:rPr>
          <w:b/>
          <w:lang w:val="it-IT"/>
        </w:rPr>
      </w:pPr>
    </w:p>
    <w:p w14:paraId="6CAB1A04" w14:textId="77777777" w:rsidR="00561813" w:rsidRPr="00C9575C" w:rsidRDefault="00561813" w:rsidP="00561813">
      <w:pPr>
        <w:rPr>
          <w:b/>
          <w:lang w:val="it-IT"/>
        </w:rPr>
      </w:pPr>
      <w:r w:rsidRPr="00C9575C">
        <w:rPr>
          <w:b/>
          <w:lang w:val="it-IT"/>
        </w:rPr>
        <w:t>Se prende più Kivexa di quanto deve</w:t>
      </w:r>
    </w:p>
    <w:p w14:paraId="7B120F66" w14:textId="77777777" w:rsidR="00561813" w:rsidRPr="00C9575C" w:rsidRDefault="00561813" w:rsidP="00561813">
      <w:pPr>
        <w:widowControl w:val="0"/>
        <w:rPr>
          <w:szCs w:val="22"/>
          <w:lang w:val="it-IT"/>
        </w:rPr>
      </w:pPr>
      <w:r w:rsidRPr="00C9575C">
        <w:rPr>
          <w:lang w:val="it-IT"/>
        </w:rPr>
        <w:t xml:space="preserve">Se accidentalmente assume più Kivexa, informi il medico o il farmacista o </w:t>
      </w:r>
      <w:r w:rsidRPr="00C9575C">
        <w:rPr>
          <w:szCs w:val="22"/>
          <w:lang w:val="it-IT"/>
        </w:rPr>
        <w:t>contatti il Pronto Soccorso dell’ospedale più vicino per un ulteriore consiglio.</w:t>
      </w:r>
    </w:p>
    <w:p w14:paraId="7EE5B74F" w14:textId="77777777" w:rsidR="00561813" w:rsidRPr="00C9575C" w:rsidRDefault="00561813" w:rsidP="00561813">
      <w:pPr>
        <w:rPr>
          <w:b/>
          <w:lang w:val="it-IT"/>
        </w:rPr>
      </w:pPr>
    </w:p>
    <w:p w14:paraId="4DB64A42" w14:textId="77777777" w:rsidR="00561813" w:rsidRPr="00C9575C" w:rsidRDefault="00561813" w:rsidP="00561813">
      <w:pPr>
        <w:rPr>
          <w:b/>
          <w:lang w:val="it-IT"/>
        </w:rPr>
      </w:pPr>
      <w:r w:rsidRPr="00C9575C">
        <w:rPr>
          <w:b/>
          <w:lang w:val="it-IT"/>
        </w:rPr>
        <w:t>Se dimentica di prendere Kivexa</w:t>
      </w:r>
    </w:p>
    <w:p w14:paraId="654BA9DB" w14:textId="77777777" w:rsidR="00561813" w:rsidRPr="00C9575C" w:rsidRDefault="00561813" w:rsidP="00561813">
      <w:pPr>
        <w:rPr>
          <w:lang w:val="it-IT"/>
        </w:rPr>
      </w:pPr>
      <w:r w:rsidRPr="00C9575C">
        <w:rPr>
          <w:lang w:val="it-IT"/>
        </w:rPr>
        <w:t xml:space="preserve">Se dimentica di prendere una dose, la prenda il più presto possibile quando si ricorda. Poi continui il trattamento come prima. Non prenda una dose doppia per compensare la dimenticanza della dose. </w:t>
      </w:r>
    </w:p>
    <w:p w14:paraId="22C01545" w14:textId="77777777" w:rsidR="00561813" w:rsidRPr="00C9575C" w:rsidRDefault="00561813" w:rsidP="00561813">
      <w:pPr>
        <w:widowControl w:val="0"/>
        <w:rPr>
          <w:rStyle w:val="PageNumber"/>
          <w:szCs w:val="22"/>
          <w:lang w:val="it-IT"/>
        </w:rPr>
      </w:pPr>
    </w:p>
    <w:p w14:paraId="3DFCC252" w14:textId="77777777" w:rsidR="00561813" w:rsidRPr="00C9575C" w:rsidRDefault="009321FB" w:rsidP="00561813">
      <w:pPr>
        <w:widowControl w:val="0"/>
        <w:rPr>
          <w:rStyle w:val="PageNumber"/>
          <w:szCs w:val="22"/>
          <w:lang w:val="it-IT"/>
        </w:rPr>
      </w:pPr>
      <w:r w:rsidRPr="00C9575C">
        <w:rPr>
          <w:rStyle w:val="PageNumber"/>
          <w:szCs w:val="22"/>
          <w:lang w:val="it-IT"/>
        </w:rPr>
        <w:t xml:space="preserve">È </w:t>
      </w:r>
      <w:r w:rsidR="00561813" w:rsidRPr="00C9575C">
        <w:rPr>
          <w:rStyle w:val="PageNumber"/>
          <w:szCs w:val="22"/>
          <w:lang w:val="it-IT"/>
        </w:rPr>
        <w:t xml:space="preserve">importante assumere Kivexa regolarmente </w:t>
      </w:r>
      <w:r w:rsidR="004A0FBC" w:rsidRPr="00C9575C">
        <w:rPr>
          <w:rStyle w:val="PageNumber"/>
          <w:szCs w:val="22"/>
          <w:lang w:val="it-IT"/>
        </w:rPr>
        <w:t>poiché</w:t>
      </w:r>
      <w:r w:rsidR="00561813" w:rsidRPr="00C9575C">
        <w:rPr>
          <w:rStyle w:val="PageNumber"/>
          <w:szCs w:val="22"/>
          <w:lang w:val="it-IT"/>
        </w:rPr>
        <w:t xml:space="preserve"> l’assunzione ad intervalli irregolari può aumentare il rischio di avere una reazione di ipersensibilità.</w:t>
      </w:r>
    </w:p>
    <w:p w14:paraId="24B79DDB" w14:textId="77777777" w:rsidR="00561813" w:rsidRPr="00C9575C" w:rsidRDefault="00561813" w:rsidP="00561813">
      <w:pPr>
        <w:widowControl w:val="0"/>
        <w:rPr>
          <w:rStyle w:val="PageNumber"/>
          <w:szCs w:val="22"/>
          <w:lang w:val="it-IT"/>
        </w:rPr>
      </w:pPr>
    </w:p>
    <w:p w14:paraId="332F9AC6" w14:textId="77777777" w:rsidR="00561813" w:rsidRPr="00C9575C" w:rsidRDefault="00561813" w:rsidP="00561813">
      <w:pPr>
        <w:widowControl w:val="0"/>
        <w:rPr>
          <w:b/>
          <w:szCs w:val="22"/>
          <w:lang w:val="it-IT"/>
        </w:rPr>
      </w:pPr>
      <w:r w:rsidRPr="00C9575C">
        <w:rPr>
          <w:b/>
          <w:szCs w:val="22"/>
          <w:lang w:val="it-IT"/>
        </w:rPr>
        <w:t>Se ha interrotto l’assunzione di Kivexa</w:t>
      </w:r>
    </w:p>
    <w:p w14:paraId="44516AF5" w14:textId="77777777" w:rsidR="00561813" w:rsidRPr="00C9575C" w:rsidRDefault="00561813" w:rsidP="00561813">
      <w:pPr>
        <w:widowControl w:val="0"/>
        <w:rPr>
          <w:szCs w:val="22"/>
          <w:lang w:val="it-IT"/>
        </w:rPr>
      </w:pPr>
      <w:r w:rsidRPr="00C9575C">
        <w:rPr>
          <w:szCs w:val="22"/>
          <w:lang w:val="it-IT"/>
        </w:rPr>
        <w:t xml:space="preserve">Se ha interrotto l’assunzione di Kivexa per qualsiasi ragione - in particolare perché riteneva di avere effetti indesiderati o </w:t>
      </w:r>
      <w:r w:rsidR="003575F8" w:rsidRPr="00C9575C">
        <w:rPr>
          <w:szCs w:val="22"/>
          <w:lang w:val="it-IT"/>
        </w:rPr>
        <w:t xml:space="preserve">perché aveva </w:t>
      </w:r>
      <w:r w:rsidRPr="00C9575C">
        <w:rPr>
          <w:szCs w:val="22"/>
          <w:lang w:val="it-IT"/>
        </w:rPr>
        <w:t>altre malattie:</w:t>
      </w:r>
    </w:p>
    <w:p w14:paraId="0281085B" w14:textId="115F6E77" w:rsidR="00561813" w:rsidRPr="00C9575C" w:rsidRDefault="00561813" w:rsidP="00D96C72">
      <w:pPr>
        <w:pStyle w:val="Action"/>
        <w:tabs>
          <w:tab w:val="clear" w:pos="284"/>
          <w:tab w:val="left" w:pos="426"/>
        </w:tabs>
        <w:spacing w:before="0" w:line="240" w:lineRule="auto"/>
        <w:ind w:left="426"/>
        <w:rPr>
          <w:szCs w:val="22"/>
        </w:rPr>
      </w:pPr>
      <w:r w:rsidRPr="00C9575C">
        <w:rPr>
          <w:b/>
        </w:rPr>
        <w:t>p</w:t>
      </w:r>
      <w:r w:rsidRPr="00C9575C">
        <w:rPr>
          <w:b/>
          <w:szCs w:val="22"/>
        </w:rPr>
        <w:t>arli con il medico prima di iniziare ad assumerlo di nuovo.</w:t>
      </w:r>
      <w:r w:rsidRPr="00C9575C">
        <w:rPr>
          <w:szCs w:val="22"/>
        </w:rPr>
        <w:t xml:space="preserve"> Il medico controllerà se i sintomi erano correlati ad una reazione di ipersensibilità. Qualora il medico ritenga che questi sintomi possano essere stati correlati ad una reazione di ipersensibilità, </w:t>
      </w:r>
      <w:r w:rsidRPr="00C9575C">
        <w:rPr>
          <w:b/>
          <w:szCs w:val="22"/>
        </w:rPr>
        <w:t>le verrà detto di non assumere mai più Kivexa o qualsiasi altro medicinale contenente abacavir (ad esempio Trizivir</w:t>
      </w:r>
      <w:r w:rsidR="00520945" w:rsidRPr="00C9575C">
        <w:rPr>
          <w:b/>
          <w:szCs w:val="22"/>
        </w:rPr>
        <w:t>, Triumeq</w:t>
      </w:r>
      <w:r w:rsidRPr="00C9575C">
        <w:rPr>
          <w:b/>
          <w:szCs w:val="22"/>
        </w:rPr>
        <w:t xml:space="preserve"> o Ziagen)</w:t>
      </w:r>
      <w:r w:rsidRPr="00C9575C">
        <w:rPr>
          <w:szCs w:val="22"/>
        </w:rPr>
        <w:t xml:space="preserve">. </w:t>
      </w:r>
      <w:r w:rsidR="002D3D0F">
        <w:rPr>
          <w:szCs w:val="22"/>
        </w:rPr>
        <w:t xml:space="preserve">È </w:t>
      </w:r>
      <w:r w:rsidRPr="00C9575C">
        <w:rPr>
          <w:szCs w:val="22"/>
        </w:rPr>
        <w:t>importante che segua questo consiglio.</w:t>
      </w:r>
    </w:p>
    <w:p w14:paraId="2B2A4C3F" w14:textId="77777777" w:rsidR="00561813" w:rsidRPr="00C9575C" w:rsidRDefault="00561813" w:rsidP="00561813">
      <w:pPr>
        <w:widowControl w:val="0"/>
        <w:tabs>
          <w:tab w:val="left" w:pos="284"/>
        </w:tabs>
        <w:rPr>
          <w:szCs w:val="22"/>
          <w:lang w:val="it-IT"/>
        </w:rPr>
      </w:pPr>
    </w:p>
    <w:p w14:paraId="10BBE7C8" w14:textId="77777777" w:rsidR="00561813" w:rsidRPr="00C9575C" w:rsidRDefault="00561813" w:rsidP="00561813">
      <w:pPr>
        <w:widowControl w:val="0"/>
        <w:suppressAutoHyphens/>
        <w:adjustRightInd w:val="0"/>
        <w:jc w:val="both"/>
        <w:textAlignment w:val="baseline"/>
        <w:rPr>
          <w:szCs w:val="22"/>
          <w:lang w:val="it-IT"/>
        </w:rPr>
      </w:pPr>
      <w:r w:rsidRPr="00C9575C">
        <w:rPr>
          <w:lang w:val="it-IT"/>
        </w:rPr>
        <w:t>Se il medico consiglia di iniziare ad assumere di nuovo Kivexa, l</w:t>
      </w:r>
      <w:r w:rsidRPr="00C9575C">
        <w:rPr>
          <w:szCs w:val="22"/>
          <w:lang w:val="it-IT"/>
        </w:rPr>
        <w:t>e verrà chiesto di prendere le prime dosi in un luogo dove sarà in grado di ricevere, se necessario, un soccorso medico.</w:t>
      </w:r>
    </w:p>
    <w:p w14:paraId="13B79470" w14:textId="77777777" w:rsidR="00561813" w:rsidRPr="00C9575C" w:rsidRDefault="00561813" w:rsidP="00561813">
      <w:pPr>
        <w:widowControl w:val="0"/>
        <w:numPr>
          <w:ilvl w:val="12"/>
          <w:numId w:val="0"/>
        </w:numPr>
        <w:tabs>
          <w:tab w:val="left" w:pos="567"/>
        </w:tabs>
        <w:rPr>
          <w:b/>
          <w:szCs w:val="22"/>
          <w:lang w:val="it-IT"/>
        </w:rPr>
      </w:pPr>
    </w:p>
    <w:p w14:paraId="04C649AF" w14:textId="77777777" w:rsidR="00561813" w:rsidRPr="00C9575C" w:rsidRDefault="00561813" w:rsidP="00561813">
      <w:pPr>
        <w:widowControl w:val="0"/>
        <w:rPr>
          <w:szCs w:val="22"/>
          <w:lang w:val="it-IT"/>
        </w:rPr>
      </w:pPr>
    </w:p>
    <w:p w14:paraId="46056C81" w14:textId="77777777" w:rsidR="00561813" w:rsidRPr="00C9575C" w:rsidRDefault="00FA54E8" w:rsidP="005B214A">
      <w:pPr>
        <w:widowControl w:val="0"/>
        <w:numPr>
          <w:ilvl w:val="0"/>
          <w:numId w:val="4"/>
        </w:numPr>
        <w:tabs>
          <w:tab w:val="left" w:pos="567"/>
        </w:tabs>
        <w:ind w:left="567" w:hanging="567"/>
        <w:rPr>
          <w:b/>
          <w:szCs w:val="22"/>
          <w:lang w:val="it-IT"/>
        </w:rPr>
      </w:pPr>
      <w:r w:rsidRPr="00C9575C">
        <w:rPr>
          <w:b/>
          <w:szCs w:val="22"/>
          <w:lang w:val="it-IT"/>
        </w:rPr>
        <w:t>Possibili effetti indesiderati</w:t>
      </w:r>
    </w:p>
    <w:p w14:paraId="592077F7" w14:textId="77777777" w:rsidR="00561813" w:rsidRPr="00C9575C" w:rsidRDefault="00561813" w:rsidP="00561813">
      <w:pPr>
        <w:widowControl w:val="0"/>
        <w:tabs>
          <w:tab w:val="left" w:pos="567"/>
        </w:tabs>
        <w:rPr>
          <w:b/>
          <w:szCs w:val="22"/>
          <w:lang w:val="it-IT"/>
        </w:rPr>
      </w:pPr>
    </w:p>
    <w:p w14:paraId="4DA7162C" w14:textId="77777777" w:rsidR="00876811" w:rsidRPr="00C9575C" w:rsidRDefault="00876811" w:rsidP="00876811">
      <w:pPr>
        <w:rPr>
          <w:lang w:val="it-IT"/>
        </w:rPr>
      </w:pPr>
      <w:r w:rsidRPr="00C9575C">
        <w:rPr>
          <w:lang w:val="it-IT"/>
        </w:rPr>
        <w:t xml:space="preserve">Durante la terapia per l’HIV si può verificare un aumento del peso e dei livelli dei lipidi e del glucosio nel sangue. Questo è in parte legato al ristabilirsi </w:t>
      </w:r>
      <w:r w:rsidR="00970A6C" w:rsidRPr="00C9575C">
        <w:rPr>
          <w:lang w:val="it-IT"/>
        </w:rPr>
        <w:t>dello stato di</w:t>
      </w:r>
      <w:r w:rsidRPr="00C9575C">
        <w:rPr>
          <w:lang w:val="it-IT"/>
        </w:rPr>
        <w:t xml:space="preserve"> salute e allo stile di vita e nel caso dei lipidi del sangue, talvolta agli stessi medicinali contro l’HIV. Il medico verificherà questi cambiamenti.</w:t>
      </w:r>
    </w:p>
    <w:p w14:paraId="1E0A6EDA" w14:textId="77777777" w:rsidR="00876811" w:rsidRPr="00C9575C" w:rsidRDefault="00876811" w:rsidP="00561813">
      <w:pPr>
        <w:widowControl w:val="0"/>
        <w:tabs>
          <w:tab w:val="left" w:pos="567"/>
        </w:tabs>
        <w:rPr>
          <w:b/>
          <w:szCs w:val="22"/>
          <w:lang w:val="it-IT"/>
        </w:rPr>
      </w:pPr>
    </w:p>
    <w:p w14:paraId="114B6502" w14:textId="77777777" w:rsidR="00561813" w:rsidRPr="00C9575C" w:rsidRDefault="00561813" w:rsidP="00561813">
      <w:pPr>
        <w:widowControl w:val="0"/>
        <w:tabs>
          <w:tab w:val="left" w:pos="567"/>
        </w:tabs>
        <w:rPr>
          <w:szCs w:val="22"/>
          <w:lang w:val="it-IT"/>
        </w:rPr>
      </w:pPr>
      <w:r w:rsidRPr="00C9575C">
        <w:rPr>
          <w:szCs w:val="22"/>
          <w:lang w:val="it-IT"/>
        </w:rPr>
        <w:t xml:space="preserve">Come tutti i medicinali, </w:t>
      </w:r>
      <w:r w:rsidR="00FA54E8" w:rsidRPr="00C9575C">
        <w:rPr>
          <w:szCs w:val="22"/>
          <w:lang w:val="it-IT"/>
        </w:rPr>
        <w:t xml:space="preserve">questo medicinale </w:t>
      </w:r>
      <w:r w:rsidRPr="00C9575C">
        <w:rPr>
          <w:szCs w:val="22"/>
          <w:lang w:val="it-IT"/>
        </w:rPr>
        <w:t xml:space="preserve">può causare effetti indesiderati sebbene non tutte le persone li manifestino. </w:t>
      </w:r>
    </w:p>
    <w:p w14:paraId="146EBFF7" w14:textId="77777777" w:rsidR="00561813" w:rsidRPr="00C9575C" w:rsidRDefault="00561813" w:rsidP="00561813">
      <w:pPr>
        <w:widowControl w:val="0"/>
        <w:tabs>
          <w:tab w:val="left" w:pos="567"/>
        </w:tabs>
        <w:rPr>
          <w:szCs w:val="22"/>
          <w:lang w:val="it-IT"/>
        </w:rPr>
      </w:pPr>
    </w:p>
    <w:p w14:paraId="77C73015" w14:textId="77777777" w:rsidR="00561813" w:rsidRPr="00C9575C" w:rsidRDefault="00561813" w:rsidP="00561813">
      <w:pPr>
        <w:keepNext/>
        <w:rPr>
          <w:b/>
          <w:lang w:val="it-IT"/>
        </w:rPr>
      </w:pPr>
      <w:r w:rsidRPr="00C9575C">
        <w:rPr>
          <w:lang w:val="it-IT"/>
        </w:rPr>
        <w:t xml:space="preserve">Durante il trattamento dell’HIV, può essere difficile dire se un sintomo sia un effetto indesiderato di Kivexa o di altri medicinali che sta assumendo, o un effetto della stessa malattia da HIV. </w:t>
      </w:r>
      <w:r w:rsidRPr="00C9575C">
        <w:rPr>
          <w:b/>
          <w:lang w:val="it-IT"/>
        </w:rPr>
        <w:t>Per questo motivo è molto importante informare il medico su ogni eventuale cambiamento dello stato di salute.</w:t>
      </w:r>
    </w:p>
    <w:p w14:paraId="2F8C8F2A" w14:textId="77777777" w:rsidR="009321FB" w:rsidRPr="00C9575C" w:rsidRDefault="009321FB" w:rsidP="00520945">
      <w:pPr>
        <w:pStyle w:val="ListParagraph"/>
        <w:widowControl w:val="0"/>
        <w:tabs>
          <w:tab w:val="left" w:pos="284"/>
        </w:tabs>
        <w:suppressAutoHyphens/>
        <w:adjustRightInd w:val="0"/>
        <w:spacing w:after="0" w:line="240" w:lineRule="auto"/>
        <w:ind w:left="284"/>
        <w:textAlignment w:val="baseline"/>
        <w:rPr>
          <w:rFonts w:ascii="Times New Roman" w:eastAsia="Times New Roman" w:hAnsi="Times New Roman"/>
          <w:lang w:val="it-IT"/>
        </w:rPr>
      </w:pPr>
    </w:p>
    <w:p w14:paraId="3E5D09B6" w14:textId="64E83C19" w:rsidR="007E6504" w:rsidRPr="00C9575C" w:rsidRDefault="00520945" w:rsidP="00520945">
      <w:pPr>
        <w:pStyle w:val="ListParagraph"/>
        <w:widowControl w:val="0"/>
        <w:tabs>
          <w:tab w:val="left" w:pos="284"/>
        </w:tabs>
        <w:suppressAutoHyphens/>
        <w:adjustRightInd w:val="0"/>
        <w:spacing w:after="0" w:line="240" w:lineRule="auto"/>
        <w:ind w:left="284"/>
        <w:textAlignment w:val="baseline"/>
        <w:rPr>
          <w:rFonts w:ascii="Times New Roman" w:eastAsia="Times New Roman" w:hAnsi="Times New Roman"/>
          <w:lang w:val="it-IT"/>
        </w:rPr>
      </w:pPr>
      <w:r w:rsidRPr="00C9575C">
        <w:rPr>
          <w:rFonts w:ascii="Times New Roman" w:eastAsia="Times New Roman" w:hAnsi="Times New Roman"/>
          <w:lang w:val="it-IT"/>
        </w:rPr>
        <w:t>Anche pazienti che non hanno il gene HLA-B*5701 possono ancora sviluppare</w:t>
      </w:r>
      <w:r w:rsidRPr="00C9575C">
        <w:rPr>
          <w:rFonts w:ascii="Times New Roman" w:eastAsia="Times New Roman" w:hAnsi="Times New Roman"/>
          <w:b/>
          <w:lang w:val="it-IT"/>
        </w:rPr>
        <w:t xml:space="preserve"> una reazione di ipersensibilità</w:t>
      </w:r>
      <w:r w:rsidRPr="00C9575C">
        <w:rPr>
          <w:rFonts w:ascii="Times New Roman" w:eastAsia="Times New Roman" w:hAnsi="Times New Roman"/>
          <w:lang w:val="it-IT"/>
        </w:rPr>
        <w:t xml:space="preserve"> (una grave reazione allergica), descritta in questo foglio in una sezione intitolata ‘Reazioni di ipersensibilità’. </w:t>
      </w:r>
    </w:p>
    <w:p w14:paraId="124A6196" w14:textId="77777777" w:rsidR="009321FB" w:rsidRPr="00C9575C" w:rsidRDefault="009321FB" w:rsidP="00520945">
      <w:pPr>
        <w:pStyle w:val="ListParagraph"/>
        <w:widowControl w:val="0"/>
        <w:tabs>
          <w:tab w:val="left" w:pos="284"/>
        </w:tabs>
        <w:suppressAutoHyphens/>
        <w:adjustRightInd w:val="0"/>
        <w:spacing w:after="0" w:line="240" w:lineRule="auto"/>
        <w:ind w:left="284"/>
        <w:textAlignment w:val="baseline"/>
        <w:rPr>
          <w:rFonts w:ascii="Times New Roman" w:eastAsia="Times New Roman" w:hAnsi="Times New Roman"/>
          <w:lang w:val="it-IT"/>
        </w:rPr>
      </w:pPr>
    </w:p>
    <w:p w14:paraId="4A8E827F" w14:textId="77777777" w:rsidR="00520945" w:rsidRPr="00C9575C" w:rsidRDefault="003356ED" w:rsidP="00520945">
      <w:pPr>
        <w:pStyle w:val="ListParagraph"/>
        <w:widowControl w:val="0"/>
        <w:tabs>
          <w:tab w:val="left" w:pos="284"/>
        </w:tabs>
        <w:suppressAutoHyphens/>
        <w:adjustRightInd w:val="0"/>
        <w:spacing w:after="0" w:line="240" w:lineRule="auto"/>
        <w:ind w:left="284"/>
        <w:textAlignment w:val="baseline"/>
        <w:rPr>
          <w:rFonts w:ascii="Times New Roman" w:eastAsia="Times New Roman" w:hAnsi="Times New Roman"/>
          <w:b/>
          <w:lang w:val="it-IT"/>
        </w:rPr>
      </w:pPr>
      <w:r>
        <w:rPr>
          <w:rFonts w:ascii="Times New Roman" w:eastAsia="Times New Roman" w:hAnsi="Times New Roman"/>
          <w:b/>
          <w:lang w:val="it-IT"/>
        </w:rPr>
        <w:t xml:space="preserve">È </w:t>
      </w:r>
      <w:r w:rsidR="00520945" w:rsidRPr="00C9575C">
        <w:rPr>
          <w:rFonts w:ascii="Times New Roman" w:eastAsia="Times New Roman" w:hAnsi="Times New Roman"/>
          <w:b/>
          <w:lang w:val="it-IT"/>
        </w:rPr>
        <w:t>molto importante leggere e comprendere le informazioni su tale grave reazione.</w:t>
      </w:r>
    </w:p>
    <w:p w14:paraId="58311528" w14:textId="77777777" w:rsidR="00561813" w:rsidRPr="00C9575C" w:rsidRDefault="00561813" w:rsidP="00561813">
      <w:pPr>
        <w:widowControl w:val="0"/>
        <w:tabs>
          <w:tab w:val="left" w:pos="426"/>
        </w:tabs>
        <w:suppressAutoHyphens/>
        <w:adjustRightInd w:val="0"/>
        <w:jc w:val="both"/>
        <w:textAlignment w:val="baseline"/>
        <w:rPr>
          <w:b/>
          <w:szCs w:val="22"/>
          <w:lang w:val="it-IT"/>
        </w:rPr>
      </w:pPr>
    </w:p>
    <w:p w14:paraId="6E058342" w14:textId="115F9026" w:rsidR="00561813" w:rsidRDefault="00561813" w:rsidP="00561813">
      <w:pPr>
        <w:widowControl w:val="0"/>
        <w:suppressAutoHyphens/>
        <w:adjustRightInd w:val="0"/>
        <w:jc w:val="both"/>
        <w:textAlignment w:val="baseline"/>
        <w:rPr>
          <w:lang w:val="it-IT"/>
        </w:rPr>
      </w:pPr>
      <w:r w:rsidRPr="00C9575C">
        <w:rPr>
          <w:lang w:val="it-IT"/>
        </w:rPr>
        <w:t xml:space="preserve">Durante la terapia di combinazione per l’HIV, si possono manifestare </w:t>
      </w:r>
      <w:r w:rsidRPr="00C9575C">
        <w:rPr>
          <w:b/>
          <w:lang w:val="it-IT"/>
        </w:rPr>
        <w:t>sia gli effetti indesiderati elencati di seguito per Kivexa</w:t>
      </w:r>
      <w:r w:rsidRPr="00C9575C">
        <w:rPr>
          <w:lang w:val="it-IT"/>
        </w:rPr>
        <w:t xml:space="preserve"> sia altre malattie.</w:t>
      </w:r>
    </w:p>
    <w:p w14:paraId="1A29BCA0" w14:textId="77777777" w:rsidR="00AD5483" w:rsidRPr="00C9575C" w:rsidRDefault="00AD5483" w:rsidP="00561813">
      <w:pPr>
        <w:widowControl w:val="0"/>
        <w:suppressAutoHyphens/>
        <w:adjustRightInd w:val="0"/>
        <w:jc w:val="both"/>
        <w:textAlignment w:val="baseline"/>
        <w:rPr>
          <w:lang w:val="it-IT"/>
        </w:rPr>
      </w:pPr>
    </w:p>
    <w:p w14:paraId="6489721C" w14:textId="632C00DB" w:rsidR="00AD5483" w:rsidRDefault="00D84D90" w:rsidP="00D96C72">
      <w:pPr>
        <w:pStyle w:val="Action"/>
        <w:tabs>
          <w:tab w:val="clear" w:pos="567"/>
        </w:tabs>
        <w:spacing w:before="0" w:line="240" w:lineRule="auto"/>
        <w:ind w:left="284"/>
        <w:rPr>
          <w:szCs w:val="22"/>
        </w:rPr>
      </w:pPr>
      <w:r w:rsidRPr="00C9575C">
        <w:t xml:space="preserve">È </w:t>
      </w:r>
      <w:r w:rsidR="00561813" w:rsidRPr="00C9575C">
        <w:t>importante leggere le informazioni in un’altra parte di questo foglio sotto ‘</w:t>
      </w:r>
      <w:r w:rsidR="00561813" w:rsidRPr="00C9575C">
        <w:rPr>
          <w:szCs w:val="22"/>
        </w:rPr>
        <w:t>Altri possibili effetti indesiderati della ter</w:t>
      </w:r>
      <w:r w:rsidR="00753B6F" w:rsidRPr="00C9575C">
        <w:rPr>
          <w:szCs w:val="22"/>
        </w:rPr>
        <w:t>apia di combinazione per l’HIV’.</w:t>
      </w:r>
    </w:p>
    <w:p w14:paraId="2A29C8EC" w14:textId="77777777" w:rsidR="00AD5483" w:rsidRDefault="00AD5483">
      <w:pPr>
        <w:rPr>
          <w:szCs w:val="22"/>
          <w:lang w:val="it-IT" w:eastAsia="en-GB"/>
        </w:rPr>
      </w:pPr>
      <w:r>
        <w:rPr>
          <w:szCs w:val="22"/>
        </w:rPr>
        <w:br w:type="page"/>
      </w:r>
    </w:p>
    <w:p w14:paraId="07EB952F" w14:textId="77777777" w:rsidR="00520945" w:rsidRPr="00C9575C" w:rsidRDefault="00561813" w:rsidP="00D524A1">
      <w:pPr>
        <w:widowControl w:val="0"/>
        <w:pBdr>
          <w:top w:val="single" w:sz="4" w:space="1" w:color="auto"/>
          <w:left w:val="single" w:sz="4" w:space="4" w:color="auto"/>
          <w:bottom w:val="single" w:sz="4" w:space="1" w:color="auto"/>
          <w:right w:val="single" w:sz="4" w:space="4" w:color="auto"/>
        </w:pBdr>
        <w:rPr>
          <w:b/>
          <w:szCs w:val="22"/>
          <w:lang w:val="it-IT"/>
        </w:rPr>
      </w:pPr>
      <w:r w:rsidRPr="00C9575C">
        <w:rPr>
          <w:b/>
          <w:szCs w:val="22"/>
          <w:lang w:val="it-IT"/>
        </w:rPr>
        <w:lastRenderedPageBreak/>
        <w:t xml:space="preserve">Reazioni di ipersensibilità </w:t>
      </w:r>
    </w:p>
    <w:p w14:paraId="73C6ECF6" w14:textId="77777777" w:rsidR="00520945" w:rsidRPr="00C9575C" w:rsidRDefault="00520945" w:rsidP="00D524A1">
      <w:pPr>
        <w:widowControl w:val="0"/>
        <w:pBdr>
          <w:top w:val="single" w:sz="4" w:space="1" w:color="auto"/>
          <w:left w:val="single" w:sz="4" w:space="4" w:color="auto"/>
          <w:bottom w:val="single" w:sz="4" w:space="1" w:color="auto"/>
          <w:right w:val="single" w:sz="4" w:space="4" w:color="auto"/>
        </w:pBdr>
        <w:rPr>
          <w:b/>
          <w:szCs w:val="22"/>
          <w:lang w:val="it-IT"/>
        </w:rPr>
      </w:pPr>
    </w:p>
    <w:p w14:paraId="317D7EBF" w14:textId="77777777" w:rsidR="00D92B6E" w:rsidRPr="00C9575C" w:rsidRDefault="00561813" w:rsidP="00D524A1">
      <w:pPr>
        <w:widowControl w:val="0"/>
        <w:pBdr>
          <w:top w:val="single" w:sz="4" w:space="1" w:color="auto"/>
          <w:left w:val="single" w:sz="4" w:space="4" w:color="auto"/>
          <w:bottom w:val="single" w:sz="4" w:space="1" w:color="auto"/>
          <w:right w:val="single" w:sz="4" w:space="4" w:color="auto"/>
        </w:pBdr>
        <w:rPr>
          <w:szCs w:val="22"/>
          <w:lang w:val="it-IT"/>
        </w:rPr>
      </w:pPr>
      <w:r w:rsidRPr="00C9575C">
        <w:rPr>
          <w:b/>
          <w:szCs w:val="22"/>
          <w:lang w:val="it-IT"/>
        </w:rPr>
        <w:t xml:space="preserve">Kivexa </w:t>
      </w:r>
      <w:r w:rsidRPr="00C9575C">
        <w:rPr>
          <w:szCs w:val="22"/>
          <w:lang w:val="it-IT"/>
        </w:rPr>
        <w:t xml:space="preserve">contiene </w:t>
      </w:r>
      <w:r w:rsidRPr="00C9575C">
        <w:rPr>
          <w:b/>
          <w:szCs w:val="22"/>
          <w:lang w:val="it-IT"/>
        </w:rPr>
        <w:t xml:space="preserve">abacavir </w:t>
      </w:r>
      <w:r w:rsidRPr="00C9575C">
        <w:rPr>
          <w:szCs w:val="22"/>
          <w:lang w:val="it-IT"/>
        </w:rPr>
        <w:t xml:space="preserve">(che è anche il principio attivo contenuto </w:t>
      </w:r>
      <w:r w:rsidR="00DF6175" w:rsidRPr="00C9575C">
        <w:rPr>
          <w:szCs w:val="22"/>
          <w:lang w:val="it-IT"/>
        </w:rPr>
        <w:t xml:space="preserve">nei medicinali come </w:t>
      </w:r>
      <w:r w:rsidRPr="00C9575C">
        <w:rPr>
          <w:b/>
          <w:szCs w:val="22"/>
          <w:lang w:val="it-IT"/>
        </w:rPr>
        <w:t>Trizivir</w:t>
      </w:r>
      <w:r w:rsidR="008552A6" w:rsidRPr="00C9575C">
        <w:rPr>
          <w:b/>
          <w:szCs w:val="22"/>
          <w:lang w:val="it-IT"/>
        </w:rPr>
        <w:t>, Triumeq</w:t>
      </w:r>
      <w:r w:rsidRPr="00C9575C">
        <w:rPr>
          <w:b/>
          <w:szCs w:val="22"/>
          <w:lang w:val="it-IT"/>
        </w:rPr>
        <w:t xml:space="preserve"> </w:t>
      </w:r>
      <w:r w:rsidRPr="00C9575C">
        <w:rPr>
          <w:szCs w:val="22"/>
          <w:lang w:val="it-IT"/>
        </w:rPr>
        <w:t>e</w:t>
      </w:r>
      <w:r w:rsidRPr="00C9575C">
        <w:rPr>
          <w:b/>
          <w:szCs w:val="22"/>
          <w:lang w:val="it-IT"/>
        </w:rPr>
        <w:t xml:space="preserve"> Ziagen</w:t>
      </w:r>
      <w:r w:rsidRPr="00C9575C">
        <w:rPr>
          <w:szCs w:val="22"/>
          <w:lang w:val="it-IT"/>
        </w:rPr>
        <w:t>).</w:t>
      </w:r>
      <w:r w:rsidR="00520945" w:rsidRPr="00C9575C">
        <w:rPr>
          <w:szCs w:val="22"/>
          <w:lang w:val="it-IT"/>
        </w:rPr>
        <w:t xml:space="preserve"> Abacavir può causare una grave reazione allergica nota come reazione di ipersensibilità.</w:t>
      </w:r>
      <w:r w:rsidR="009669D2" w:rsidRPr="00C9575C">
        <w:rPr>
          <w:szCs w:val="22"/>
          <w:lang w:val="it-IT"/>
        </w:rPr>
        <w:t xml:space="preserve"> </w:t>
      </w:r>
      <w:r w:rsidR="00520945" w:rsidRPr="00C9575C">
        <w:rPr>
          <w:szCs w:val="22"/>
          <w:lang w:val="it-IT"/>
        </w:rPr>
        <w:t>Queste reazioni di ipersensibilità si sono osservate più frequentemente nelle persone che assumono medicinali che contengono abaca</w:t>
      </w:r>
      <w:r w:rsidR="009669D2" w:rsidRPr="00C9575C">
        <w:rPr>
          <w:szCs w:val="22"/>
          <w:lang w:val="it-IT"/>
        </w:rPr>
        <w:t>vir.</w:t>
      </w:r>
    </w:p>
    <w:p w14:paraId="36743616" w14:textId="77777777" w:rsidR="00D524A1" w:rsidRPr="00C9575C" w:rsidRDefault="00D524A1" w:rsidP="00D524A1">
      <w:pPr>
        <w:widowControl w:val="0"/>
        <w:pBdr>
          <w:top w:val="single" w:sz="4" w:space="1" w:color="auto"/>
          <w:left w:val="single" w:sz="4" w:space="4" w:color="auto"/>
          <w:bottom w:val="single" w:sz="4" w:space="1" w:color="auto"/>
          <w:right w:val="single" w:sz="4" w:space="4" w:color="auto"/>
        </w:pBdr>
        <w:rPr>
          <w:szCs w:val="22"/>
          <w:lang w:val="it-IT"/>
        </w:rPr>
      </w:pPr>
    </w:p>
    <w:p w14:paraId="234BB586"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spacing w:after="120"/>
        <w:rPr>
          <w:b/>
          <w:szCs w:val="22"/>
          <w:lang w:val="it-IT"/>
        </w:rPr>
      </w:pPr>
      <w:r w:rsidRPr="00C9575C">
        <w:rPr>
          <w:b/>
          <w:szCs w:val="22"/>
          <w:lang w:val="it-IT"/>
        </w:rPr>
        <w:t xml:space="preserve">Chi va incontro a queste reazioni? </w:t>
      </w:r>
    </w:p>
    <w:p w14:paraId="2A7F8CC1"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spacing w:after="120"/>
        <w:rPr>
          <w:szCs w:val="22"/>
          <w:lang w:val="it-IT"/>
        </w:rPr>
      </w:pPr>
      <w:r w:rsidRPr="00C9575C">
        <w:rPr>
          <w:szCs w:val="22"/>
          <w:lang w:val="it-IT"/>
        </w:rPr>
        <w:t>Qualsiasi persona che assume Kivexa potrebbe sviluppare una reazione di ipersensibilità ad abacavir che potrebbe essere pericolosa per la vita se Kivexa continua ad essere assunto.</w:t>
      </w:r>
    </w:p>
    <w:p w14:paraId="7A478EFE" w14:textId="77777777" w:rsidR="00561813" w:rsidRPr="00C9575C" w:rsidRDefault="009321FB" w:rsidP="00D524A1">
      <w:pPr>
        <w:widowControl w:val="0"/>
        <w:pBdr>
          <w:top w:val="single" w:sz="4" w:space="1" w:color="auto"/>
          <w:left w:val="single" w:sz="4" w:space="4" w:color="auto"/>
          <w:bottom w:val="single" w:sz="4" w:space="1" w:color="auto"/>
          <w:right w:val="single" w:sz="4" w:space="4" w:color="auto"/>
        </w:pBdr>
        <w:rPr>
          <w:b/>
          <w:szCs w:val="22"/>
          <w:lang w:val="it-IT"/>
        </w:rPr>
      </w:pPr>
      <w:r w:rsidRPr="00C9575C">
        <w:rPr>
          <w:szCs w:val="22"/>
          <w:lang w:val="it-IT"/>
        </w:rPr>
        <w:t xml:space="preserve">È </w:t>
      </w:r>
      <w:r w:rsidR="00561813" w:rsidRPr="00C9575C">
        <w:rPr>
          <w:szCs w:val="22"/>
          <w:lang w:val="it-IT"/>
        </w:rPr>
        <w:t xml:space="preserve">più probabile che sviluppi tale reazione se possiede un gene chiamato </w:t>
      </w:r>
      <w:r w:rsidR="00561813" w:rsidRPr="00C9575C">
        <w:rPr>
          <w:b/>
          <w:szCs w:val="22"/>
          <w:lang w:val="it-IT"/>
        </w:rPr>
        <w:t>HLA-B*5701</w:t>
      </w:r>
      <w:r w:rsidR="00561813" w:rsidRPr="00C9575C">
        <w:rPr>
          <w:szCs w:val="22"/>
          <w:lang w:val="it-IT"/>
        </w:rPr>
        <w:t xml:space="preserve"> (ma può andare incontro a tale reazione anche se non ha questo tipo di gene). Le dovrà essere fatto un test per rilevare la presenza di questo gene prima che le venga prescritto Kivexa. </w:t>
      </w:r>
      <w:r w:rsidR="00561813" w:rsidRPr="00C9575C">
        <w:rPr>
          <w:b/>
          <w:szCs w:val="22"/>
          <w:lang w:val="it-IT"/>
        </w:rPr>
        <w:t>Se sa di avere questo tipo di gene, informi il medico prima di assumere Kivexa.</w:t>
      </w:r>
    </w:p>
    <w:p w14:paraId="2645A009" w14:textId="77777777" w:rsidR="009669D2" w:rsidRPr="00C9575C" w:rsidRDefault="009669D2" w:rsidP="00D524A1">
      <w:pPr>
        <w:widowControl w:val="0"/>
        <w:pBdr>
          <w:top w:val="single" w:sz="4" w:space="1" w:color="auto"/>
          <w:left w:val="single" w:sz="4" w:space="4" w:color="auto"/>
          <w:bottom w:val="single" w:sz="4" w:space="1" w:color="auto"/>
          <w:right w:val="single" w:sz="4" w:space="4" w:color="auto"/>
        </w:pBdr>
        <w:rPr>
          <w:szCs w:val="22"/>
          <w:lang w:val="it-IT"/>
        </w:rPr>
      </w:pPr>
    </w:p>
    <w:p w14:paraId="58193330" w14:textId="06FC6C00" w:rsidR="00561813" w:rsidRPr="00C9575C" w:rsidRDefault="009669D2" w:rsidP="00D524A1">
      <w:pPr>
        <w:widowControl w:val="0"/>
        <w:pBdr>
          <w:top w:val="single" w:sz="4" w:space="1" w:color="auto"/>
          <w:left w:val="single" w:sz="4" w:space="4" w:color="auto"/>
          <w:bottom w:val="single" w:sz="4" w:space="1" w:color="auto"/>
          <w:right w:val="single" w:sz="4" w:space="4" w:color="auto"/>
        </w:pBdr>
        <w:rPr>
          <w:szCs w:val="22"/>
          <w:lang w:val="it-IT"/>
        </w:rPr>
      </w:pPr>
      <w:r w:rsidRPr="00C9575C">
        <w:rPr>
          <w:szCs w:val="22"/>
          <w:lang w:val="it-IT"/>
        </w:rPr>
        <w:t>In uno studio clinico, su 100</w:t>
      </w:r>
      <w:r w:rsidR="00AD5483">
        <w:rPr>
          <w:szCs w:val="22"/>
          <w:lang w:val="it-IT"/>
        </w:rPr>
        <w:t> </w:t>
      </w:r>
      <w:r w:rsidRPr="00C9575C">
        <w:rPr>
          <w:szCs w:val="22"/>
          <w:lang w:val="it-IT"/>
        </w:rPr>
        <w:t>pazienti trattati con abacavir che non avevano il gene chiamato HLA-B*5701, da 3 a 4 pazienti circa sono andati incontro ad una reazione di ipersensibilità.</w:t>
      </w:r>
    </w:p>
    <w:p w14:paraId="59CDA1EF" w14:textId="77777777" w:rsidR="009669D2" w:rsidRPr="00C9575C" w:rsidRDefault="009669D2" w:rsidP="00D524A1">
      <w:pPr>
        <w:widowControl w:val="0"/>
        <w:pBdr>
          <w:top w:val="single" w:sz="4" w:space="1" w:color="auto"/>
          <w:left w:val="single" w:sz="4" w:space="4" w:color="auto"/>
          <w:bottom w:val="single" w:sz="4" w:space="1" w:color="auto"/>
          <w:right w:val="single" w:sz="4" w:space="4" w:color="auto"/>
        </w:pBdr>
        <w:rPr>
          <w:szCs w:val="22"/>
          <w:lang w:val="it-IT"/>
        </w:rPr>
      </w:pPr>
    </w:p>
    <w:p w14:paraId="40CA4470"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spacing w:after="120"/>
        <w:rPr>
          <w:b/>
          <w:szCs w:val="22"/>
          <w:lang w:val="it-IT"/>
        </w:rPr>
      </w:pPr>
      <w:r w:rsidRPr="00C9575C">
        <w:rPr>
          <w:b/>
          <w:szCs w:val="22"/>
          <w:lang w:val="it-IT"/>
        </w:rPr>
        <w:t>Quali sono i sintomi?</w:t>
      </w:r>
    </w:p>
    <w:p w14:paraId="2AB044C5"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rPr>
          <w:szCs w:val="22"/>
          <w:lang w:val="it-IT"/>
        </w:rPr>
      </w:pPr>
      <w:r w:rsidRPr="00C9575C">
        <w:rPr>
          <w:szCs w:val="22"/>
          <w:lang w:val="it-IT"/>
        </w:rPr>
        <w:t>I sintomi più comuni sono:</w:t>
      </w:r>
    </w:p>
    <w:p w14:paraId="474B095D" w14:textId="77777777" w:rsidR="00561813" w:rsidRPr="00C9575C" w:rsidRDefault="00561813" w:rsidP="00721816">
      <w:pPr>
        <w:widowControl w:val="0"/>
        <w:numPr>
          <w:ilvl w:val="0"/>
          <w:numId w:val="9"/>
        </w:numPr>
        <w:pBdr>
          <w:top w:val="single" w:sz="4" w:space="1" w:color="auto"/>
          <w:left w:val="single" w:sz="4" w:space="4" w:color="auto"/>
          <w:bottom w:val="single" w:sz="4" w:space="1" w:color="auto"/>
          <w:right w:val="single" w:sz="4" w:space="4" w:color="auto"/>
        </w:pBdr>
        <w:tabs>
          <w:tab w:val="clear" w:pos="720"/>
          <w:tab w:val="num" w:pos="426"/>
        </w:tabs>
        <w:ind w:hanging="720"/>
        <w:rPr>
          <w:szCs w:val="22"/>
          <w:lang w:val="it-IT"/>
        </w:rPr>
      </w:pPr>
      <w:r w:rsidRPr="00C9575C">
        <w:rPr>
          <w:b/>
          <w:szCs w:val="22"/>
          <w:lang w:val="it-IT"/>
        </w:rPr>
        <w:t>febbre</w:t>
      </w:r>
      <w:r w:rsidRPr="00C9575C">
        <w:rPr>
          <w:szCs w:val="22"/>
          <w:lang w:val="it-IT"/>
        </w:rPr>
        <w:t xml:space="preserve"> ed </w:t>
      </w:r>
      <w:r w:rsidRPr="00C9575C">
        <w:rPr>
          <w:b/>
          <w:szCs w:val="22"/>
          <w:lang w:val="it-IT"/>
        </w:rPr>
        <w:t>eruzione cutanea</w:t>
      </w:r>
      <w:r w:rsidRPr="00C9575C">
        <w:rPr>
          <w:szCs w:val="22"/>
          <w:lang w:val="it-IT"/>
        </w:rPr>
        <w:t>.</w:t>
      </w:r>
    </w:p>
    <w:p w14:paraId="24B31FC9"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rPr>
          <w:szCs w:val="22"/>
          <w:lang w:val="it-IT"/>
        </w:rPr>
      </w:pPr>
    </w:p>
    <w:p w14:paraId="06D7242F"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rPr>
          <w:szCs w:val="22"/>
          <w:lang w:val="it-IT"/>
        </w:rPr>
      </w:pPr>
      <w:r w:rsidRPr="00C9575C">
        <w:rPr>
          <w:szCs w:val="22"/>
          <w:lang w:val="it-IT"/>
        </w:rPr>
        <w:t>Altri sintomi comuni sono:</w:t>
      </w:r>
    </w:p>
    <w:p w14:paraId="0693E177" w14:textId="77777777" w:rsidR="00561813" w:rsidRPr="00C9575C" w:rsidRDefault="00561813" w:rsidP="00721816">
      <w:pPr>
        <w:widowControl w:val="0"/>
        <w:numPr>
          <w:ilvl w:val="0"/>
          <w:numId w:val="9"/>
        </w:numPr>
        <w:pBdr>
          <w:top w:val="single" w:sz="4" w:space="1" w:color="auto"/>
          <w:left w:val="single" w:sz="4" w:space="4" w:color="auto"/>
          <w:bottom w:val="single" w:sz="4" w:space="1" w:color="auto"/>
          <w:right w:val="single" w:sz="4" w:space="4" w:color="auto"/>
        </w:pBdr>
        <w:tabs>
          <w:tab w:val="clear" w:pos="720"/>
          <w:tab w:val="num" w:pos="426"/>
        </w:tabs>
        <w:ind w:hanging="720"/>
        <w:rPr>
          <w:szCs w:val="22"/>
          <w:lang w:val="it-IT"/>
        </w:rPr>
      </w:pPr>
      <w:r w:rsidRPr="00C9575C">
        <w:rPr>
          <w:szCs w:val="22"/>
          <w:lang w:val="it-IT"/>
        </w:rPr>
        <w:t>nausea, vomito, diarrea, dolore addominale (allo stomaco), grave affaticamento.</w:t>
      </w:r>
    </w:p>
    <w:p w14:paraId="723D4328"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rPr>
          <w:szCs w:val="22"/>
          <w:lang w:val="it-IT"/>
        </w:rPr>
      </w:pPr>
    </w:p>
    <w:p w14:paraId="334646D3"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rPr>
          <w:szCs w:val="22"/>
          <w:lang w:val="it-IT"/>
        </w:rPr>
      </w:pPr>
      <w:r w:rsidRPr="00C9575C">
        <w:rPr>
          <w:szCs w:val="22"/>
          <w:lang w:val="it-IT"/>
        </w:rPr>
        <w:t>Altri sintomi includono:</w:t>
      </w:r>
    </w:p>
    <w:p w14:paraId="2A17D8B5" w14:textId="77777777" w:rsidR="009669D2" w:rsidRPr="00C9575C" w:rsidRDefault="009669D2" w:rsidP="00D524A1">
      <w:pPr>
        <w:widowControl w:val="0"/>
        <w:pBdr>
          <w:top w:val="single" w:sz="4" w:space="1" w:color="auto"/>
          <w:left w:val="single" w:sz="4" w:space="4" w:color="auto"/>
          <w:bottom w:val="single" w:sz="4" w:space="1" w:color="auto"/>
          <w:right w:val="single" w:sz="4" w:space="4" w:color="auto"/>
        </w:pBdr>
        <w:rPr>
          <w:szCs w:val="22"/>
          <w:lang w:val="it-IT"/>
        </w:rPr>
      </w:pPr>
      <w:r w:rsidRPr="00C9575C">
        <w:rPr>
          <w:szCs w:val="22"/>
          <w:lang w:val="it-IT"/>
        </w:rPr>
        <w:t>dolore muscolare o delle articolazioni, gonfiore del collo, respiro corto, mal di gola, tosse, mal di testa occasionale, infiammazione dell’occhio (congiuntivite), ulcere della bocca, abbassamento della pressione del sangue, formicolio o intorpidimento delle mani o dei piedi.</w:t>
      </w:r>
    </w:p>
    <w:p w14:paraId="6FE1593D"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tabs>
          <w:tab w:val="left" w:pos="284"/>
        </w:tabs>
        <w:rPr>
          <w:szCs w:val="22"/>
          <w:lang w:val="it-IT"/>
        </w:rPr>
      </w:pPr>
    </w:p>
    <w:p w14:paraId="33296FEC" w14:textId="77777777" w:rsidR="00561813" w:rsidRPr="00C9575C" w:rsidRDefault="00561813" w:rsidP="00D524A1">
      <w:pPr>
        <w:keepNext/>
        <w:widowControl w:val="0"/>
        <w:pBdr>
          <w:top w:val="single" w:sz="4" w:space="1" w:color="auto"/>
          <w:left w:val="single" w:sz="4" w:space="4" w:color="auto"/>
          <w:bottom w:val="single" w:sz="4" w:space="1" w:color="auto"/>
          <w:right w:val="single" w:sz="4" w:space="4" w:color="auto"/>
        </w:pBdr>
        <w:tabs>
          <w:tab w:val="left" w:pos="284"/>
        </w:tabs>
        <w:spacing w:after="120"/>
        <w:rPr>
          <w:b/>
          <w:szCs w:val="22"/>
          <w:lang w:val="it-IT"/>
        </w:rPr>
      </w:pPr>
      <w:r w:rsidRPr="00C9575C">
        <w:rPr>
          <w:b/>
          <w:szCs w:val="22"/>
          <w:lang w:val="it-IT"/>
        </w:rPr>
        <w:t>Quando si manifestano queste reazioni?</w:t>
      </w:r>
    </w:p>
    <w:p w14:paraId="57B786D3" w14:textId="77777777" w:rsidR="00561813" w:rsidRPr="00C9575C" w:rsidRDefault="00561813" w:rsidP="00D524A1">
      <w:pPr>
        <w:keepNext/>
        <w:widowControl w:val="0"/>
        <w:pBdr>
          <w:top w:val="single" w:sz="4" w:space="1" w:color="auto"/>
          <w:left w:val="single" w:sz="4" w:space="4" w:color="auto"/>
          <w:bottom w:val="single" w:sz="4" w:space="1" w:color="auto"/>
          <w:right w:val="single" w:sz="4" w:space="4" w:color="auto"/>
        </w:pBdr>
        <w:tabs>
          <w:tab w:val="left" w:pos="284"/>
        </w:tabs>
        <w:rPr>
          <w:szCs w:val="22"/>
          <w:lang w:val="it-IT"/>
        </w:rPr>
      </w:pPr>
      <w:r w:rsidRPr="00C9575C">
        <w:rPr>
          <w:szCs w:val="22"/>
          <w:lang w:val="it-IT"/>
        </w:rPr>
        <w:t>L</w:t>
      </w:r>
      <w:r w:rsidR="00961384" w:rsidRPr="00C9575C">
        <w:rPr>
          <w:szCs w:val="22"/>
          <w:lang w:val="it-IT"/>
        </w:rPr>
        <w:t>e</w:t>
      </w:r>
      <w:r w:rsidRPr="00C9575C">
        <w:rPr>
          <w:szCs w:val="22"/>
          <w:lang w:val="it-IT"/>
        </w:rPr>
        <w:t xml:space="preserve"> reazion</w:t>
      </w:r>
      <w:r w:rsidR="00961384" w:rsidRPr="00C9575C">
        <w:rPr>
          <w:szCs w:val="22"/>
          <w:lang w:val="it-IT"/>
        </w:rPr>
        <w:t>i</w:t>
      </w:r>
      <w:r w:rsidRPr="00C9575C">
        <w:rPr>
          <w:szCs w:val="22"/>
          <w:lang w:val="it-IT"/>
        </w:rPr>
        <w:t xml:space="preserve"> di ipersensibilità </w:t>
      </w:r>
      <w:r w:rsidR="00961384" w:rsidRPr="00C9575C">
        <w:rPr>
          <w:szCs w:val="22"/>
          <w:lang w:val="it-IT"/>
        </w:rPr>
        <w:t xml:space="preserve">possono </w:t>
      </w:r>
      <w:r w:rsidRPr="00C9575C">
        <w:rPr>
          <w:szCs w:val="22"/>
          <w:lang w:val="it-IT"/>
        </w:rPr>
        <w:t>iniziare in ogni momento durante il trattamento con Kivexa ma è più probabile durante le prime 6 settimane di trattamento.</w:t>
      </w:r>
    </w:p>
    <w:p w14:paraId="36BC418B"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rPr>
          <w:szCs w:val="22"/>
          <w:lang w:val="it-IT"/>
        </w:rPr>
      </w:pPr>
    </w:p>
    <w:p w14:paraId="6F2B32C2"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tabs>
          <w:tab w:val="left" w:pos="284"/>
        </w:tabs>
        <w:rPr>
          <w:b/>
          <w:szCs w:val="22"/>
          <w:lang w:val="it-IT"/>
        </w:rPr>
      </w:pPr>
      <w:r w:rsidRPr="00C9575C">
        <w:rPr>
          <w:b/>
          <w:szCs w:val="22"/>
          <w:lang w:val="it-IT"/>
        </w:rPr>
        <w:t>Contatti il medico immediatamente:</w:t>
      </w:r>
    </w:p>
    <w:p w14:paraId="67471E55" w14:textId="77777777" w:rsidR="00561813" w:rsidRPr="00C9575C" w:rsidRDefault="00400ABC" w:rsidP="00D524A1">
      <w:pPr>
        <w:widowControl w:val="0"/>
        <w:pBdr>
          <w:top w:val="single" w:sz="4" w:space="1" w:color="auto"/>
          <w:left w:val="single" w:sz="4" w:space="4" w:color="auto"/>
          <w:bottom w:val="single" w:sz="4" w:space="1" w:color="auto"/>
          <w:right w:val="single" w:sz="4" w:space="4" w:color="auto"/>
        </w:pBdr>
        <w:tabs>
          <w:tab w:val="left" w:pos="567"/>
        </w:tabs>
        <w:rPr>
          <w:b/>
          <w:szCs w:val="22"/>
          <w:lang w:val="it-IT"/>
        </w:rPr>
      </w:pPr>
      <w:r w:rsidRPr="00C9575C">
        <w:rPr>
          <w:b/>
          <w:szCs w:val="22"/>
          <w:lang w:val="it-IT"/>
        </w:rPr>
        <w:t>1</w:t>
      </w:r>
      <w:r w:rsidR="00561813" w:rsidRPr="00C9575C">
        <w:rPr>
          <w:b/>
          <w:szCs w:val="22"/>
          <w:lang w:val="it-IT"/>
        </w:rPr>
        <w:tab/>
        <w:t>se manifesta una eruzione cutanea</w:t>
      </w:r>
      <w:r w:rsidR="00753B6F" w:rsidRPr="00C9575C">
        <w:rPr>
          <w:b/>
          <w:szCs w:val="22"/>
          <w:lang w:val="it-IT"/>
        </w:rPr>
        <w:t>,</w:t>
      </w:r>
      <w:r w:rsidR="00561813" w:rsidRPr="00C9575C">
        <w:rPr>
          <w:b/>
          <w:szCs w:val="22"/>
          <w:lang w:val="it-IT"/>
        </w:rPr>
        <w:t xml:space="preserve"> OPPURE</w:t>
      </w:r>
    </w:p>
    <w:p w14:paraId="2E638569" w14:textId="77777777" w:rsidR="00561813" w:rsidRPr="00C9575C" w:rsidRDefault="00400ABC" w:rsidP="00D524A1">
      <w:pPr>
        <w:widowControl w:val="0"/>
        <w:pBdr>
          <w:top w:val="single" w:sz="4" w:space="1" w:color="auto"/>
          <w:left w:val="single" w:sz="4" w:space="4" w:color="auto"/>
          <w:bottom w:val="single" w:sz="4" w:space="1" w:color="auto"/>
          <w:right w:val="single" w:sz="4" w:space="4" w:color="auto"/>
        </w:pBdr>
        <w:tabs>
          <w:tab w:val="left" w:pos="567"/>
        </w:tabs>
        <w:rPr>
          <w:b/>
          <w:szCs w:val="22"/>
          <w:lang w:val="it-IT"/>
        </w:rPr>
      </w:pPr>
      <w:r w:rsidRPr="00C9575C">
        <w:rPr>
          <w:b/>
          <w:szCs w:val="22"/>
          <w:lang w:val="it-IT"/>
        </w:rPr>
        <w:t>2</w:t>
      </w:r>
      <w:r w:rsidR="00561813" w:rsidRPr="00C9575C">
        <w:rPr>
          <w:b/>
          <w:szCs w:val="22"/>
          <w:lang w:val="it-IT"/>
        </w:rPr>
        <w:tab/>
        <w:t>se manifesta sintomi compresi in almeno 2 dei seguenti gruppi:</w:t>
      </w:r>
    </w:p>
    <w:p w14:paraId="3B01E184"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tabs>
          <w:tab w:val="left" w:pos="567"/>
          <w:tab w:val="left" w:pos="851"/>
        </w:tabs>
        <w:rPr>
          <w:szCs w:val="22"/>
          <w:lang w:val="it-IT"/>
        </w:rPr>
      </w:pPr>
      <w:r w:rsidRPr="00C9575C">
        <w:rPr>
          <w:b/>
          <w:szCs w:val="22"/>
          <w:lang w:val="it-IT"/>
        </w:rPr>
        <w:tab/>
      </w:r>
      <w:r w:rsidRPr="00C9575C">
        <w:rPr>
          <w:szCs w:val="22"/>
          <w:lang w:val="it-IT"/>
        </w:rPr>
        <w:t xml:space="preserve">- </w:t>
      </w:r>
      <w:r w:rsidR="00400ABC" w:rsidRPr="00C9575C">
        <w:rPr>
          <w:szCs w:val="22"/>
          <w:lang w:val="it-IT"/>
        </w:rPr>
        <w:tab/>
      </w:r>
      <w:r w:rsidRPr="00C9575C">
        <w:rPr>
          <w:szCs w:val="22"/>
          <w:lang w:val="it-IT"/>
        </w:rPr>
        <w:t>febbre</w:t>
      </w:r>
    </w:p>
    <w:p w14:paraId="52354CA9"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tabs>
          <w:tab w:val="left" w:pos="567"/>
          <w:tab w:val="left" w:pos="851"/>
        </w:tabs>
        <w:rPr>
          <w:szCs w:val="22"/>
          <w:lang w:val="it-IT"/>
        </w:rPr>
      </w:pPr>
      <w:r w:rsidRPr="00C9575C">
        <w:rPr>
          <w:b/>
          <w:szCs w:val="22"/>
          <w:lang w:val="it-IT"/>
        </w:rPr>
        <w:tab/>
      </w:r>
      <w:r w:rsidR="00195580" w:rsidRPr="00C9575C">
        <w:rPr>
          <w:szCs w:val="22"/>
          <w:lang w:val="it-IT"/>
        </w:rPr>
        <w:t>-</w:t>
      </w:r>
      <w:r w:rsidRPr="00C9575C">
        <w:rPr>
          <w:szCs w:val="22"/>
          <w:lang w:val="it-IT"/>
        </w:rPr>
        <w:t xml:space="preserve"> </w:t>
      </w:r>
      <w:r w:rsidR="00400ABC" w:rsidRPr="00C9575C">
        <w:rPr>
          <w:szCs w:val="22"/>
          <w:lang w:val="it-IT"/>
        </w:rPr>
        <w:tab/>
      </w:r>
      <w:r w:rsidRPr="00C9575C">
        <w:rPr>
          <w:szCs w:val="22"/>
          <w:lang w:val="it-IT"/>
        </w:rPr>
        <w:t>respiro corto, mal di gola o tosse</w:t>
      </w:r>
    </w:p>
    <w:p w14:paraId="61CAC2B7"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tabs>
          <w:tab w:val="left" w:pos="567"/>
          <w:tab w:val="left" w:pos="851"/>
        </w:tabs>
        <w:rPr>
          <w:szCs w:val="22"/>
          <w:lang w:val="it-IT"/>
        </w:rPr>
      </w:pPr>
      <w:r w:rsidRPr="00C9575C">
        <w:rPr>
          <w:b/>
          <w:szCs w:val="22"/>
          <w:lang w:val="it-IT"/>
        </w:rPr>
        <w:tab/>
      </w:r>
      <w:r w:rsidRPr="00C9575C">
        <w:rPr>
          <w:szCs w:val="22"/>
          <w:lang w:val="it-IT"/>
        </w:rPr>
        <w:t xml:space="preserve">- </w:t>
      </w:r>
      <w:r w:rsidR="00400ABC" w:rsidRPr="00C9575C">
        <w:rPr>
          <w:szCs w:val="22"/>
          <w:lang w:val="it-IT"/>
        </w:rPr>
        <w:tab/>
      </w:r>
      <w:r w:rsidRPr="00C9575C">
        <w:rPr>
          <w:szCs w:val="22"/>
          <w:lang w:val="it-IT"/>
        </w:rPr>
        <w:t>nausea o vomito, diarrea o dolore addominale</w:t>
      </w:r>
    </w:p>
    <w:p w14:paraId="3A9CBFB9"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tabs>
          <w:tab w:val="left" w:pos="567"/>
          <w:tab w:val="left" w:pos="851"/>
        </w:tabs>
        <w:rPr>
          <w:szCs w:val="22"/>
          <w:lang w:val="it-IT"/>
        </w:rPr>
      </w:pPr>
      <w:r w:rsidRPr="00C9575C">
        <w:rPr>
          <w:b/>
          <w:szCs w:val="22"/>
          <w:lang w:val="it-IT"/>
        </w:rPr>
        <w:tab/>
      </w:r>
      <w:r w:rsidRPr="00C9575C">
        <w:rPr>
          <w:szCs w:val="22"/>
          <w:lang w:val="it-IT"/>
        </w:rPr>
        <w:t xml:space="preserve">- </w:t>
      </w:r>
      <w:r w:rsidR="00961384" w:rsidRPr="00C9575C">
        <w:rPr>
          <w:szCs w:val="22"/>
          <w:lang w:val="it-IT"/>
        </w:rPr>
        <w:tab/>
      </w:r>
      <w:r w:rsidRPr="00C9575C">
        <w:rPr>
          <w:szCs w:val="22"/>
          <w:lang w:val="it-IT"/>
        </w:rPr>
        <w:t xml:space="preserve">grave affaticamento o dolorabilità, o sensazione di malessere generale.  </w:t>
      </w:r>
    </w:p>
    <w:p w14:paraId="2A73DC7F" w14:textId="77777777" w:rsidR="0024365E" w:rsidRPr="00C9575C" w:rsidRDefault="0024365E" w:rsidP="00D524A1">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b/>
          <w:szCs w:val="22"/>
          <w:lang w:val="it-IT"/>
        </w:rPr>
      </w:pPr>
    </w:p>
    <w:p w14:paraId="39DEC822" w14:textId="77777777" w:rsidR="00561813" w:rsidRPr="00C9575C" w:rsidRDefault="00561813" w:rsidP="00D524A1">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b/>
          <w:szCs w:val="22"/>
          <w:lang w:val="it-IT"/>
        </w:rPr>
      </w:pPr>
      <w:r w:rsidRPr="00C9575C">
        <w:rPr>
          <w:b/>
          <w:szCs w:val="22"/>
          <w:lang w:val="it-IT"/>
        </w:rPr>
        <w:t>Il medico può raccomandarle di interrompere l’assunzione di Kivexa.</w:t>
      </w:r>
    </w:p>
    <w:p w14:paraId="32B08B95" w14:textId="77777777" w:rsidR="003607C8" w:rsidRPr="00C9575C" w:rsidRDefault="003607C8" w:rsidP="00D524A1">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b/>
          <w:szCs w:val="22"/>
          <w:lang w:val="it-IT"/>
        </w:rPr>
      </w:pPr>
    </w:p>
    <w:p w14:paraId="39E794B1" w14:textId="77777777" w:rsidR="00561813" w:rsidRPr="00C9575C" w:rsidRDefault="00561813" w:rsidP="003607C8">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b/>
          <w:szCs w:val="22"/>
          <w:lang w:val="it-IT"/>
        </w:rPr>
      </w:pPr>
      <w:r w:rsidRPr="00C9575C">
        <w:rPr>
          <w:b/>
          <w:szCs w:val="22"/>
          <w:lang w:val="it-IT"/>
        </w:rPr>
        <w:t>Se ha interrotto l’assunzione di Kivexa</w:t>
      </w:r>
    </w:p>
    <w:p w14:paraId="044021AC" w14:textId="77777777" w:rsidR="003607C8" w:rsidRPr="00C9575C" w:rsidRDefault="003607C8" w:rsidP="003607C8">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b/>
          <w:szCs w:val="22"/>
          <w:lang w:val="it-IT"/>
        </w:rPr>
      </w:pPr>
    </w:p>
    <w:p w14:paraId="2B586F05" w14:textId="77777777" w:rsidR="009825FD" w:rsidRPr="00C9575C" w:rsidRDefault="00561813" w:rsidP="003607C8">
      <w:pPr>
        <w:widowControl w:val="0"/>
        <w:pBdr>
          <w:top w:val="single" w:sz="4" w:space="1" w:color="auto"/>
          <w:left w:val="single" w:sz="4" w:space="4" w:color="auto"/>
          <w:bottom w:val="single" w:sz="4" w:space="1" w:color="auto"/>
          <w:right w:val="single" w:sz="4" w:space="4" w:color="auto"/>
        </w:pBdr>
        <w:tabs>
          <w:tab w:val="left" w:pos="0"/>
          <w:tab w:val="left" w:pos="142"/>
        </w:tabs>
        <w:spacing w:after="120"/>
        <w:jc w:val="both"/>
        <w:rPr>
          <w:szCs w:val="22"/>
          <w:lang w:val="it-IT"/>
        </w:rPr>
      </w:pPr>
      <w:r w:rsidRPr="00C9575C">
        <w:rPr>
          <w:szCs w:val="22"/>
          <w:lang w:val="it-IT"/>
        </w:rPr>
        <w:t xml:space="preserve">Se ha interrotto l’assunzione di Kivexa a causa di una reazione di ipersensibilità, </w:t>
      </w:r>
      <w:r w:rsidRPr="00C9575C">
        <w:rPr>
          <w:b/>
          <w:szCs w:val="22"/>
          <w:lang w:val="it-IT"/>
        </w:rPr>
        <w:t>NON DEVE MAI assumere</w:t>
      </w:r>
      <w:r w:rsidRPr="00C9575C">
        <w:rPr>
          <w:szCs w:val="22"/>
          <w:lang w:val="it-IT"/>
        </w:rPr>
        <w:t xml:space="preserve"> </w:t>
      </w:r>
      <w:r w:rsidRPr="00C9575C">
        <w:rPr>
          <w:b/>
          <w:szCs w:val="22"/>
          <w:lang w:val="it-IT"/>
        </w:rPr>
        <w:t>di nuovo Kivexa, o qualsiasi altro medicinale contenente abacavir (ad esempio Trizivir</w:t>
      </w:r>
      <w:r w:rsidR="009669D2" w:rsidRPr="00C9575C">
        <w:rPr>
          <w:b/>
          <w:szCs w:val="22"/>
          <w:lang w:val="it-IT"/>
        </w:rPr>
        <w:t>, Triumeq</w:t>
      </w:r>
      <w:r w:rsidRPr="00C9575C">
        <w:rPr>
          <w:b/>
          <w:szCs w:val="22"/>
          <w:lang w:val="it-IT"/>
        </w:rPr>
        <w:t xml:space="preserve"> o Ziagen). </w:t>
      </w:r>
      <w:r w:rsidRPr="00C9575C">
        <w:rPr>
          <w:szCs w:val="22"/>
          <w:lang w:val="it-IT"/>
        </w:rPr>
        <w:t xml:space="preserve">Se ciò avviene, entro alcune ore la pressione del sangue potrebbe abbassarsi </w:t>
      </w:r>
      <w:r w:rsidR="00D96C72" w:rsidRPr="00C9575C">
        <w:rPr>
          <w:szCs w:val="22"/>
          <w:lang w:val="it-IT"/>
        </w:rPr>
        <w:t>p</w:t>
      </w:r>
      <w:r w:rsidRPr="00C9575C">
        <w:rPr>
          <w:szCs w:val="22"/>
          <w:lang w:val="it-IT"/>
        </w:rPr>
        <w:t xml:space="preserve">ericolosamente, ciò potrebbe provocare la morte. </w:t>
      </w:r>
    </w:p>
    <w:p w14:paraId="7AA7DABF" w14:textId="77777777" w:rsidR="003607C8" w:rsidRPr="00C9575C" w:rsidRDefault="009825FD" w:rsidP="003607C8">
      <w:pPr>
        <w:widowControl w:val="0"/>
        <w:pBdr>
          <w:top w:val="single" w:sz="4" w:space="1" w:color="auto"/>
          <w:left w:val="single" w:sz="4" w:space="4" w:color="auto"/>
          <w:bottom w:val="single" w:sz="4" w:space="1" w:color="auto"/>
          <w:right w:val="single" w:sz="4" w:space="4" w:color="auto"/>
        </w:pBdr>
        <w:tabs>
          <w:tab w:val="left" w:pos="0"/>
          <w:tab w:val="left" w:pos="142"/>
        </w:tabs>
        <w:spacing w:after="120"/>
        <w:jc w:val="both"/>
        <w:rPr>
          <w:szCs w:val="22"/>
          <w:lang w:val="it-IT"/>
        </w:rPr>
      </w:pPr>
      <w:r w:rsidRPr="00C9575C">
        <w:rPr>
          <w:szCs w:val="22"/>
          <w:lang w:val="it-IT"/>
        </w:rPr>
        <w:br w:type="page"/>
      </w:r>
      <w:r w:rsidR="00561813" w:rsidRPr="00C9575C">
        <w:rPr>
          <w:szCs w:val="22"/>
          <w:lang w:val="it-IT"/>
        </w:rPr>
        <w:lastRenderedPageBreak/>
        <w:t>Se ha interrotto l’assunzione di Kivexa per qualsiasi ragione - in particolare perché riteneva di avere effetti indesiderati o altre malattie:</w:t>
      </w:r>
    </w:p>
    <w:p w14:paraId="147FB99D" w14:textId="77777777" w:rsidR="003607C8" w:rsidRPr="00C9575C" w:rsidRDefault="00561813" w:rsidP="00721816">
      <w:pPr>
        <w:widowControl w:val="0"/>
        <w:pBdr>
          <w:top w:val="single" w:sz="4" w:space="1" w:color="auto"/>
          <w:left w:val="single" w:sz="4" w:space="4" w:color="auto"/>
          <w:bottom w:val="single" w:sz="4" w:space="1" w:color="auto"/>
          <w:right w:val="single" w:sz="4" w:space="4" w:color="auto"/>
        </w:pBdr>
        <w:tabs>
          <w:tab w:val="left" w:pos="0"/>
        </w:tabs>
        <w:spacing w:after="120"/>
        <w:jc w:val="both"/>
        <w:rPr>
          <w:szCs w:val="22"/>
          <w:lang w:val="it-IT"/>
        </w:rPr>
      </w:pPr>
      <w:r w:rsidRPr="00C03451">
        <w:rPr>
          <w:b/>
          <w:szCs w:val="22"/>
          <w:lang w:val="it-IT"/>
        </w:rPr>
        <w:t>parli con il medico prima di iniziare ad assumerlo di nuovo.</w:t>
      </w:r>
      <w:r w:rsidRPr="00C03451">
        <w:rPr>
          <w:szCs w:val="22"/>
          <w:lang w:val="it-IT"/>
        </w:rPr>
        <w:t xml:space="preserve"> Il medico controllerà se i sintomi erano correlati ad una reazione di ipersensibilità. Qualora il medico ritenga che questi sintomi possano essere stati correlati ad una reazione di ipersensibilità, </w:t>
      </w:r>
      <w:r w:rsidRPr="00C03451">
        <w:rPr>
          <w:b/>
          <w:szCs w:val="22"/>
          <w:lang w:val="it-IT"/>
        </w:rPr>
        <w:t>le verrà detto di non assumere mai più Kivexa o qualsiasi altro medicinale contenente abacavir (ad esempio Trizivir</w:t>
      </w:r>
      <w:r w:rsidR="009D2687" w:rsidRPr="00C03451">
        <w:rPr>
          <w:b/>
          <w:szCs w:val="22"/>
          <w:lang w:val="it-IT"/>
        </w:rPr>
        <w:t>,</w:t>
      </w:r>
      <w:r w:rsidR="00533BC8" w:rsidRPr="00C03451">
        <w:rPr>
          <w:b/>
          <w:szCs w:val="22"/>
          <w:lang w:val="it-IT"/>
        </w:rPr>
        <w:t xml:space="preserve"> </w:t>
      </w:r>
      <w:r w:rsidR="009D2687" w:rsidRPr="00C03451">
        <w:rPr>
          <w:b/>
          <w:szCs w:val="22"/>
          <w:lang w:val="it-IT"/>
        </w:rPr>
        <w:t>Triumeq</w:t>
      </w:r>
      <w:r w:rsidRPr="00C03451">
        <w:rPr>
          <w:b/>
          <w:szCs w:val="22"/>
          <w:lang w:val="it-IT"/>
        </w:rPr>
        <w:t xml:space="preserve"> o Ziagen)</w:t>
      </w:r>
      <w:r w:rsidRPr="00C03451">
        <w:rPr>
          <w:szCs w:val="22"/>
          <w:lang w:val="it-IT"/>
        </w:rPr>
        <w:t>.</w:t>
      </w:r>
      <w:r w:rsidR="003356ED">
        <w:rPr>
          <w:szCs w:val="22"/>
          <w:lang w:val="it-IT"/>
        </w:rPr>
        <w:t xml:space="preserve"> È </w:t>
      </w:r>
      <w:r w:rsidRPr="00C9575C">
        <w:rPr>
          <w:szCs w:val="22"/>
          <w:lang w:val="it-IT"/>
        </w:rPr>
        <w:t>importante che segua questo consiglio.</w:t>
      </w:r>
    </w:p>
    <w:p w14:paraId="030088FE" w14:textId="77777777" w:rsidR="003607C8" w:rsidRPr="00C9575C" w:rsidRDefault="009669D2" w:rsidP="003607C8">
      <w:pPr>
        <w:widowControl w:val="0"/>
        <w:pBdr>
          <w:top w:val="single" w:sz="4" w:space="1" w:color="auto"/>
          <w:left w:val="single" w:sz="4" w:space="4" w:color="auto"/>
          <w:bottom w:val="single" w:sz="4" w:space="1" w:color="auto"/>
          <w:right w:val="single" w:sz="4" w:space="4" w:color="auto"/>
        </w:pBdr>
        <w:tabs>
          <w:tab w:val="left" w:pos="0"/>
          <w:tab w:val="left" w:pos="142"/>
        </w:tabs>
        <w:spacing w:after="120"/>
        <w:jc w:val="both"/>
        <w:rPr>
          <w:szCs w:val="22"/>
          <w:lang w:val="it-IT"/>
        </w:rPr>
      </w:pPr>
      <w:r w:rsidRPr="00C9575C">
        <w:rPr>
          <w:szCs w:val="22"/>
          <w:lang w:val="it-IT"/>
        </w:rPr>
        <w:t>Qualche volta si sono verificate reazioni di ipersensibilità in pazienti che iniziavano ad assumere di nuovo medicinali contenenti abacavir ma che avevano riportato anche uno solo dei sintomi descritti nella Scheda di Allerta prima della sospensione del farmaco.</w:t>
      </w:r>
    </w:p>
    <w:p w14:paraId="46941A4A" w14:textId="77777777" w:rsidR="003607C8" w:rsidRPr="00C9575C" w:rsidRDefault="009669D2" w:rsidP="003607C8">
      <w:pPr>
        <w:widowControl w:val="0"/>
        <w:pBdr>
          <w:top w:val="single" w:sz="4" w:space="1" w:color="auto"/>
          <w:left w:val="single" w:sz="4" w:space="4" w:color="auto"/>
          <w:bottom w:val="single" w:sz="4" w:space="1" w:color="auto"/>
          <w:right w:val="single" w:sz="4" w:space="4" w:color="auto"/>
        </w:pBdr>
        <w:tabs>
          <w:tab w:val="left" w:pos="0"/>
          <w:tab w:val="left" w:pos="142"/>
        </w:tabs>
        <w:spacing w:after="120"/>
        <w:jc w:val="both"/>
        <w:rPr>
          <w:szCs w:val="22"/>
          <w:lang w:val="it-IT"/>
        </w:rPr>
      </w:pPr>
      <w:r w:rsidRPr="00C9575C">
        <w:rPr>
          <w:szCs w:val="22"/>
          <w:lang w:val="it-IT"/>
        </w:rPr>
        <w:t>Molto raramente, pazienti che hanno preso in precedenza medicinali contenenti abacavir senza nessun sintomo di ipersensibilità, hanno poi sviluppato una reazione di ipersensibilità quando hanno nuovamente iniziato ad assumere questi medicinali.</w:t>
      </w:r>
    </w:p>
    <w:p w14:paraId="3AC1748F" w14:textId="77777777" w:rsidR="003607C8" w:rsidRPr="00C9575C" w:rsidRDefault="00561813" w:rsidP="003607C8">
      <w:pPr>
        <w:widowControl w:val="0"/>
        <w:pBdr>
          <w:top w:val="single" w:sz="4" w:space="1" w:color="auto"/>
          <w:left w:val="single" w:sz="4" w:space="4" w:color="auto"/>
          <w:bottom w:val="single" w:sz="4" w:space="1" w:color="auto"/>
          <w:right w:val="single" w:sz="4" w:space="4" w:color="auto"/>
        </w:pBdr>
        <w:tabs>
          <w:tab w:val="left" w:pos="0"/>
          <w:tab w:val="left" w:pos="142"/>
        </w:tabs>
        <w:spacing w:after="120"/>
        <w:jc w:val="both"/>
        <w:rPr>
          <w:szCs w:val="22"/>
          <w:lang w:val="it-IT"/>
        </w:rPr>
      </w:pPr>
      <w:r w:rsidRPr="00C9575C">
        <w:rPr>
          <w:lang w:val="it-IT"/>
        </w:rPr>
        <w:t>Se il medico consiglia di iniziare ad assumere di nuovo Kivexa, l</w:t>
      </w:r>
      <w:r w:rsidRPr="00C9575C">
        <w:rPr>
          <w:szCs w:val="22"/>
          <w:lang w:val="it-IT"/>
        </w:rPr>
        <w:t>e verrà chiesto di prendere le prime dosi in un luogo dove lei sarà in grado di ricevere, se necessario, un soccorso medico.</w:t>
      </w:r>
    </w:p>
    <w:p w14:paraId="2AA15D1B" w14:textId="77777777" w:rsidR="003607C8" w:rsidRPr="00C9575C" w:rsidRDefault="00561813" w:rsidP="003607C8">
      <w:pPr>
        <w:widowControl w:val="0"/>
        <w:pBdr>
          <w:top w:val="single" w:sz="4" w:space="1" w:color="auto"/>
          <w:left w:val="single" w:sz="4" w:space="4" w:color="auto"/>
          <w:bottom w:val="single" w:sz="4" w:space="1" w:color="auto"/>
          <w:right w:val="single" w:sz="4" w:space="4" w:color="auto"/>
        </w:pBdr>
        <w:tabs>
          <w:tab w:val="left" w:pos="0"/>
          <w:tab w:val="left" w:pos="142"/>
        </w:tabs>
        <w:spacing w:after="120"/>
        <w:jc w:val="both"/>
        <w:rPr>
          <w:szCs w:val="22"/>
          <w:lang w:val="it-IT"/>
        </w:rPr>
      </w:pPr>
      <w:r w:rsidRPr="00C9575C">
        <w:rPr>
          <w:b/>
          <w:szCs w:val="22"/>
          <w:lang w:val="it-IT"/>
        </w:rPr>
        <w:t xml:space="preserve">Se è ipersensibile a Kivexa, deve restituire tutte le compresse di Kivexa non utilizzate per una sicura eliminazione. </w:t>
      </w:r>
      <w:r w:rsidRPr="00C9575C">
        <w:rPr>
          <w:szCs w:val="22"/>
          <w:lang w:val="it-IT"/>
        </w:rPr>
        <w:t>Chieda consiglio al medico o al farmacista.</w:t>
      </w:r>
    </w:p>
    <w:p w14:paraId="0B7D8F68" w14:textId="77777777" w:rsidR="002177AC" w:rsidRPr="00C9575C" w:rsidRDefault="009669D2" w:rsidP="003607C8">
      <w:pPr>
        <w:widowControl w:val="0"/>
        <w:pBdr>
          <w:top w:val="single" w:sz="4" w:space="1" w:color="auto"/>
          <w:left w:val="single" w:sz="4" w:space="4" w:color="auto"/>
          <w:bottom w:val="single" w:sz="4" w:space="1" w:color="auto"/>
          <w:right w:val="single" w:sz="4" w:space="4" w:color="auto"/>
        </w:pBdr>
        <w:tabs>
          <w:tab w:val="left" w:pos="0"/>
          <w:tab w:val="left" w:pos="142"/>
        </w:tabs>
        <w:spacing w:after="120"/>
        <w:jc w:val="both"/>
        <w:rPr>
          <w:b/>
          <w:szCs w:val="24"/>
          <w:lang w:val="it-IT" w:eastAsia="en-GB"/>
        </w:rPr>
      </w:pPr>
      <w:r w:rsidRPr="00C9575C">
        <w:rPr>
          <w:szCs w:val="24"/>
          <w:lang w:val="it-IT" w:eastAsia="en-GB"/>
        </w:rPr>
        <w:t xml:space="preserve">La confezione di Kivexa include una </w:t>
      </w:r>
      <w:r w:rsidRPr="00C9575C">
        <w:rPr>
          <w:b/>
          <w:szCs w:val="24"/>
          <w:lang w:val="it-IT" w:eastAsia="en-GB"/>
        </w:rPr>
        <w:t>Scheda di Allerta</w:t>
      </w:r>
      <w:r w:rsidRPr="00C9575C">
        <w:rPr>
          <w:szCs w:val="24"/>
          <w:lang w:val="it-IT" w:eastAsia="en-GB"/>
        </w:rPr>
        <w:t xml:space="preserve"> per ricordare a lei e al personale medico le reazioni di ipersensibilità. </w:t>
      </w:r>
      <w:r w:rsidRPr="00C9575C">
        <w:rPr>
          <w:b/>
          <w:szCs w:val="24"/>
          <w:lang w:val="it-IT" w:eastAsia="en-GB"/>
        </w:rPr>
        <w:t>Stacchi questa scheda e la tenga sempre con sé.</w:t>
      </w:r>
    </w:p>
    <w:p w14:paraId="6AF33DE7" w14:textId="77777777" w:rsidR="006927F1" w:rsidRPr="00C9575C" w:rsidRDefault="006927F1" w:rsidP="00561813">
      <w:pPr>
        <w:keepNext/>
        <w:tabs>
          <w:tab w:val="left" w:pos="567"/>
        </w:tabs>
        <w:rPr>
          <w:b/>
          <w:szCs w:val="22"/>
          <w:lang w:val="it-IT"/>
        </w:rPr>
      </w:pPr>
    </w:p>
    <w:p w14:paraId="109ABECE" w14:textId="77777777" w:rsidR="00561813" w:rsidRPr="00C9575C" w:rsidRDefault="00561813" w:rsidP="00561813">
      <w:pPr>
        <w:keepNext/>
        <w:tabs>
          <w:tab w:val="left" w:pos="567"/>
        </w:tabs>
        <w:rPr>
          <w:lang w:val="it-IT"/>
        </w:rPr>
      </w:pPr>
      <w:r w:rsidRPr="00C9575C">
        <w:rPr>
          <w:b/>
          <w:szCs w:val="22"/>
          <w:lang w:val="it-IT"/>
        </w:rPr>
        <w:t xml:space="preserve">Effetti indesiderati comuni </w:t>
      </w:r>
    </w:p>
    <w:p w14:paraId="1B96B04B" w14:textId="77777777" w:rsidR="00561813" w:rsidRPr="00C9575C" w:rsidRDefault="00561813" w:rsidP="00561813">
      <w:pPr>
        <w:keepNext/>
        <w:tabs>
          <w:tab w:val="left" w:pos="567"/>
        </w:tabs>
        <w:rPr>
          <w:b/>
          <w:szCs w:val="22"/>
          <w:lang w:val="it-IT"/>
        </w:rPr>
      </w:pPr>
      <w:r w:rsidRPr="00C9575C">
        <w:rPr>
          <w:szCs w:val="22"/>
          <w:lang w:val="it-IT"/>
        </w:rPr>
        <w:t xml:space="preserve">Questi possono riguardare </w:t>
      </w:r>
      <w:r w:rsidRPr="00C9575C">
        <w:rPr>
          <w:b/>
          <w:szCs w:val="22"/>
          <w:lang w:val="it-IT"/>
        </w:rPr>
        <w:t xml:space="preserve">fino a 1 </w:t>
      </w:r>
      <w:r w:rsidRPr="00C9575C">
        <w:rPr>
          <w:szCs w:val="22"/>
          <w:lang w:val="it-IT"/>
        </w:rPr>
        <w:t>paziente</w:t>
      </w:r>
      <w:r w:rsidRPr="00C9575C">
        <w:rPr>
          <w:b/>
          <w:szCs w:val="22"/>
          <w:lang w:val="it-IT"/>
        </w:rPr>
        <w:t xml:space="preserve"> su 10:</w:t>
      </w:r>
    </w:p>
    <w:p w14:paraId="7EF5DD59" w14:textId="77777777" w:rsidR="00561813" w:rsidRPr="00C9575C" w:rsidRDefault="00561813" w:rsidP="00CF67C1">
      <w:pPr>
        <w:keepNext/>
        <w:numPr>
          <w:ilvl w:val="0"/>
          <w:numId w:val="9"/>
        </w:numPr>
        <w:tabs>
          <w:tab w:val="clear" w:pos="720"/>
          <w:tab w:val="left" w:pos="567"/>
        </w:tabs>
        <w:ind w:left="851" w:hanging="567"/>
        <w:rPr>
          <w:szCs w:val="22"/>
          <w:lang w:val="it-IT"/>
        </w:rPr>
      </w:pPr>
      <w:r w:rsidRPr="00C9575C">
        <w:rPr>
          <w:szCs w:val="22"/>
          <w:lang w:val="it-IT"/>
        </w:rPr>
        <w:t>reazione di ipersensibilità</w:t>
      </w:r>
    </w:p>
    <w:p w14:paraId="393990B3" w14:textId="77777777" w:rsidR="00561813" w:rsidRPr="00C9575C" w:rsidRDefault="00561813" w:rsidP="00CF67C1">
      <w:pPr>
        <w:keepNext/>
        <w:numPr>
          <w:ilvl w:val="0"/>
          <w:numId w:val="9"/>
        </w:numPr>
        <w:tabs>
          <w:tab w:val="clear" w:pos="720"/>
          <w:tab w:val="left" w:pos="567"/>
        </w:tabs>
        <w:ind w:left="851" w:hanging="567"/>
        <w:rPr>
          <w:szCs w:val="22"/>
          <w:lang w:val="it-IT"/>
        </w:rPr>
      </w:pPr>
      <w:r w:rsidRPr="00C9575C">
        <w:rPr>
          <w:szCs w:val="22"/>
          <w:lang w:val="it-IT"/>
        </w:rPr>
        <w:t>mal di testa</w:t>
      </w:r>
    </w:p>
    <w:p w14:paraId="7070F61F" w14:textId="77777777" w:rsidR="00561813" w:rsidRPr="00C9575C" w:rsidRDefault="00561813" w:rsidP="00CF67C1">
      <w:pPr>
        <w:keepNext/>
        <w:numPr>
          <w:ilvl w:val="0"/>
          <w:numId w:val="9"/>
        </w:numPr>
        <w:tabs>
          <w:tab w:val="clear" w:pos="720"/>
          <w:tab w:val="left" w:pos="567"/>
        </w:tabs>
        <w:ind w:left="851" w:hanging="567"/>
        <w:rPr>
          <w:szCs w:val="22"/>
          <w:lang w:val="it-IT"/>
        </w:rPr>
      </w:pPr>
      <w:r w:rsidRPr="00C9575C">
        <w:rPr>
          <w:szCs w:val="22"/>
          <w:lang w:val="it-IT"/>
        </w:rPr>
        <w:t>vomito</w:t>
      </w:r>
    </w:p>
    <w:p w14:paraId="389EEDF6" w14:textId="77777777" w:rsidR="00561813" w:rsidRPr="00C9575C" w:rsidRDefault="00561813" w:rsidP="00CF67C1">
      <w:pPr>
        <w:keepNext/>
        <w:numPr>
          <w:ilvl w:val="0"/>
          <w:numId w:val="9"/>
        </w:numPr>
        <w:tabs>
          <w:tab w:val="clear" w:pos="720"/>
          <w:tab w:val="left" w:pos="567"/>
        </w:tabs>
        <w:ind w:left="851" w:hanging="567"/>
        <w:rPr>
          <w:szCs w:val="22"/>
          <w:lang w:val="it-IT"/>
        </w:rPr>
      </w:pPr>
      <w:r w:rsidRPr="00C9575C">
        <w:rPr>
          <w:szCs w:val="22"/>
          <w:lang w:val="it-IT"/>
        </w:rPr>
        <w:t>nausea</w:t>
      </w:r>
    </w:p>
    <w:p w14:paraId="441BC305" w14:textId="77777777" w:rsidR="00561813" w:rsidRPr="00C9575C" w:rsidRDefault="00561813" w:rsidP="00CF67C1">
      <w:pPr>
        <w:keepNext/>
        <w:numPr>
          <w:ilvl w:val="0"/>
          <w:numId w:val="9"/>
        </w:numPr>
        <w:tabs>
          <w:tab w:val="clear" w:pos="720"/>
          <w:tab w:val="left" w:pos="567"/>
        </w:tabs>
        <w:ind w:left="851" w:hanging="567"/>
        <w:rPr>
          <w:szCs w:val="22"/>
          <w:lang w:val="it-IT"/>
        </w:rPr>
      </w:pPr>
      <w:r w:rsidRPr="00C9575C">
        <w:rPr>
          <w:szCs w:val="22"/>
          <w:lang w:val="it-IT"/>
        </w:rPr>
        <w:t>diarrea</w:t>
      </w:r>
    </w:p>
    <w:p w14:paraId="781569AF"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dolori allo stomaco</w:t>
      </w:r>
    </w:p>
    <w:p w14:paraId="68845ABA"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perdita di appetito</w:t>
      </w:r>
    </w:p>
    <w:p w14:paraId="38999106"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stanchezza, mancanza di energia</w:t>
      </w:r>
    </w:p>
    <w:p w14:paraId="765D6BE4" w14:textId="77777777" w:rsidR="00561813" w:rsidRPr="00C9575C" w:rsidRDefault="00561813" w:rsidP="00CF67C1">
      <w:pPr>
        <w:keepNext/>
        <w:numPr>
          <w:ilvl w:val="0"/>
          <w:numId w:val="9"/>
        </w:numPr>
        <w:tabs>
          <w:tab w:val="clear" w:pos="720"/>
          <w:tab w:val="num" w:pos="567"/>
        </w:tabs>
        <w:ind w:left="851" w:hanging="567"/>
        <w:rPr>
          <w:i/>
          <w:szCs w:val="22"/>
          <w:lang w:val="it-IT"/>
        </w:rPr>
      </w:pPr>
      <w:r w:rsidRPr="00C9575C">
        <w:rPr>
          <w:szCs w:val="22"/>
          <w:lang w:val="it-IT"/>
        </w:rPr>
        <w:t>febbre</w:t>
      </w:r>
      <w:r w:rsidR="00DD3985" w:rsidRPr="00C9575C">
        <w:rPr>
          <w:i/>
          <w:szCs w:val="22"/>
          <w:lang w:val="it-IT"/>
        </w:rPr>
        <w:t xml:space="preserve"> (temperature elevata)</w:t>
      </w:r>
    </w:p>
    <w:p w14:paraId="79010C6D"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sensazione generale di malessere</w:t>
      </w:r>
    </w:p>
    <w:p w14:paraId="3846A284"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disturbi del sonno (</w:t>
      </w:r>
      <w:r w:rsidRPr="00C9575C">
        <w:rPr>
          <w:i/>
          <w:szCs w:val="22"/>
          <w:lang w:val="it-IT"/>
        </w:rPr>
        <w:t>insonnia</w:t>
      </w:r>
      <w:r w:rsidRPr="00C9575C">
        <w:rPr>
          <w:szCs w:val="22"/>
          <w:lang w:val="it-IT"/>
        </w:rPr>
        <w:t>)</w:t>
      </w:r>
    </w:p>
    <w:p w14:paraId="08D5719B"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disturbi e dolore muscolare</w:t>
      </w:r>
    </w:p>
    <w:p w14:paraId="7F73FE01"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dolore alle articolazioni</w:t>
      </w:r>
    </w:p>
    <w:p w14:paraId="1FE45D22"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tosse</w:t>
      </w:r>
    </w:p>
    <w:p w14:paraId="16D5A311"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irritazione nelle mucose del naso o naso che cola</w:t>
      </w:r>
    </w:p>
    <w:p w14:paraId="1CDD821E"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eruzione cutanea</w:t>
      </w:r>
    </w:p>
    <w:p w14:paraId="78D5828D" w14:textId="77777777" w:rsidR="00561813" w:rsidRPr="00C9575C" w:rsidRDefault="00561813" w:rsidP="00CF67C1">
      <w:pPr>
        <w:keepNext/>
        <w:numPr>
          <w:ilvl w:val="0"/>
          <w:numId w:val="9"/>
        </w:numPr>
        <w:tabs>
          <w:tab w:val="clear" w:pos="720"/>
          <w:tab w:val="num" w:pos="567"/>
        </w:tabs>
        <w:ind w:left="851" w:hanging="567"/>
        <w:rPr>
          <w:szCs w:val="22"/>
          <w:lang w:val="it-IT"/>
        </w:rPr>
      </w:pPr>
      <w:r w:rsidRPr="00C9575C">
        <w:rPr>
          <w:szCs w:val="22"/>
          <w:lang w:val="it-IT"/>
        </w:rPr>
        <w:t>perdita dei capelli</w:t>
      </w:r>
    </w:p>
    <w:p w14:paraId="31FE4A45" w14:textId="77777777" w:rsidR="00561813" w:rsidRPr="00C9575C" w:rsidRDefault="00561813" w:rsidP="00561813">
      <w:pPr>
        <w:widowControl w:val="0"/>
        <w:rPr>
          <w:rStyle w:val="PageNumber"/>
          <w:szCs w:val="22"/>
          <w:lang w:val="it-IT"/>
        </w:rPr>
      </w:pPr>
    </w:p>
    <w:p w14:paraId="0373F40A" w14:textId="77777777" w:rsidR="00561813" w:rsidRPr="00C9575C" w:rsidRDefault="00561813" w:rsidP="00561813">
      <w:pPr>
        <w:widowControl w:val="0"/>
        <w:tabs>
          <w:tab w:val="left" w:pos="567"/>
        </w:tabs>
        <w:rPr>
          <w:rStyle w:val="PageNumber"/>
          <w:b/>
          <w:szCs w:val="22"/>
          <w:lang w:val="it-IT"/>
        </w:rPr>
      </w:pPr>
      <w:r w:rsidRPr="00C9575C">
        <w:rPr>
          <w:rStyle w:val="PageNumber"/>
          <w:b/>
          <w:szCs w:val="22"/>
          <w:lang w:val="it-IT"/>
        </w:rPr>
        <w:t xml:space="preserve">Effetti indesiderati non comuni </w:t>
      </w:r>
    </w:p>
    <w:p w14:paraId="1265D53D" w14:textId="77777777" w:rsidR="00561813" w:rsidRPr="00C9575C" w:rsidRDefault="00561813" w:rsidP="00561813">
      <w:pPr>
        <w:widowControl w:val="0"/>
        <w:tabs>
          <w:tab w:val="left" w:pos="567"/>
        </w:tabs>
        <w:rPr>
          <w:b/>
          <w:szCs w:val="22"/>
          <w:lang w:val="it-IT"/>
        </w:rPr>
      </w:pPr>
      <w:r w:rsidRPr="00C9575C">
        <w:rPr>
          <w:szCs w:val="22"/>
          <w:lang w:val="it-IT"/>
        </w:rPr>
        <w:t xml:space="preserve">Questi possono riguardare </w:t>
      </w:r>
      <w:r w:rsidRPr="00C9575C">
        <w:rPr>
          <w:b/>
          <w:szCs w:val="22"/>
          <w:lang w:val="it-IT"/>
        </w:rPr>
        <w:t xml:space="preserve">fino a 1 </w:t>
      </w:r>
      <w:r w:rsidRPr="00C9575C">
        <w:rPr>
          <w:szCs w:val="22"/>
          <w:lang w:val="it-IT"/>
        </w:rPr>
        <w:t>paziente</w:t>
      </w:r>
      <w:r w:rsidRPr="00C9575C">
        <w:rPr>
          <w:b/>
          <w:szCs w:val="22"/>
          <w:lang w:val="it-IT"/>
        </w:rPr>
        <w:t xml:space="preserve"> su 100 </w:t>
      </w:r>
      <w:r w:rsidRPr="00C9575C">
        <w:rPr>
          <w:szCs w:val="22"/>
          <w:lang w:val="it-IT"/>
        </w:rPr>
        <w:t>e possono essere rilevati dagli esami del sangue</w:t>
      </w:r>
      <w:r w:rsidRPr="00C9575C">
        <w:rPr>
          <w:b/>
          <w:szCs w:val="22"/>
          <w:lang w:val="it-IT"/>
        </w:rPr>
        <w:t>:</w:t>
      </w:r>
    </w:p>
    <w:p w14:paraId="67B24213" w14:textId="77777777" w:rsidR="00561813" w:rsidRPr="00C9575C" w:rsidRDefault="00561813" w:rsidP="008A0227">
      <w:pPr>
        <w:keepNext/>
        <w:numPr>
          <w:ilvl w:val="0"/>
          <w:numId w:val="9"/>
        </w:numPr>
        <w:tabs>
          <w:tab w:val="clear" w:pos="720"/>
          <w:tab w:val="left" w:pos="709"/>
        </w:tabs>
        <w:ind w:left="709" w:hanging="425"/>
        <w:rPr>
          <w:szCs w:val="22"/>
          <w:lang w:val="it-IT"/>
        </w:rPr>
      </w:pPr>
      <w:r w:rsidRPr="00C9575C">
        <w:rPr>
          <w:szCs w:val="22"/>
          <w:lang w:val="it-IT"/>
        </w:rPr>
        <w:t>basso numero dei globuli rossi (</w:t>
      </w:r>
      <w:r w:rsidRPr="00C9575C">
        <w:rPr>
          <w:i/>
          <w:szCs w:val="22"/>
          <w:lang w:val="it-IT"/>
        </w:rPr>
        <w:t>anemia</w:t>
      </w:r>
      <w:r w:rsidRPr="00C9575C">
        <w:rPr>
          <w:szCs w:val="22"/>
          <w:lang w:val="it-IT"/>
        </w:rPr>
        <w:t>) o basso numero dei globuli bianchi (</w:t>
      </w:r>
      <w:r w:rsidRPr="00C9575C">
        <w:rPr>
          <w:i/>
          <w:szCs w:val="22"/>
          <w:lang w:val="it-IT"/>
        </w:rPr>
        <w:t>neutropenia</w:t>
      </w:r>
      <w:r w:rsidRPr="00C9575C">
        <w:rPr>
          <w:szCs w:val="22"/>
          <w:lang w:val="it-IT"/>
        </w:rPr>
        <w:t>)</w:t>
      </w:r>
    </w:p>
    <w:p w14:paraId="3C9DC698" w14:textId="77777777" w:rsidR="00561813" w:rsidRPr="00C9575C" w:rsidRDefault="00561813" w:rsidP="008A0227">
      <w:pPr>
        <w:widowControl w:val="0"/>
        <w:numPr>
          <w:ilvl w:val="0"/>
          <w:numId w:val="9"/>
        </w:numPr>
        <w:tabs>
          <w:tab w:val="clear" w:pos="720"/>
          <w:tab w:val="num" w:pos="709"/>
        </w:tabs>
        <w:ind w:hanging="436"/>
        <w:rPr>
          <w:szCs w:val="22"/>
          <w:lang w:val="it-IT"/>
        </w:rPr>
      </w:pPr>
      <w:r w:rsidRPr="00C9575C">
        <w:rPr>
          <w:szCs w:val="22"/>
          <w:lang w:val="it-IT"/>
        </w:rPr>
        <w:t xml:space="preserve">aumento degli enzimi prodotti dal fegato </w:t>
      </w:r>
    </w:p>
    <w:p w14:paraId="0BD87A15" w14:textId="77777777" w:rsidR="00561813" w:rsidRPr="00C9575C" w:rsidRDefault="00561813" w:rsidP="008A0227">
      <w:pPr>
        <w:numPr>
          <w:ilvl w:val="0"/>
          <w:numId w:val="9"/>
        </w:numPr>
        <w:tabs>
          <w:tab w:val="clear" w:pos="720"/>
          <w:tab w:val="num" w:pos="709"/>
        </w:tabs>
        <w:ind w:hanging="436"/>
        <w:rPr>
          <w:szCs w:val="22"/>
          <w:lang w:val="it-IT"/>
        </w:rPr>
      </w:pPr>
      <w:r w:rsidRPr="00C9575C">
        <w:rPr>
          <w:szCs w:val="22"/>
          <w:lang w:val="it-IT"/>
        </w:rPr>
        <w:t>riduzione del numero delle cellule coinvolte nella coagulazione (</w:t>
      </w:r>
      <w:r w:rsidRPr="00C9575C">
        <w:rPr>
          <w:i/>
          <w:szCs w:val="22"/>
          <w:lang w:val="it-IT"/>
        </w:rPr>
        <w:t>trombocitopenia</w:t>
      </w:r>
      <w:r w:rsidRPr="00C9575C">
        <w:rPr>
          <w:szCs w:val="22"/>
          <w:lang w:val="it-IT"/>
        </w:rPr>
        <w:t xml:space="preserve">) </w:t>
      </w:r>
    </w:p>
    <w:p w14:paraId="0AD02856" w14:textId="77777777" w:rsidR="009825FD" w:rsidRPr="00C9575C" w:rsidRDefault="009825FD" w:rsidP="008A0227">
      <w:pPr>
        <w:tabs>
          <w:tab w:val="left" w:pos="426"/>
        </w:tabs>
        <w:ind w:left="720"/>
        <w:rPr>
          <w:szCs w:val="22"/>
          <w:lang w:val="it-IT"/>
        </w:rPr>
      </w:pPr>
    </w:p>
    <w:p w14:paraId="6EA82143" w14:textId="77777777" w:rsidR="00561813" w:rsidRPr="00C9575C" w:rsidRDefault="00561813" w:rsidP="00011337">
      <w:pPr>
        <w:keepNext/>
        <w:tabs>
          <w:tab w:val="left" w:pos="567"/>
        </w:tabs>
        <w:rPr>
          <w:szCs w:val="22"/>
          <w:lang w:val="it-IT"/>
        </w:rPr>
      </w:pPr>
      <w:r w:rsidRPr="00C9575C">
        <w:rPr>
          <w:b/>
          <w:szCs w:val="22"/>
          <w:lang w:val="it-IT"/>
        </w:rPr>
        <w:t xml:space="preserve">Effetti indesiderati rari </w:t>
      </w:r>
    </w:p>
    <w:p w14:paraId="4311061E" w14:textId="77777777" w:rsidR="00561813" w:rsidRPr="00C9575C" w:rsidRDefault="00561813" w:rsidP="003356ED">
      <w:pPr>
        <w:tabs>
          <w:tab w:val="left" w:pos="567"/>
        </w:tabs>
        <w:rPr>
          <w:szCs w:val="22"/>
          <w:lang w:val="it-IT"/>
        </w:rPr>
      </w:pPr>
      <w:r w:rsidRPr="00C9575C">
        <w:rPr>
          <w:szCs w:val="22"/>
          <w:lang w:val="it-IT"/>
        </w:rPr>
        <w:t xml:space="preserve">Questi possono riguardare </w:t>
      </w:r>
      <w:r w:rsidRPr="00C9575C">
        <w:rPr>
          <w:b/>
          <w:szCs w:val="22"/>
          <w:lang w:val="it-IT"/>
        </w:rPr>
        <w:t>fino ad 1</w:t>
      </w:r>
      <w:r w:rsidRPr="00C9575C">
        <w:rPr>
          <w:szCs w:val="22"/>
          <w:lang w:val="it-IT"/>
        </w:rPr>
        <w:t xml:space="preserve"> paziente</w:t>
      </w:r>
      <w:r w:rsidR="00195580" w:rsidRPr="00C9575C">
        <w:rPr>
          <w:b/>
          <w:szCs w:val="22"/>
          <w:lang w:val="it-IT"/>
        </w:rPr>
        <w:t xml:space="preserve"> su 1</w:t>
      </w:r>
      <w:r w:rsidRPr="00C9575C">
        <w:rPr>
          <w:b/>
          <w:szCs w:val="22"/>
          <w:lang w:val="it-IT"/>
        </w:rPr>
        <w:t>000:</w:t>
      </w:r>
    </w:p>
    <w:p w14:paraId="7F24939F" w14:textId="77777777" w:rsidR="00561813" w:rsidRPr="00C9575C" w:rsidRDefault="00561813" w:rsidP="008A0227">
      <w:pPr>
        <w:numPr>
          <w:ilvl w:val="0"/>
          <w:numId w:val="10"/>
        </w:numPr>
        <w:tabs>
          <w:tab w:val="clear" w:pos="720"/>
          <w:tab w:val="left" w:pos="567"/>
          <w:tab w:val="num" w:pos="709"/>
        </w:tabs>
        <w:ind w:hanging="436"/>
        <w:rPr>
          <w:szCs w:val="22"/>
          <w:lang w:val="it-IT"/>
        </w:rPr>
      </w:pPr>
      <w:r w:rsidRPr="00C9575C">
        <w:rPr>
          <w:szCs w:val="22"/>
          <w:lang w:val="it-IT"/>
        </w:rPr>
        <w:t>disturbi del fegato come ittero, fegato ingrossato o fegato grasso, infiammazione (</w:t>
      </w:r>
      <w:r w:rsidRPr="00C9575C">
        <w:rPr>
          <w:i/>
          <w:szCs w:val="22"/>
          <w:lang w:val="it-IT"/>
        </w:rPr>
        <w:t>epatite</w:t>
      </w:r>
      <w:r w:rsidRPr="00C9575C">
        <w:rPr>
          <w:szCs w:val="22"/>
          <w:lang w:val="it-IT"/>
        </w:rPr>
        <w:t>)</w:t>
      </w:r>
    </w:p>
    <w:p w14:paraId="39403C17" w14:textId="77777777" w:rsidR="00561813" w:rsidRPr="00C9575C" w:rsidRDefault="00561813" w:rsidP="008A0227">
      <w:pPr>
        <w:numPr>
          <w:ilvl w:val="0"/>
          <w:numId w:val="10"/>
        </w:numPr>
        <w:tabs>
          <w:tab w:val="clear" w:pos="720"/>
          <w:tab w:val="left" w:pos="567"/>
          <w:tab w:val="num" w:pos="709"/>
        </w:tabs>
        <w:ind w:hanging="436"/>
        <w:rPr>
          <w:szCs w:val="22"/>
          <w:lang w:val="it-IT"/>
        </w:rPr>
      </w:pPr>
      <w:r w:rsidRPr="00C9575C">
        <w:rPr>
          <w:szCs w:val="22"/>
          <w:lang w:val="it-IT"/>
        </w:rPr>
        <w:t>infiammazione del pancreas (</w:t>
      </w:r>
      <w:r w:rsidRPr="00C9575C">
        <w:rPr>
          <w:i/>
          <w:szCs w:val="22"/>
          <w:lang w:val="it-IT"/>
        </w:rPr>
        <w:t>pancreatite</w:t>
      </w:r>
      <w:r w:rsidRPr="00C9575C">
        <w:rPr>
          <w:szCs w:val="22"/>
          <w:lang w:val="it-IT"/>
        </w:rPr>
        <w:t>)</w:t>
      </w:r>
    </w:p>
    <w:p w14:paraId="704E059C" w14:textId="77777777" w:rsidR="00561813" w:rsidRPr="00C9575C" w:rsidRDefault="00561813" w:rsidP="008A0227">
      <w:pPr>
        <w:numPr>
          <w:ilvl w:val="0"/>
          <w:numId w:val="10"/>
        </w:numPr>
        <w:tabs>
          <w:tab w:val="clear" w:pos="720"/>
          <w:tab w:val="left" w:pos="567"/>
          <w:tab w:val="num" w:pos="709"/>
        </w:tabs>
        <w:ind w:hanging="436"/>
        <w:rPr>
          <w:szCs w:val="22"/>
          <w:lang w:val="it-IT"/>
        </w:rPr>
      </w:pPr>
      <w:r w:rsidRPr="00C9575C">
        <w:rPr>
          <w:szCs w:val="22"/>
          <w:lang w:val="it-IT"/>
        </w:rPr>
        <w:t>rottura del tessuto muscolare</w:t>
      </w:r>
    </w:p>
    <w:p w14:paraId="7C3A27E8" w14:textId="77777777" w:rsidR="003356ED" w:rsidRDefault="003356ED" w:rsidP="003356ED">
      <w:pPr>
        <w:rPr>
          <w:szCs w:val="22"/>
          <w:lang w:val="it-IT"/>
        </w:rPr>
      </w:pPr>
    </w:p>
    <w:p w14:paraId="5E19E165" w14:textId="77777777" w:rsidR="003356ED" w:rsidRDefault="003356ED" w:rsidP="003356ED">
      <w:pPr>
        <w:rPr>
          <w:szCs w:val="22"/>
          <w:lang w:val="it-IT"/>
        </w:rPr>
      </w:pPr>
    </w:p>
    <w:p w14:paraId="21E8D21C" w14:textId="77777777" w:rsidR="00561813" w:rsidRPr="00C9575C" w:rsidRDefault="00561813" w:rsidP="003356ED">
      <w:pPr>
        <w:rPr>
          <w:szCs w:val="22"/>
          <w:lang w:val="it-IT"/>
        </w:rPr>
      </w:pPr>
      <w:r w:rsidRPr="00C9575C">
        <w:rPr>
          <w:szCs w:val="22"/>
          <w:lang w:val="it-IT"/>
        </w:rPr>
        <w:lastRenderedPageBreak/>
        <w:t>Effetti indesiderati rari che possono essere rilevati dagli esami del sangue sono:</w:t>
      </w:r>
    </w:p>
    <w:p w14:paraId="7BD13DA8" w14:textId="77777777" w:rsidR="00561813" w:rsidRPr="00C9575C" w:rsidRDefault="00561813" w:rsidP="008A0227">
      <w:pPr>
        <w:numPr>
          <w:ilvl w:val="0"/>
          <w:numId w:val="10"/>
        </w:numPr>
        <w:tabs>
          <w:tab w:val="clear" w:pos="720"/>
          <w:tab w:val="left" w:pos="709"/>
          <w:tab w:val="num" w:pos="851"/>
        </w:tabs>
        <w:ind w:left="851" w:hanging="567"/>
        <w:rPr>
          <w:szCs w:val="22"/>
          <w:lang w:val="it-IT"/>
        </w:rPr>
      </w:pPr>
      <w:r w:rsidRPr="00C9575C">
        <w:rPr>
          <w:szCs w:val="22"/>
          <w:lang w:val="it-IT"/>
        </w:rPr>
        <w:t xml:space="preserve">aumento di un enzima chiamato </w:t>
      </w:r>
      <w:r w:rsidRPr="00C9575C">
        <w:rPr>
          <w:i/>
          <w:szCs w:val="22"/>
          <w:lang w:val="it-IT"/>
        </w:rPr>
        <w:t>amilasi</w:t>
      </w:r>
    </w:p>
    <w:p w14:paraId="25374CCB" w14:textId="77777777" w:rsidR="00561813" w:rsidRPr="00C9575C" w:rsidRDefault="00561813" w:rsidP="003356ED">
      <w:pPr>
        <w:tabs>
          <w:tab w:val="left" w:pos="567"/>
        </w:tabs>
        <w:rPr>
          <w:rStyle w:val="PageNumber"/>
          <w:b/>
          <w:szCs w:val="22"/>
          <w:lang w:val="it-IT"/>
        </w:rPr>
      </w:pPr>
    </w:p>
    <w:p w14:paraId="5589DDD6" w14:textId="77777777" w:rsidR="00561813" w:rsidRPr="00C9575C" w:rsidRDefault="00561813" w:rsidP="00561813">
      <w:pPr>
        <w:tabs>
          <w:tab w:val="left" w:pos="567"/>
        </w:tabs>
        <w:rPr>
          <w:rStyle w:val="PageNumber"/>
          <w:b/>
          <w:szCs w:val="22"/>
          <w:lang w:val="it-IT"/>
        </w:rPr>
      </w:pPr>
      <w:r w:rsidRPr="00C9575C">
        <w:rPr>
          <w:rStyle w:val="PageNumber"/>
          <w:b/>
          <w:szCs w:val="22"/>
          <w:lang w:val="it-IT"/>
        </w:rPr>
        <w:t>Effetti indesiderati molto rari</w:t>
      </w:r>
    </w:p>
    <w:p w14:paraId="25104FA2" w14:textId="77777777" w:rsidR="00561813" w:rsidRPr="00C9575C" w:rsidRDefault="00561813" w:rsidP="00561813">
      <w:pPr>
        <w:tabs>
          <w:tab w:val="left" w:pos="567"/>
        </w:tabs>
        <w:rPr>
          <w:b/>
          <w:szCs w:val="22"/>
          <w:lang w:val="it-IT"/>
        </w:rPr>
      </w:pPr>
      <w:r w:rsidRPr="00C9575C">
        <w:rPr>
          <w:rStyle w:val="PageNumber"/>
          <w:szCs w:val="22"/>
          <w:lang w:val="it-IT"/>
        </w:rPr>
        <w:t>Q</w:t>
      </w:r>
      <w:r w:rsidRPr="00C9575C">
        <w:rPr>
          <w:szCs w:val="22"/>
          <w:lang w:val="it-IT"/>
        </w:rPr>
        <w:t xml:space="preserve">uesti possono riguardare </w:t>
      </w:r>
      <w:r w:rsidRPr="00C9575C">
        <w:rPr>
          <w:b/>
          <w:szCs w:val="22"/>
          <w:lang w:val="it-IT"/>
        </w:rPr>
        <w:t xml:space="preserve">fino ad 1 </w:t>
      </w:r>
      <w:r w:rsidRPr="00C9575C">
        <w:rPr>
          <w:szCs w:val="22"/>
          <w:lang w:val="it-IT"/>
        </w:rPr>
        <w:t>paziente</w:t>
      </w:r>
      <w:r w:rsidRPr="00C9575C">
        <w:rPr>
          <w:b/>
          <w:szCs w:val="22"/>
          <w:lang w:val="it-IT"/>
        </w:rPr>
        <w:t xml:space="preserve"> su 10.000:</w:t>
      </w:r>
    </w:p>
    <w:p w14:paraId="7DCBBB1C" w14:textId="77777777" w:rsidR="00561813" w:rsidRPr="00C9575C" w:rsidRDefault="00561813" w:rsidP="008A0227">
      <w:pPr>
        <w:numPr>
          <w:ilvl w:val="0"/>
          <w:numId w:val="10"/>
        </w:numPr>
        <w:tabs>
          <w:tab w:val="clear" w:pos="720"/>
          <w:tab w:val="left" w:pos="709"/>
        </w:tabs>
        <w:ind w:hanging="436"/>
        <w:rPr>
          <w:szCs w:val="22"/>
          <w:lang w:val="it-IT"/>
        </w:rPr>
      </w:pPr>
      <w:r w:rsidRPr="00C9575C">
        <w:rPr>
          <w:lang w:val="it-IT"/>
        </w:rPr>
        <w:t xml:space="preserve">sensazione di intorpidimento o sensazione di formicolio </w:t>
      </w:r>
      <w:r w:rsidRPr="00C9575C">
        <w:rPr>
          <w:szCs w:val="22"/>
          <w:lang w:val="it-IT"/>
        </w:rPr>
        <w:t>nell</w:t>
      </w:r>
      <w:r w:rsidR="00C9073A" w:rsidRPr="00C9575C">
        <w:rPr>
          <w:szCs w:val="22"/>
          <w:lang w:val="it-IT"/>
        </w:rPr>
        <w:t>a</w:t>
      </w:r>
      <w:r w:rsidRPr="00C9575C">
        <w:rPr>
          <w:szCs w:val="22"/>
          <w:lang w:val="it-IT"/>
        </w:rPr>
        <w:t xml:space="preserve"> pelle (spilli e aghi)</w:t>
      </w:r>
    </w:p>
    <w:p w14:paraId="0BD62965" w14:textId="77777777" w:rsidR="00561813" w:rsidRPr="00C9575C" w:rsidRDefault="00561813" w:rsidP="008A0227">
      <w:pPr>
        <w:numPr>
          <w:ilvl w:val="0"/>
          <w:numId w:val="10"/>
        </w:numPr>
        <w:tabs>
          <w:tab w:val="clear" w:pos="720"/>
          <w:tab w:val="left" w:pos="709"/>
        </w:tabs>
        <w:ind w:left="709" w:hanging="425"/>
        <w:rPr>
          <w:b/>
          <w:szCs w:val="22"/>
          <w:lang w:val="it-IT"/>
        </w:rPr>
      </w:pPr>
      <w:r w:rsidRPr="00C9575C">
        <w:rPr>
          <w:szCs w:val="22"/>
          <w:lang w:val="it-IT"/>
        </w:rPr>
        <w:t>sensazione di debolezza delle braccia e delle gambe</w:t>
      </w:r>
    </w:p>
    <w:p w14:paraId="31FEC3DC" w14:textId="77777777" w:rsidR="00561813" w:rsidRPr="00C9575C" w:rsidRDefault="00561813" w:rsidP="008A0227">
      <w:pPr>
        <w:numPr>
          <w:ilvl w:val="0"/>
          <w:numId w:val="10"/>
        </w:numPr>
        <w:tabs>
          <w:tab w:val="clear" w:pos="720"/>
          <w:tab w:val="left" w:pos="709"/>
        </w:tabs>
        <w:ind w:left="709" w:hanging="425"/>
        <w:rPr>
          <w:szCs w:val="22"/>
          <w:lang w:val="it-IT"/>
        </w:rPr>
      </w:pPr>
      <w:r w:rsidRPr="00C9575C">
        <w:rPr>
          <w:szCs w:val="22"/>
          <w:lang w:val="it-IT"/>
        </w:rPr>
        <w:t>eruzione cutanea con formazioni di vescicole simili a dei piccoli bersagli (una macchia scura al centro circondata da un’area chiara con un anello nero attorno al bordo) (</w:t>
      </w:r>
      <w:r w:rsidRPr="00C9575C">
        <w:rPr>
          <w:i/>
          <w:szCs w:val="22"/>
          <w:lang w:val="it-IT"/>
        </w:rPr>
        <w:t>eritema multiforme</w:t>
      </w:r>
      <w:r w:rsidRPr="00C9575C">
        <w:rPr>
          <w:szCs w:val="22"/>
          <w:lang w:val="it-IT"/>
        </w:rPr>
        <w:t>)</w:t>
      </w:r>
    </w:p>
    <w:p w14:paraId="15ACA34B" w14:textId="77777777" w:rsidR="00561813" w:rsidRPr="00C9575C" w:rsidRDefault="00561813" w:rsidP="008A0227">
      <w:pPr>
        <w:numPr>
          <w:ilvl w:val="0"/>
          <w:numId w:val="10"/>
        </w:numPr>
        <w:tabs>
          <w:tab w:val="clear" w:pos="720"/>
          <w:tab w:val="left" w:pos="709"/>
        </w:tabs>
        <w:ind w:left="709" w:hanging="425"/>
        <w:rPr>
          <w:szCs w:val="22"/>
          <w:lang w:val="it-IT"/>
        </w:rPr>
      </w:pPr>
      <w:r w:rsidRPr="00C9575C">
        <w:rPr>
          <w:szCs w:val="22"/>
          <w:lang w:val="it-IT"/>
        </w:rPr>
        <w:t>eruzione cutanea diffusa con vescicole e desquamazione della pelle soprattutto attorno alla bocca, al naso, agli occhi e ai genitali (</w:t>
      </w:r>
      <w:r w:rsidRPr="00C9575C">
        <w:rPr>
          <w:i/>
          <w:szCs w:val="22"/>
          <w:lang w:val="it-IT"/>
        </w:rPr>
        <w:t>sindrome di Stevens-Johnson</w:t>
      </w:r>
      <w:r w:rsidRPr="00C9575C">
        <w:rPr>
          <w:szCs w:val="22"/>
          <w:lang w:val="it-IT"/>
        </w:rPr>
        <w:t>) e una forma più grave che provoca la desquamazione della pelle in più del 30% della superficie del corpo (</w:t>
      </w:r>
      <w:r w:rsidRPr="00C9575C">
        <w:rPr>
          <w:i/>
          <w:szCs w:val="22"/>
          <w:lang w:val="it-IT"/>
        </w:rPr>
        <w:t>necrolisi epidermica tossica</w:t>
      </w:r>
      <w:r w:rsidRPr="00C9575C">
        <w:rPr>
          <w:szCs w:val="22"/>
          <w:lang w:val="it-IT"/>
        </w:rPr>
        <w:t>).</w:t>
      </w:r>
    </w:p>
    <w:p w14:paraId="1B013BF4" w14:textId="77777777" w:rsidR="008248DD" w:rsidRPr="00C9575C" w:rsidRDefault="008248DD" w:rsidP="008A0227">
      <w:pPr>
        <w:numPr>
          <w:ilvl w:val="0"/>
          <w:numId w:val="10"/>
        </w:numPr>
        <w:tabs>
          <w:tab w:val="clear" w:pos="720"/>
          <w:tab w:val="left" w:pos="709"/>
        </w:tabs>
        <w:ind w:left="709" w:hanging="425"/>
        <w:rPr>
          <w:szCs w:val="22"/>
          <w:lang w:val="it-IT"/>
        </w:rPr>
      </w:pPr>
      <w:r w:rsidRPr="00C9575C">
        <w:rPr>
          <w:szCs w:val="22"/>
          <w:lang w:val="it-IT"/>
        </w:rPr>
        <w:t>acidosi lattica (eccesso di acido lattico nel sangue)</w:t>
      </w:r>
    </w:p>
    <w:p w14:paraId="1965D2F7" w14:textId="77777777" w:rsidR="00D60749" w:rsidRPr="00C9575C" w:rsidRDefault="00D60749" w:rsidP="0079256C">
      <w:pPr>
        <w:pStyle w:val="ListParagraph"/>
        <w:tabs>
          <w:tab w:val="left" w:pos="426"/>
        </w:tabs>
        <w:spacing w:after="0" w:line="240" w:lineRule="auto"/>
        <w:ind w:left="426"/>
        <w:rPr>
          <w:rFonts w:ascii="Times New Roman" w:hAnsi="Times New Roman"/>
          <w:b/>
          <w:lang w:val="it-IT"/>
        </w:rPr>
      </w:pPr>
    </w:p>
    <w:p w14:paraId="725B009B" w14:textId="77777777" w:rsidR="00561813" w:rsidRPr="00C9575C" w:rsidRDefault="00561813" w:rsidP="0079256C">
      <w:pPr>
        <w:pStyle w:val="ListParagraph"/>
        <w:tabs>
          <w:tab w:val="left" w:pos="426"/>
        </w:tabs>
        <w:spacing w:after="0" w:line="240" w:lineRule="auto"/>
        <w:ind w:left="426"/>
        <w:rPr>
          <w:rFonts w:ascii="Times New Roman" w:hAnsi="Times New Roman"/>
          <w:b/>
          <w:lang w:val="it-IT"/>
        </w:rPr>
      </w:pPr>
      <w:r w:rsidRPr="00C9575C">
        <w:rPr>
          <w:rFonts w:ascii="Times New Roman" w:hAnsi="Times New Roman"/>
          <w:b/>
          <w:lang w:val="it-IT"/>
        </w:rPr>
        <w:t>Se nota uno qualsiasi di questi sintomi contatti urgentemente il medico.</w:t>
      </w:r>
    </w:p>
    <w:p w14:paraId="283320F6" w14:textId="77777777" w:rsidR="00561813" w:rsidRPr="00C9575C" w:rsidRDefault="00561813" w:rsidP="00561813">
      <w:pPr>
        <w:tabs>
          <w:tab w:val="left" w:pos="426"/>
        </w:tabs>
        <w:rPr>
          <w:b/>
          <w:szCs w:val="22"/>
          <w:lang w:val="it-IT"/>
        </w:rPr>
      </w:pPr>
    </w:p>
    <w:p w14:paraId="4C845183" w14:textId="77777777" w:rsidR="00561813" w:rsidRPr="00C9575C" w:rsidRDefault="00561813" w:rsidP="00561813">
      <w:pPr>
        <w:tabs>
          <w:tab w:val="left" w:pos="426"/>
        </w:tabs>
        <w:rPr>
          <w:szCs w:val="22"/>
          <w:lang w:val="it-IT"/>
        </w:rPr>
      </w:pPr>
      <w:r w:rsidRPr="00C9575C">
        <w:rPr>
          <w:szCs w:val="22"/>
          <w:lang w:val="it-IT"/>
        </w:rPr>
        <w:t>Un effetto indesiderato molto raro che può essere rilevato dagli esami del sangue è:</w:t>
      </w:r>
    </w:p>
    <w:p w14:paraId="0B37E7C2" w14:textId="77777777" w:rsidR="00561813" w:rsidRPr="00C9575C" w:rsidRDefault="00561813" w:rsidP="00721816">
      <w:pPr>
        <w:numPr>
          <w:ilvl w:val="0"/>
          <w:numId w:val="10"/>
        </w:numPr>
        <w:tabs>
          <w:tab w:val="clear" w:pos="720"/>
          <w:tab w:val="left" w:pos="426"/>
        </w:tabs>
        <w:ind w:left="426" w:hanging="426"/>
        <w:rPr>
          <w:szCs w:val="22"/>
          <w:lang w:val="it-IT"/>
        </w:rPr>
      </w:pPr>
      <w:r w:rsidRPr="00C9575C">
        <w:rPr>
          <w:szCs w:val="22"/>
          <w:lang w:val="it-IT"/>
        </w:rPr>
        <w:t>insufficienza del midollo osseo a produrre nuovi globuli rossi (</w:t>
      </w:r>
      <w:r w:rsidRPr="00C9575C">
        <w:rPr>
          <w:i/>
          <w:szCs w:val="22"/>
          <w:lang w:val="it-IT"/>
        </w:rPr>
        <w:t>aplasia eritrocitaria pura</w:t>
      </w:r>
      <w:r w:rsidRPr="00C9575C">
        <w:rPr>
          <w:szCs w:val="22"/>
          <w:lang w:val="it-IT"/>
        </w:rPr>
        <w:t>).</w:t>
      </w:r>
    </w:p>
    <w:p w14:paraId="7AC2B6CB" w14:textId="77777777" w:rsidR="00561813" w:rsidRPr="00C9575C" w:rsidRDefault="00561813" w:rsidP="00561813">
      <w:pPr>
        <w:tabs>
          <w:tab w:val="left" w:pos="567"/>
        </w:tabs>
        <w:rPr>
          <w:rStyle w:val="PageNumber"/>
          <w:b/>
          <w:szCs w:val="22"/>
          <w:lang w:val="it-IT"/>
        </w:rPr>
      </w:pPr>
    </w:p>
    <w:p w14:paraId="1AEB883A" w14:textId="77777777" w:rsidR="00561813" w:rsidRPr="00C9575C" w:rsidRDefault="00561813" w:rsidP="0079256C">
      <w:pPr>
        <w:spacing w:after="120"/>
        <w:rPr>
          <w:lang w:val="it-IT"/>
        </w:rPr>
      </w:pPr>
      <w:r w:rsidRPr="00C9575C">
        <w:rPr>
          <w:b/>
          <w:szCs w:val="22"/>
          <w:lang w:val="it-IT"/>
        </w:rPr>
        <w:t>Se riscontra effetti indesiderati</w:t>
      </w:r>
    </w:p>
    <w:p w14:paraId="58D5E3EC" w14:textId="77777777" w:rsidR="00561813" w:rsidRPr="00C9575C" w:rsidRDefault="00561813" w:rsidP="003607C8">
      <w:pPr>
        <w:pStyle w:val="Action"/>
        <w:tabs>
          <w:tab w:val="clear" w:pos="284"/>
          <w:tab w:val="left" w:pos="426"/>
        </w:tabs>
        <w:spacing w:before="0" w:line="240" w:lineRule="auto"/>
        <w:ind w:left="360"/>
        <w:rPr>
          <w:szCs w:val="22"/>
        </w:rPr>
      </w:pPr>
      <w:r w:rsidRPr="00C9575C">
        <w:rPr>
          <w:b/>
          <w:szCs w:val="22"/>
        </w:rPr>
        <w:t xml:space="preserve">Informi il medico o il farmacista </w:t>
      </w:r>
      <w:r w:rsidRPr="00C9575C">
        <w:rPr>
          <w:szCs w:val="22"/>
        </w:rPr>
        <w:t>se uno qualsiasi degli effetti indesiderati diviene grave o preoccupante, o se nota un qualsiasi effetto indesiderato non elencato in questo foglio.</w:t>
      </w:r>
    </w:p>
    <w:p w14:paraId="2095C02F" w14:textId="77777777" w:rsidR="003607C8" w:rsidRPr="00C9575C" w:rsidRDefault="003607C8" w:rsidP="003607C8">
      <w:pPr>
        <w:rPr>
          <w:b/>
          <w:szCs w:val="22"/>
          <w:lang w:val="it-IT"/>
        </w:rPr>
      </w:pPr>
    </w:p>
    <w:p w14:paraId="2BFA90AF" w14:textId="77777777" w:rsidR="00561813" w:rsidRPr="00C9575C" w:rsidRDefault="00561813" w:rsidP="003607C8">
      <w:pPr>
        <w:spacing w:after="120"/>
        <w:rPr>
          <w:b/>
          <w:szCs w:val="22"/>
          <w:lang w:val="it-IT"/>
        </w:rPr>
      </w:pPr>
      <w:r w:rsidRPr="00C9575C">
        <w:rPr>
          <w:b/>
          <w:szCs w:val="22"/>
          <w:lang w:val="it-IT"/>
        </w:rPr>
        <w:t>Altri possibili effetti indesiderati della terapia di combinazione per l’HIV</w:t>
      </w:r>
    </w:p>
    <w:p w14:paraId="468D5999" w14:textId="77777777" w:rsidR="00561813" w:rsidRPr="00C9575C" w:rsidRDefault="00561813" w:rsidP="003607C8">
      <w:pPr>
        <w:spacing w:after="120"/>
        <w:rPr>
          <w:szCs w:val="22"/>
          <w:lang w:val="it-IT"/>
        </w:rPr>
      </w:pPr>
      <w:r w:rsidRPr="00C9575C">
        <w:rPr>
          <w:szCs w:val="22"/>
          <w:lang w:val="it-IT"/>
        </w:rPr>
        <w:t xml:space="preserve">La terapia di </w:t>
      </w:r>
      <w:r w:rsidR="00AF21DD" w:rsidRPr="00C9575C">
        <w:rPr>
          <w:szCs w:val="22"/>
          <w:lang w:val="it-IT"/>
        </w:rPr>
        <w:t xml:space="preserve">combinazione </w:t>
      </w:r>
      <w:r w:rsidRPr="00C9575C">
        <w:rPr>
          <w:szCs w:val="22"/>
          <w:lang w:val="it-IT"/>
        </w:rPr>
        <w:t>come Kivexa può causare lo sviluppo di altre malattie durante il trattamento per l’HIV.</w:t>
      </w:r>
    </w:p>
    <w:p w14:paraId="37B31C1F" w14:textId="77777777" w:rsidR="00561813" w:rsidRPr="00C9575C" w:rsidRDefault="00413D08" w:rsidP="006927F1">
      <w:pPr>
        <w:spacing w:after="120"/>
        <w:rPr>
          <w:b/>
          <w:szCs w:val="22"/>
          <w:lang w:val="it-IT"/>
        </w:rPr>
      </w:pPr>
      <w:r w:rsidRPr="00C9575C">
        <w:rPr>
          <w:b/>
          <w:szCs w:val="22"/>
          <w:lang w:val="it-IT"/>
        </w:rPr>
        <w:t>Sintomi di infezione e infiammazione</w:t>
      </w:r>
    </w:p>
    <w:p w14:paraId="6D4AAD6C" w14:textId="77777777" w:rsidR="009669D2" w:rsidRPr="00C9575C" w:rsidRDefault="009669D2" w:rsidP="006927F1">
      <w:pPr>
        <w:spacing w:after="120"/>
        <w:rPr>
          <w:b/>
          <w:szCs w:val="22"/>
          <w:lang w:val="it-IT"/>
        </w:rPr>
      </w:pPr>
      <w:r w:rsidRPr="00C9575C">
        <w:rPr>
          <w:b/>
          <w:szCs w:val="22"/>
          <w:lang w:val="it-IT"/>
        </w:rPr>
        <w:t>Vecchie infezioni possono riacutizzarsi</w:t>
      </w:r>
    </w:p>
    <w:p w14:paraId="64EBF21B" w14:textId="77777777" w:rsidR="00413D08" w:rsidRPr="00C9575C" w:rsidRDefault="00413D08" w:rsidP="006927F1">
      <w:pPr>
        <w:pStyle w:val="BodyText3"/>
        <w:jc w:val="left"/>
        <w:rPr>
          <w:szCs w:val="22"/>
          <w:lang w:val="it-IT"/>
        </w:rPr>
      </w:pPr>
      <w:r w:rsidRPr="00C9575C">
        <w:rPr>
          <w:szCs w:val="22"/>
          <w:lang w:val="it-IT"/>
        </w:rPr>
        <w:t>Le persone con infezione avanzata da HIV (AIDS) hanno il sistema immunitario indebolito e hanno maggiore probabilità di sviluppare infezioni gravi (</w:t>
      </w:r>
      <w:r w:rsidRPr="00C9575C">
        <w:rPr>
          <w:i/>
          <w:szCs w:val="22"/>
          <w:lang w:val="it-IT"/>
        </w:rPr>
        <w:t>infezioni opportunistiche</w:t>
      </w:r>
      <w:r w:rsidRPr="00C9575C">
        <w:rPr>
          <w:szCs w:val="22"/>
          <w:lang w:val="it-IT"/>
        </w:rPr>
        <w:t xml:space="preserve">). Tali infezioni possono essere “silenti” e non rilevate dal sistema immunitario indebolito prima </w:t>
      </w:r>
      <w:r w:rsidR="00796BB4" w:rsidRPr="00C9575C">
        <w:rPr>
          <w:szCs w:val="22"/>
          <w:lang w:val="it-IT"/>
        </w:rPr>
        <w:t>dell’</w:t>
      </w:r>
      <w:r w:rsidRPr="00C9575C">
        <w:rPr>
          <w:szCs w:val="22"/>
          <w:lang w:val="it-IT"/>
        </w:rPr>
        <w:t xml:space="preserve">inizio </w:t>
      </w:r>
      <w:r w:rsidR="00796BB4" w:rsidRPr="00C9575C">
        <w:rPr>
          <w:szCs w:val="22"/>
          <w:lang w:val="it-IT"/>
        </w:rPr>
        <w:t>del</w:t>
      </w:r>
      <w:r w:rsidRPr="00C9575C">
        <w:rPr>
          <w:szCs w:val="22"/>
          <w:lang w:val="it-IT"/>
        </w:rPr>
        <w:t xml:space="preserve"> trattamento. Dopo l’inizio del trattamento, il sistema immunitario diventa più forte e può reagire contro le infezioni causando sintomi di infezione o infiammazione. I sintomi generalmente includono </w:t>
      </w:r>
      <w:r w:rsidRPr="00C9575C">
        <w:rPr>
          <w:b/>
          <w:szCs w:val="22"/>
          <w:lang w:val="it-IT"/>
        </w:rPr>
        <w:t>febbre,</w:t>
      </w:r>
      <w:r w:rsidRPr="00C9575C">
        <w:rPr>
          <w:szCs w:val="22"/>
          <w:lang w:val="it-IT"/>
        </w:rPr>
        <w:t xml:space="preserve"> più alcuni dei seguenti sintomi:</w:t>
      </w:r>
    </w:p>
    <w:p w14:paraId="4AB3E8F9" w14:textId="77777777" w:rsidR="00413D08" w:rsidRPr="00C9575C" w:rsidRDefault="00413D08" w:rsidP="00721816">
      <w:pPr>
        <w:pStyle w:val="BodyText3"/>
        <w:numPr>
          <w:ilvl w:val="0"/>
          <w:numId w:val="2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222"/>
          <w:tab w:val="left" w:pos="567"/>
        </w:tabs>
        <w:ind w:left="721" w:right="0" w:hanging="437"/>
        <w:jc w:val="left"/>
        <w:rPr>
          <w:szCs w:val="22"/>
          <w:lang w:val="it-IT"/>
        </w:rPr>
      </w:pPr>
      <w:r w:rsidRPr="00C9575C">
        <w:rPr>
          <w:szCs w:val="22"/>
          <w:lang w:val="it-IT"/>
        </w:rPr>
        <w:t>mal di testa</w:t>
      </w:r>
    </w:p>
    <w:p w14:paraId="72FD7943" w14:textId="77777777" w:rsidR="00413D08" w:rsidRPr="00C9575C" w:rsidRDefault="00413D08" w:rsidP="00721816">
      <w:pPr>
        <w:pStyle w:val="BodyText3"/>
        <w:numPr>
          <w:ilvl w:val="0"/>
          <w:numId w:val="2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222"/>
          <w:tab w:val="left" w:pos="567"/>
        </w:tabs>
        <w:ind w:left="721" w:right="0" w:hanging="437"/>
        <w:jc w:val="left"/>
        <w:rPr>
          <w:szCs w:val="22"/>
          <w:lang w:val="it-IT"/>
        </w:rPr>
      </w:pPr>
      <w:r w:rsidRPr="00C9575C">
        <w:rPr>
          <w:szCs w:val="22"/>
          <w:lang w:val="it-IT"/>
        </w:rPr>
        <w:t>mal di stomaco</w:t>
      </w:r>
    </w:p>
    <w:p w14:paraId="0121F342" w14:textId="77777777" w:rsidR="00413D08" w:rsidRPr="00C9575C" w:rsidRDefault="00413D08" w:rsidP="00721816">
      <w:pPr>
        <w:pStyle w:val="BodyText3"/>
        <w:numPr>
          <w:ilvl w:val="0"/>
          <w:numId w:val="2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222"/>
          <w:tab w:val="left" w:pos="567"/>
        </w:tabs>
        <w:ind w:left="721" w:right="0" w:hanging="437"/>
        <w:jc w:val="left"/>
        <w:rPr>
          <w:szCs w:val="22"/>
          <w:lang w:val="it-IT"/>
        </w:rPr>
      </w:pPr>
      <w:r w:rsidRPr="00C9575C">
        <w:rPr>
          <w:szCs w:val="22"/>
          <w:lang w:val="it-IT"/>
        </w:rPr>
        <w:t>difficoltà di respirazione</w:t>
      </w:r>
    </w:p>
    <w:p w14:paraId="0E7DDE75" w14:textId="77777777" w:rsidR="00DF4AC4" w:rsidRPr="00C9575C" w:rsidRDefault="00DF4AC4" w:rsidP="006927F1">
      <w:pPr>
        <w:pStyle w:val="BodyText3"/>
        <w:jc w:val="left"/>
        <w:rPr>
          <w:szCs w:val="22"/>
          <w:lang w:val="it-IT"/>
        </w:rPr>
      </w:pPr>
    </w:p>
    <w:p w14:paraId="0DCBD9D1" w14:textId="77777777" w:rsidR="00413D08" w:rsidRPr="00C9575C" w:rsidRDefault="00413D08" w:rsidP="006927F1">
      <w:pPr>
        <w:pStyle w:val="BodyText3"/>
        <w:jc w:val="left"/>
        <w:rPr>
          <w:szCs w:val="22"/>
          <w:lang w:val="it-IT"/>
        </w:rPr>
      </w:pPr>
      <w:r w:rsidRPr="00C9575C">
        <w:rPr>
          <w:szCs w:val="22"/>
          <w:lang w:val="it-IT"/>
        </w:rPr>
        <w:t>In rari casi, poiché il sistema immunitario si rinforza, esso può anche attaccare i tessuti sani del corpo (</w:t>
      </w:r>
      <w:r w:rsidRPr="00C9575C">
        <w:rPr>
          <w:i/>
          <w:szCs w:val="22"/>
          <w:lang w:val="it-IT"/>
        </w:rPr>
        <w:t>disturbi autoimmunitari</w:t>
      </w:r>
      <w:r w:rsidRPr="00C9575C">
        <w:rPr>
          <w:szCs w:val="22"/>
          <w:lang w:val="it-IT"/>
        </w:rPr>
        <w:t>). I sintomi dei disturbi autoimmunitari possono svilupparsi molti mesi dopo l’inizio dell’assunzione del medicinale per il trattamento dell’infezione da HIV. I sintomi possono includere:</w:t>
      </w:r>
    </w:p>
    <w:p w14:paraId="606FE574" w14:textId="77777777" w:rsidR="00413D08" w:rsidRPr="00C9575C" w:rsidRDefault="00413D08" w:rsidP="00721816">
      <w:pPr>
        <w:pStyle w:val="BodyText3"/>
        <w:numPr>
          <w:ilvl w:val="0"/>
          <w:numId w:val="2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222"/>
          <w:tab w:val="left" w:pos="567"/>
        </w:tabs>
        <w:ind w:right="0" w:hanging="436"/>
        <w:jc w:val="left"/>
        <w:rPr>
          <w:szCs w:val="22"/>
          <w:lang w:val="it-IT"/>
        </w:rPr>
      </w:pPr>
      <w:r w:rsidRPr="00C9575C">
        <w:rPr>
          <w:szCs w:val="22"/>
          <w:lang w:val="it-IT"/>
        </w:rPr>
        <w:t>palpitazioni (battito cardiaco rapido o irregolare) o tremore</w:t>
      </w:r>
    </w:p>
    <w:p w14:paraId="3FC27004" w14:textId="77777777" w:rsidR="00413D08" w:rsidRPr="00C9575C" w:rsidRDefault="00413D08" w:rsidP="00721816">
      <w:pPr>
        <w:pStyle w:val="BodyText3"/>
        <w:numPr>
          <w:ilvl w:val="0"/>
          <w:numId w:val="2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222"/>
          <w:tab w:val="left" w:pos="567"/>
        </w:tabs>
        <w:ind w:right="0" w:hanging="436"/>
        <w:jc w:val="left"/>
        <w:rPr>
          <w:szCs w:val="22"/>
          <w:lang w:val="it-IT"/>
        </w:rPr>
      </w:pPr>
      <w:r w:rsidRPr="00C9575C">
        <w:rPr>
          <w:szCs w:val="22"/>
          <w:lang w:val="it-IT"/>
        </w:rPr>
        <w:t>iperattività (agitazione e movimento eccessivi)</w:t>
      </w:r>
    </w:p>
    <w:p w14:paraId="21501595" w14:textId="77777777" w:rsidR="00413D08" w:rsidRPr="00C9575C" w:rsidRDefault="00413D08" w:rsidP="00721816">
      <w:pPr>
        <w:pStyle w:val="BodyText3"/>
        <w:numPr>
          <w:ilvl w:val="0"/>
          <w:numId w:val="2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222"/>
          <w:tab w:val="left" w:pos="567"/>
        </w:tabs>
        <w:spacing w:after="120"/>
        <w:ind w:right="0" w:hanging="436"/>
        <w:jc w:val="left"/>
        <w:rPr>
          <w:szCs w:val="22"/>
          <w:lang w:val="it-IT"/>
        </w:rPr>
      </w:pPr>
      <w:r w:rsidRPr="00C9575C">
        <w:rPr>
          <w:szCs w:val="22"/>
          <w:lang w:val="it-IT"/>
        </w:rPr>
        <w:t>debolezza che inizia nelle mani e nei piedi e si estende verso il tronco del corpo.</w:t>
      </w:r>
    </w:p>
    <w:p w14:paraId="1858BD96" w14:textId="77777777" w:rsidR="003607C8" w:rsidRPr="00C9575C" w:rsidRDefault="00561813" w:rsidP="003607C8">
      <w:pPr>
        <w:pStyle w:val="BodyText3"/>
        <w:rPr>
          <w:szCs w:val="22"/>
          <w:lang w:val="it-IT"/>
        </w:rPr>
      </w:pPr>
      <w:r w:rsidRPr="00C9575C">
        <w:rPr>
          <w:b/>
          <w:lang w:val="it-IT"/>
        </w:rPr>
        <w:t>Se</w:t>
      </w:r>
      <w:r w:rsidRPr="00C9575C">
        <w:rPr>
          <w:lang w:val="it-IT"/>
        </w:rPr>
        <w:t xml:space="preserve"> </w:t>
      </w:r>
      <w:r w:rsidR="00413D08" w:rsidRPr="00C9575C">
        <w:rPr>
          <w:b/>
          <w:szCs w:val="22"/>
          <w:lang w:val="it-IT"/>
        </w:rPr>
        <w:t xml:space="preserve">manifesta qualsiasi sintomo di infezione </w:t>
      </w:r>
      <w:r w:rsidR="00413D08" w:rsidRPr="00C9575C">
        <w:rPr>
          <w:szCs w:val="22"/>
          <w:lang w:val="it-IT"/>
        </w:rPr>
        <w:t>e infiammazione o se nota uno dei sintomi riportati sopra:</w:t>
      </w:r>
    </w:p>
    <w:p w14:paraId="1F6DEFC6" w14:textId="77777777" w:rsidR="00561813" w:rsidRPr="00C03451" w:rsidRDefault="00561813" w:rsidP="003356ED">
      <w:pPr>
        <w:pStyle w:val="BodyText3"/>
        <w:tabs>
          <w:tab w:val="clear" w:pos="0"/>
          <w:tab w:val="left" w:pos="426"/>
        </w:tabs>
        <w:ind w:left="284"/>
        <w:rPr>
          <w:lang w:val="it-IT"/>
        </w:rPr>
      </w:pPr>
      <w:r w:rsidRPr="00C03451">
        <w:rPr>
          <w:b/>
          <w:lang w:val="it-IT"/>
        </w:rPr>
        <w:t>informi il medico immediatamente</w:t>
      </w:r>
      <w:r w:rsidRPr="00C03451">
        <w:rPr>
          <w:lang w:val="it-IT"/>
        </w:rPr>
        <w:t>. Non assuma altri medicinali per l’infezione senza consiglio del medico.</w:t>
      </w:r>
    </w:p>
    <w:p w14:paraId="57942EF5" w14:textId="31A5C5CC" w:rsidR="00466F97" w:rsidRDefault="00466F97">
      <w:pPr>
        <w:rPr>
          <w:b/>
          <w:lang w:val="it-IT"/>
        </w:rPr>
      </w:pPr>
      <w:r>
        <w:rPr>
          <w:b/>
          <w:lang w:val="it-IT"/>
        </w:rPr>
        <w:br w:type="page"/>
      </w:r>
    </w:p>
    <w:p w14:paraId="6ADA5766" w14:textId="77777777" w:rsidR="00561813" w:rsidRPr="00C9575C" w:rsidRDefault="00561813" w:rsidP="003607C8">
      <w:pPr>
        <w:tabs>
          <w:tab w:val="left" w:pos="567"/>
        </w:tabs>
        <w:spacing w:after="120"/>
        <w:rPr>
          <w:b/>
          <w:lang w:val="it-IT"/>
        </w:rPr>
      </w:pPr>
      <w:r w:rsidRPr="00C9575C">
        <w:rPr>
          <w:b/>
          <w:lang w:val="it-IT"/>
        </w:rPr>
        <w:lastRenderedPageBreak/>
        <w:t>Può avere problemi alle ossa</w:t>
      </w:r>
    </w:p>
    <w:p w14:paraId="5557E18F" w14:textId="77777777" w:rsidR="00561813" w:rsidRPr="00C9575C" w:rsidRDefault="00561813" w:rsidP="003607C8">
      <w:pPr>
        <w:pStyle w:val="BodyText"/>
        <w:spacing w:after="120"/>
        <w:rPr>
          <w:b/>
          <w:i/>
        </w:rPr>
      </w:pPr>
      <w:r w:rsidRPr="00C9575C">
        <w:t xml:space="preserve">Alcune persone in terapia antiretrovirale di </w:t>
      </w:r>
      <w:r w:rsidR="00AF21DD" w:rsidRPr="00C9575C">
        <w:t xml:space="preserve">combinazione </w:t>
      </w:r>
      <w:r w:rsidRPr="00C9575C">
        <w:t xml:space="preserve">per l’infezione da HIV sviluppano una condizione definita </w:t>
      </w:r>
      <w:r w:rsidRPr="00C9575C">
        <w:rPr>
          <w:i/>
        </w:rPr>
        <w:t>osteonecrosi</w:t>
      </w:r>
      <w:r w:rsidRPr="00C9575C">
        <w:t>. A seguito di questa malattia, parte del tessuto osseo muore a causa del ridotto afflusso di sangue all’osso. Le persone possono essere più portate a sviluppare tale malattia:</w:t>
      </w:r>
    </w:p>
    <w:p w14:paraId="27750E62" w14:textId="77777777" w:rsidR="00561813" w:rsidRPr="00C9575C" w:rsidRDefault="00561813" w:rsidP="008A0227">
      <w:pPr>
        <w:pStyle w:val="BodyText"/>
        <w:widowControl w:val="0"/>
        <w:numPr>
          <w:ilvl w:val="0"/>
          <w:numId w:val="11"/>
        </w:numPr>
        <w:adjustRightInd w:val="0"/>
        <w:ind w:left="567" w:hanging="283"/>
        <w:jc w:val="both"/>
        <w:textAlignment w:val="baseline"/>
        <w:rPr>
          <w:b/>
          <w:i/>
        </w:rPr>
      </w:pPr>
      <w:r w:rsidRPr="00C9575C">
        <w:t xml:space="preserve">se hanno assunto la terapia di </w:t>
      </w:r>
      <w:r w:rsidR="00AF21DD" w:rsidRPr="00C9575C">
        <w:t xml:space="preserve">combinazione </w:t>
      </w:r>
      <w:r w:rsidRPr="00C9575C">
        <w:t>per un lungo periodo</w:t>
      </w:r>
    </w:p>
    <w:p w14:paraId="50B57A80" w14:textId="77777777" w:rsidR="00561813" w:rsidRPr="00C9575C" w:rsidRDefault="00561813" w:rsidP="008A0227">
      <w:pPr>
        <w:pStyle w:val="BodyText"/>
        <w:widowControl w:val="0"/>
        <w:numPr>
          <w:ilvl w:val="0"/>
          <w:numId w:val="11"/>
        </w:numPr>
        <w:adjustRightInd w:val="0"/>
        <w:ind w:left="567" w:hanging="283"/>
        <w:jc w:val="both"/>
        <w:textAlignment w:val="baseline"/>
        <w:rPr>
          <w:b/>
          <w:i/>
        </w:rPr>
      </w:pPr>
      <w:r w:rsidRPr="00C9575C">
        <w:t>se assumono anche farmaci antinfiammatori chiamati corticosteroidi</w:t>
      </w:r>
    </w:p>
    <w:p w14:paraId="5D29637B" w14:textId="77777777" w:rsidR="00561813" w:rsidRPr="00C9575C" w:rsidRDefault="00561813" w:rsidP="008A0227">
      <w:pPr>
        <w:pStyle w:val="BodyText"/>
        <w:widowControl w:val="0"/>
        <w:numPr>
          <w:ilvl w:val="0"/>
          <w:numId w:val="11"/>
        </w:numPr>
        <w:adjustRightInd w:val="0"/>
        <w:ind w:left="567" w:hanging="283"/>
        <w:jc w:val="both"/>
        <w:textAlignment w:val="baseline"/>
        <w:rPr>
          <w:b/>
          <w:i/>
        </w:rPr>
      </w:pPr>
      <w:r w:rsidRPr="00C9575C">
        <w:t>se assumono bevande alcoliche</w:t>
      </w:r>
    </w:p>
    <w:p w14:paraId="17DA3D81" w14:textId="77777777" w:rsidR="00561813" w:rsidRPr="00C9575C" w:rsidRDefault="00561813" w:rsidP="008A0227">
      <w:pPr>
        <w:pStyle w:val="BodyText"/>
        <w:widowControl w:val="0"/>
        <w:numPr>
          <w:ilvl w:val="0"/>
          <w:numId w:val="11"/>
        </w:numPr>
        <w:adjustRightInd w:val="0"/>
        <w:ind w:left="567" w:hanging="283"/>
        <w:jc w:val="both"/>
        <w:textAlignment w:val="baseline"/>
        <w:rPr>
          <w:b/>
          <w:i/>
        </w:rPr>
      </w:pPr>
      <w:r w:rsidRPr="00C9575C">
        <w:t>se il loro sistema immunitario è molto debole</w:t>
      </w:r>
    </w:p>
    <w:p w14:paraId="2A762CD8" w14:textId="77777777" w:rsidR="00561813" w:rsidRPr="00C9575C" w:rsidRDefault="00561813" w:rsidP="008A0227">
      <w:pPr>
        <w:pStyle w:val="BodyText"/>
        <w:widowControl w:val="0"/>
        <w:numPr>
          <w:ilvl w:val="0"/>
          <w:numId w:val="11"/>
        </w:numPr>
        <w:adjustRightInd w:val="0"/>
        <w:ind w:left="567" w:hanging="283"/>
        <w:jc w:val="both"/>
        <w:textAlignment w:val="baseline"/>
        <w:rPr>
          <w:b/>
          <w:i/>
        </w:rPr>
      </w:pPr>
      <w:r w:rsidRPr="00C9575C">
        <w:t>se sono in sovrappeso.</w:t>
      </w:r>
    </w:p>
    <w:p w14:paraId="12A3300A" w14:textId="77777777" w:rsidR="00561813" w:rsidRPr="00C9575C" w:rsidRDefault="00561813" w:rsidP="00561813">
      <w:pPr>
        <w:tabs>
          <w:tab w:val="left" w:pos="567"/>
        </w:tabs>
        <w:rPr>
          <w:rStyle w:val="PageNumber"/>
          <w:b/>
          <w:szCs w:val="22"/>
          <w:lang w:val="it-IT"/>
        </w:rPr>
      </w:pPr>
    </w:p>
    <w:p w14:paraId="1976B3BF" w14:textId="77777777" w:rsidR="00561813" w:rsidRPr="00C9575C" w:rsidRDefault="00561813" w:rsidP="00561813">
      <w:pPr>
        <w:ind w:right="-2"/>
        <w:rPr>
          <w:b/>
          <w:lang w:val="it-IT"/>
        </w:rPr>
      </w:pPr>
      <w:r w:rsidRPr="00C9575C">
        <w:rPr>
          <w:b/>
          <w:lang w:val="it-IT"/>
        </w:rPr>
        <w:t>Segni dell’osteonecrosi comprendono:</w:t>
      </w:r>
    </w:p>
    <w:p w14:paraId="79DA5E21" w14:textId="77777777" w:rsidR="00561813" w:rsidRPr="00C9575C" w:rsidRDefault="00561813" w:rsidP="008A0227">
      <w:pPr>
        <w:pStyle w:val="BodyText"/>
        <w:widowControl w:val="0"/>
        <w:numPr>
          <w:ilvl w:val="0"/>
          <w:numId w:val="11"/>
        </w:numPr>
        <w:adjustRightInd w:val="0"/>
        <w:ind w:left="567" w:hanging="283"/>
        <w:jc w:val="both"/>
        <w:textAlignment w:val="baseline"/>
        <w:rPr>
          <w:i/>
        </w:rPr>
      </w:pPr>
      <w:r w:rsidRPr="00C9575C">
        <w:t>rigidità delle articolazioni</w:t>
      </w:r>
    </w:p>
    <w:p w14:paraId="495A1D96" w14:textId="77777777" w:rsidR="00561813" w:rsidRPr="00C9575C" w:rsidRDefault="00561813" w:rsidP="008A0227">
      <w:pPr>
        <w:pStyle w:val="BodyText"/>
        <w:widowControl w:val="0"/>
        <w:numPr>
          <w:ilvl w:val="0"/>
          <w:numId w:val="11"/>
        </w:numPr>
        <w:adjustRightInd w:val="0"/>
        <w:ind w:left="567" w:hanging="283"/>
        <w:jc w:val="both"/>
        <w:textAlignment w:val="baseline"/>
        <w:rPr>
          <w:i/>
        </w:rPr>
      </w:pPr>
      <w:r w:rsidRPr="00C9575C">
        <w:t>dolore (specialmente all’anca, al ginocchio o alla spalla)</w:t>
      </w:r>
    </w:p>
    <w:p w14:paraId="212DD83D" w14:textId="77777777" w:rsidR="00561813" w:rsidRPr="00C9575C" w:rsidRDefault="00561813" w:rsidP="008A0227">
      <w:pPr>
        <w:pStyle w:val="BodyText"/>
        <w:widowControl w:val="0"/>
        <w:numPr>
          <w:ilvl w:val="0"/>
          <w:numId w:val="11"/>
        </w:numPr>
        <w:adjustRightInd w:val="0"/>
        <w:ind w:left="567" w:hanging="283"/>
        <w:jc w:val="both"/>
        <w:textAlignment w:val="baseline"/>
        <w:rPr>
          <w:i/>
        </w:rPr>
      </w:pPr>
      <w:r w:rsidRPr="00C9575C">
        <w:t>difficoltà nel movimento</w:t>
      </w:r>
    </w:p>
    <w:p w14:paraId="76CD6058" w14:textId="77777777" w:rsidR="00561813" w:rsidRPr="00C9575C" w:rsidRDefault="00561813" w:rsidP="00561813">
      <w:pPr>
        <w:pStyle w:val="BodyText"/>
        <w:widowControl w:val="0"/>
        <w:adjustRightInd w:val="0"/>
        <w:jc w:val="both"/>
        <w:textAlignment w:val="baseline"/>
        <w:rPr>
          <w:b/>
          <w:i/>
        </w:rPr>
      </w:pPr>
      <w:r w:rsidRPr="00C9575C">
        <w:t>Se nota uno qualsiasi di questi sintomi:</w:t>
      </w:r>
    </w:p>
    <w:p w14:paraId="3FF5F50C" w14:textId="77777777" w:rsidR="00561813" w:rsidRPr="00C9575C" w:rsidRDefault="00561813" w:rsidP="0079256C">
      <w:pPr>
        <w:pStyle w:val="Action"/>
        <w:tabs>
          <w:tab w:val="clear" w:pos="284"/>
          <w:tab w:val="left" w:pos="426"/>
        </w:tabs>
        <w:spacing w:before="0" w:line="240" w:lineRule="auto"/>
        <w:ind w:left="360"/>
      </w:pPr>
      <w:r w:rsidRPr="00C9575C">
        <w:rPr>
          <w:b/>
        </w:rPr>
        <w:t>informi il medico</w:t>
      </w:r>
      <w:r w:rsidRPr="00C9575C">
        <w:t xml:space="preserve">. </w:t>
      </w:r>
    </w:p>
    <w:p w14:paraId="59C6A88C" w14:textId="77777777" w:rsidR="00561813" w:rsidRPr="00C9575C" w:rsidRDefault="00561813" w:rsidP="00561813">
      <w:pPr>
        <w:pStyle w:val="BodyTextIndent"/>
        <w:tabs>
          <w:tab w:val="left" w:pos="284"/>
        </w:tabs>
        <w:spacing w:after="0"/>
        <w:ind w:left="0"/>
      </w:pPr>
    </w:p>
    <w:p w14:paraId="353CDEDF" w14:textId="77777777" w:rsidR="00FB70AE" w:rsidRPr="00C03451" w:rsidRDefault="00FB70AE" w:rsidP="000F4002">
      <w:pPr>
        <w:tabs>
          <w:tab w:val="left" w:pos="6300"/>
        </w:tabs>
        <w:ind w:right="-2"/>
        <w:rPr>
          <w:b/>
          <w:szCs w:val="22"/>
          <w:lang w:val="it-IT"/>
        </w:rPr>
      </w:pPr>
      <w:r w:rsidRPr="00C03451">
        <w:rPr>
          <w:b/>
          <w:szCs w:val="22"/>
          <w:lang w:val="it-IT"/>
        </w:rPr>
        <w:t>Segnalazione degli effetti indesiderati</w:t>
      </w:r>
    </w:p>
    <w:p w14:paraId="7B3EECF2" w14:textId="77777777" w:rsidR="00FB70AE" w:rsidRPr="00C9575C" w:rsidRDefault="00FB70AE" w:rsidP="00FB70AE">
      <w:pPr>
        <w:suppressAutoHyphens/>
        <w:rPr>
          <w:szCs w:val="22"/>
          <w:lang w:val="it-IT"/>
        </w:rPr>
      </w:pPr>
      <w:r w:rsidRPr="00C9575C">
        <w:rPr>
          <w:szCs w:val="22"/>
          <w:lang w:val="it-IT"/>
        </w:rPr>
        <w:t>Se manifesta un qualsiasi effetto indesiderato, compresi quelli non elencati in questo foglio, si rivolga al</w:t>
      </w:r>
      <w:r w:rsidR="00CC0BC2" w:rsidRPr="00C9575C">
        <w:rPr>
          <w:szCs w:val="22"/>
          <w:lang w:val="it-IT"/>
        </w:rPr>
        <w:t xml:space="preserve"> </w:t>
      </w:r>
      <w:r w:rsidRPr="00C9575C">
        <w:rPr>
          <w:szCs w:val="22"/>
          <w:lang w:val="it-IT"/>
        </w:rPr>
        <w:t xml:space="preserve">medico o al farmacista. Lei può inoltre segnalare gli effetti indesiderati direttamente tramite </w:t>
      </w:r>
      <w:r w:rsidR="00CC0BC2" w:rsidRPr="00C9575C">
        <w:rPr>
          <w:szCs w:val="22"/>
          <w:shd w:val="pct15" w:color="auto" w:fill="FFFFFF"/>
          <w:lang w:val="it-IT"/>
        </w:rPr>
        <w:t>il sistema nazionale di segnalazione riportato nell’</w:t>
      </w:r>
      <w:hyperlink r:id="rId13" w:history="1">
        <w:r w:rsidR="00CC0BC2" w:rsidRPr="00C9575C">
          <w:rPr>
            <w:color w:val="0000FF"/>
            <w:u w:val="single"/>
            <w:shd w:val="pct15" w:color="auto" w:fill="FFFFFF"/>
            <w:lang w:val="it-IT"/>
          </w:rPr>
          <w:t>Allegato V</w:t>
        </w:r>
      </w:hyperlink>
      <w:r w:rsidRPr="00C9575C">
        <w:rPr>
          <w:szCs w:val="22"/>
          <w:lang w:val="it-IT"/>
        </w:rPr>
        <w:t>. Segnalando gli effetti indesiderati lei può contribuire a fornire maggiori informazioni sulla sicurezza di questo medicinale.</w:t>
      </w:r>
    </w:p>
    <w:p w14:paraId="3814FB3F" w14:textId="77777777" w:rsidR="008248DD" w:rsidRPr="00C9575C" w:rsidRDefault="008248DD" w:rsidP="00FB70AE">
      <w:pPr>
        <w:suppressAutoHyphens/>
        <w:rPr>
          <w:szCs w:val="22"/>
          <w:lang w:val="it-IT"/>
        </w:rPr>
      </w:pPr>
    </w:p>
    <w:p w14:paraId="17F77921" w14:textId="77777777" w:rsidR="008248DD" w:rsidRPr="00C9575C" w:rsidRDefault="008248DD" w:rsidP="00FB70AE">
      <w:pPr>
        <w:suppressAutoHyphens/>
        <w:rPr>
          <w:szCs w:val="22"/>
          <w:lang w:val="it-IT"/>
        </w:rPr>
      </w:pPr>
    </w:p>
    <w:p w14:paraId="0BEEA748" w14:textId="77777777" w:rsidR="00FB70AE" w:rsidRPr="00C9575C" w:rsidRDefault="00FB70AE" w:rsidP="00FB70AE">
      <w:pPr>
        <w:keepNext/>
        <w:widowControl w:val="0"/>
        <w:tabs>
          <w:tab w:val="left" w:pos="567"/>
        </w:tabs>
        <w:rPr>
          <w:b/>
          <w:szCs w:val="22"/>
          <w:lang w:val="it-IT"/>
        </w:rPr>
      </w:pPr>
      <w:r w:rsidRPr="00C9575C">
        <w:rPr>
          <w:b/>
          <w:szCs w:val="22"/>
          <w:lang w:val="it-IT"/>
        </w:rPr>
        <w:t>5.</w:t>
      </w:r>
      <w:r w:rsidRPr="00C9575C">
        <w:rPr>
          <w:b/>
          <w:szCs w:val="22"/>
          <w:lang w:val="it-IT"/>
        </w:rPr>
        <w:tab/>
        <w:t>Come conservare Kivexa</w:t>
      </w:r>
    </w:p>
    <w:p w14:paraId="5D9422C9" w14:textId="77777777" w:rsidR="00561813" w:rsidRPr="00C9575C" w:rsidRDefault="00561813" w:rsidP="002177AC">
      <w:pPr>
        <w:keepNext/>
        <w:widowControl w:val="0"/>
        <w:tabs>
          <w:tab w:val="left" w:pos="567"/>
        </w:tabs>
        <w:rPr>
          <w:b/>
          <w:szCs w:val="22"/>
          <w:lang w:val="it-IT"/>
        </w:rPr>
      </w:pPr>
    </w:p>
    <w:p w14:paraId="17076A9D" w14:textId="08DC8DC6" w:rsidR="00561813" w:rsidRPr="00C9575C" w:rsidRDefault="008248DD" w:rsidP="002177AC">
      <w:pPr>
        <w:keepNext/>
        <w:widowControl w:val="0"/>
        <w:tabs>
          <w:tab w:val="left" w:pos="567"/>
        </w:tabs>
        <w:outlineLvl w:val="0"/>
        <w:rPr>
          <w:szCs w:val="22"/>
          <w:lang w:val="it-IT"/>
        </w:rPr>
      </w:pPr>
      <w:r w:rsidRPr="00C9575C">
        <w:rPr>
          <w:szCs w:val="22"/>
          <w:lang w:val="it-IT"/>
        </w:rPr>
        <w:t xml:space="preserve">Conservi </w:t>
      </w:r>
      <w:r w:rsidR="00FA54E8" w:rsidRPr="00C9575C">
        <w:rPr>
          <w:szCs w:val="22"/>
          <w:lang w:val="it-IT"/>
        </w:rPr>
        <w:t xml:space="preserve">questo medicinale </w:t>
      </w:r>
      <w:r w:rsidR="00561813" w:rsidRPr="00C9575C">
        <w:rPr>
          <w:szCs w:val="22"/>
          <w:lang w:val="it-IT"/>
        </w:rPr>
        <w:t xml:space="preserve">fuori dalla </w:t>
      </w:r>
      <w:r w:rsidR="00FA54E8" w:rsidRPr="00C9575C">
        <w:rPr>
          <w:szCs w:val="22"/>
          <w:lang w:val="it-IT"/>
        </w:rPr>
        <w:t xml:space="preserve">vista </w:t>
      </w:r>
      <w:r w:rsidR="00561813" w:rsidRPr="00C9575C">
        <w:rPr>
          <w:szCs w:val="22"/>
          <w:lang w:val="it-IT"/>
        </w:rPr>
        <w:t xml:space="preserve">e dalla </w:t>
      </w:r>
      <w:r w:rsidR="00FA54E8" w:rsidRPr="00C9575C">
        <w:rPr>
          <w:szCs w:val="22"/>
          <w:lang w:val="it-IT"/>
        </w:rPr>
        <w:t xml:space="preserve">portata </w:t>
      </w:r>
      <w:r w:rsidR="00561813" w:rsidRPr="00C9575C">
        <w:rPr>
          <w:szCs w:val="22"/>
          <w:lang w:val="it-IT"/>
        </w:rPr>
        <w:t>dei bambini.</w:t>
      </w:r>
      <w:r w:rsidR="0092155C">
        <w:rPr>
          <w:szCs w:val="22"/>
          <w:lang w:val="it-IT"/>
        </w:rPr>
        <w:fldChar w:fldCharType="begin"/>
      </w:r>
      <w:r w:rsidR="0092155C">
        <w:rPr>
          <w:szCs w:val="22"/>
          <w:lang w:val="it-IT"/>
        </w:rPr>
        <w:instrText xml:space="preserve"> DOCVARIABLE vault_nd_3141f4fd-d070-4bf5-a887-ab371a46760b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1291CA9A" w14:textId="77777777" w:rsidR="00561813" w:rsidRPr="00C9575C" w:rsidRDefault="00561813" w:rsidP="002177AC">
      <w:pPr>
        <w:keepNext/>
        <w:widowControl w:val="0"/>
        <w:tabs>
          <w:tab w:val="left" w:pos="567"/>
        </w:tabs>
        <w:rPr>
          <w:szCs w:val="22"/>
          <w:lang w:val="it-IT"/>
        </w:rPr>
      </w:pPr>
    </w:p>
    <w:p w14:paraId="7E1626F2" w14:textId="77777777" w:rsidR="00FB70AE" w:rsidRPr="00C9575C" w:rsidRDefault="00561813" w:rsidP="00FB70AE">
      <w:pPr>
        <w:suppressAutoHyphens/>
        <w:rPr>
          <w:szCs w:val="22"/>
          <w:lang w:val="it-IT"/>
        </w:rPr>
      </w:pPr>
      <w:r w:rsidRPr="00C9575C">
        <w:rPr>
          <w:szCs w:val="22"/>
          <w:lang w:val="it-IT"/>
        </w:rPr>
        <w:t xml:space="preserve">Non usi </w:t>
      </w:r>
      <w:r w:rsidR="00FA54E8" w:rsidRPr="00C9575C">
        <w:rPr>
          <w:szCs w:val="22"/>
          <w:lang w:val="it-IT"/>
        </w:rPr>
        <w:t xml:space="preserve">questo medicinale </w:t>
      </w:r>
      <w:r w:rsidRPr="00C9575C">
        <w:rPr>
          <w:szCs w:val="22"/>
          <w:lang w:val="it-IT"/>
        </w:rPr>
        <w:t xml:space="preserve">dopo la data di scadenza riportata sulla scatola. </w:t>
      </w:r>
      <w:r w:rsidR="00FB70AE" w:rsidRPr="00C9575C">
        <w:rPr>
          <w:szCs w:val="22"/>
          <w:lang w:val="it-IT"/>
        </w:rPr>
        <w:t xml:space="preserve">La data di scadenza si riferisce all’ultimo giorno di quel mese. </w:t>
      </w:r>
    </w:p>
    <w:p w14:paraId="32E10A2D" w14:textId="77777777" w:rsidR="00561813" w:rsidRPr="00C9575C" w:rsidRDefault="00561813" w:rsidP="00561813">
      <w:pPr>
        <w:widowControl w:val="0"/>
        <w:tabs>
          <w:tab w:val="left" w:pos="567"/>
        </w:tabs>
        <w:rPr>
          <w:b/>
          <w:szCs w:val="22"/>
          <w:lang w:val="it-IT"/>
        </w:rPr>
      </w:pPr>
    </w:p>
    <w:p w14:paraId="7E50285A" w14:textId="5D422340" w:rsidR="00561813" w:rsidRPr="00C9575C" w:rsidRDefault="00561813" w:rsidP="00561813">
      <w:pPr>
        <w:widowControl w:val="0"/>
        <w:tabs>
          <w:tab w:val="left" w:pos="567"/>
        </w:tabs>
        <w:outlineLvl w:val="0"/>
        <w:rPr>
          <w:szCs w:val="22"/>
          <w:lang w:val="it-IT"/>
        </w:rPr>
      </w:pPr>
      <w:r w:rsidRPr="00C9575C">
        <w:rPr>
          <w:szCs w:val="22"/>
          <w:lang w:val="it-IT"/>
        </w:rPr>
        <w:t>Non conservare a temperatura superiore ai 30°C.</w:t>
      </w:r>
      <w:r w:rsidR="0092155C">
        <w:rPr>
          <w:szCs w:val="22"/>
          <w:lang w:val="it-IT"/>
        </w:rPr>
        <w:fldChar w:fldCharType="begin"/>
      </w:r>
      <w:r w:rsidR="0092155C">
        <w:rPr>
          <w:szCs w:val="22"/>
          <w:lang w:val="it-IT"/>
        </w:rPr>
        <w:instrText xml:space="preserve"> DOCVARIABLE vault_nd_80f92db7-4819-4828-8971-d4c55365d878 \* MERGEFORMAT </w:instrText>
      </w:r>
      <w:r w:rsidR="0092155C">
        <w:rPr>
          <w:szCs w:val="22"/>
          <w:lang w:val="it-IT"/>
        </w:rPr>
        <w:fldChar w:fldCharType="separate"/>
      </w:r>
      <w:r w:rsidR="0092155C">
        <w:rPr>
          <w:szCs w:val="22"/>
          <w:lang w:val="it-IT"/>
        </w:rPr>
        <w:t xml:space="preserve"> </w:t>
      </w:r>
      <w:r w:rsidR="0092155C">
        <w:rPr>
          <w:szCs w:val="22"/>
          <w:lang w:val="it-IT"/>
        </w:rPr>
        <w:fldChar w:fldCharType="end"/>
      </w:r>
    </w:p>
    <w:p w14:paraId="6428F3E3" w14:textId="77777777" w:rsidR="00561813" w:rsidRPr="00C9575C" w:rsidRDefault="00561813" w:rsidP="00561813">
      <w:pPr>
        <w:widowControl w:val="0"/>
        <w:tabs>
          <w:tab w:val="left" w:pos="567"/>
        </w:tabs>
        <w:rPr>
          <w:szCs w:val="22"/>
          <w:lang w:val="it-IT"/>
        </w:rPr>
      </w:pPr>
    </w:p>
    <w:p w14:paraId="12213A96" w14:textId="77777777" w:rsidR="00FA54E8" w:rsidRPr="00C9575C" w:rsidRDefault="00FA54E8" w:rsidP="00FA54E8">
      <w:pPr>
        <w:suppressAutoHyphens/>
        <w:rPr>
          <w:lang w:val="it-IT"/>
        </w:rPr>
      </w:pPr>
      <w:r w:rsidRPr="00C03451">
        <w:rPr>
          <w:szCs w:val="24"/>
          <w:lang w:val="it-IT"/>
        </w:rPr>
        <w:t>Non getti alcun medicinale</w:t>
      </w:r>
      <w:r w:rsidRPr="00C9575C">
        <w:rPr>
          <w:lang w:val="it-IT"/>
        </w:rPr>
        <w:t xml:space="preserve"> nell’acqua di scarico e nei rifiuti domestici</w:t>
      </w:r>
      <w:r w:rsidRPr="00C03451">
        <w:rPr>
          <w:szCs w:val="24"/>
          <w:lang w:val="it-IT"/>
        </w:rPr>
        <w:t>.</w:t>
      </w:r>
      <w:r w:rsidRPr="00C9575C">
        <w:rPr>
          <w:lang w:val="it-IT"/>
        </w:rPr>
        <w:t xml:space="preserve"> Chieda al farmacista come eliminare i medicinali che non utilizza più. Questo aiuterà a proteggere l’ambiente.</w:t>
      </w:r>
    </w:p>
    <w:p w14:paraId="1FD14E48" w14:textId="77777777" w:rsidR="00561813" w:rsidRPr="00C9575C" w:rsidRDefault="00561813" w:rsidP="00561813">
      <w:pPr>
        <w:widowControl w:val="0"/>
        <w:tabs>
          <w:tab w:val="left" w:pos="567"/>
        </w:tabs>
        <w:rPr>
          <w:szCs w:val="22"/>
          <w:lang w:val="it-IT"/>
        </w:rPr>
      </w:pPr>
    </w:p>
    <w:p w14:paraId="3BB4E611" w14:textId="77777777" w:rsidR="00561813" w:rsidRPr="00C9575C" w:rsidRDefault="00561813" w:rsidP="00C67EEB">
      <w:pPr>
        <w:keepNext/>
        <w:widowControl w:val="0"/>
        <w:tabs>
          <w:tab w:val="left" w:pos="567"/>
        </w:tabs>
        <w:rPr>
          <w:szCs w:val="22"/>
          <w:lang w:val="it-IT"/>
        </w:rPr>
      </w:pPr>
    </w:p>
    <w:p w14:paraId="25EADFB6" w14:textId="77777777" w:rsidR="00561813" w:rsidRPr="00C9575C" w:rsidRDefault="00561813" w:rsidP="00C67EEB">
      <w:pPr>
        <w:keepNext/>
        <w:widowControl w:val="0"/>
        <w:tabs>
          <w:tab w:val="left" w:pos="567"/>
        </w:tabs>
        <w:rPr>
          <w:b/>
          <w:szCs w:val="22"/>
          <w:lang w:val="it-IT"/>
        </w:rPr>
      </w:pPr>
      <w:r w:rsidRPr="00C9575C">
        <w:rPr>
          <w:b/>
          <w:szCs w:val="22"/>
          <w:lang w:val="it-IT"/>
        </w:rPr>
        <w:t>6.</w:t>
      </w:r>
      <w:r w:rsidRPr="00C9575C">
        <w:rPr>
          <w:b/>
          <w:szCs w:val="22"/>
          <w:lang w:val="it-IT"/>
        </w:rPr>
        <w:tab/>
      </w:r>
      <w:r w:rsidR="00FA54E8" w:rsidRPr="00C03451">
        <w:rPr>
          <w:b/>
          <w:szCs w:val="24"/>
          <w:lang w:val="it-IT"/>
        </w:rPr>
        <w:t xml:space="preserve">Contenuto della confezione e </w:t>
      </w:r>
      <w:r w:rsidR="00FA54E8" w:rsidRPr="00C9575C">
        <w:rPr>
          <w:b/>
          <w:szCs w:val="22"/>
          <w:lang w:val="it-IT"/>
        </w:rPr>
        <w:t xml:space="preserve">altre informazioni </w:t>
      </w:r>
    </w:p>
    <w:p w14:paraId="3E95122C" w14:textId="77777777" w:rsidR="00561813" w:rsidRPr="00C9575C" w:rsidRDefault="00561813" w:rsidP="00C67EEB">
      <w:pPr>
        <w:keepNext/>
        <w:widowControl w:val="0"/>
        <w:tabs>
          <w:tab w:val="left" w:pos="567"/>
        </w:tabs>
        <w:rPr>
          <w:b/>
          <w:szCs w:val="22"/>
          <w:lang w:val="it-IT"/>
        </w:rPr>
      </w:pPr>
    </w:p>
    <w:p w14:paraId="77E6FFA4" w14:textId="77777777" w:rsidR="00561813" w:rsidRPr="00C9575C" w:rsidRDefault="00561813" w:rsidP="00C67EEB">
      <w:pPr>
        <w:keepNext/>
        <w:widowControl w:val="0"/>
        <w:tabs>
          <w:tab w:val="left" w:pos="567"/>
        </w:tabs>
        <w:rPr>
          <w:b/>
          <w:szCs w:val="22"/>
          <w:lang w:val="it-IT"/>
        </w:rPr>
      </w:pPr>
      <w:r w:rsidRPr="00C9575C">
        <w:rPr>
          <w:b/>
          <w:szCs w:val="22"/>
          <w:lang w:val="it-IT"/>
        </w:rPr>
        <w:t>Cosa contiene Kivexa</w:t>
      </w:r>
    </w:p>
    <w:p w14:paraId="73EA38BA" w14:textId="77777777" w:rsidR="00561813" w:rsidRPr="00C9575C" w:rsidRDefault="00561813" w:rsidP="00BF7D4F">
      <w:pPr>
        <w:widowControl w:val="0"/>
        <w:tabs>
          <w:tab w:val="left" w:pos="567"/>
        </w:tabs>
        <w:rPr>
          <w:szCs w:val="22"/>
          <w:lang w:val="it-IT"/>
        </w:rPr>
      </w:pPr>
      <w:r w:rsidRPr="00C9575C">
        <w:rPr>
          <w:szCs w:val="22"/>
          <w:lang w:val="it-IT"/>
        </w:rPr>
        <w:t xml:space="preserve">I principi attivi contenuti in ciascuna compressa rivestita con film di Kivexa sono 600 mg di abacavir (come solfato) e 300 mg di lamivudina. </w:t>
      </w:r>
    </w:p>
    <w:p w14:paraId="7B8F250A" w14:textId="77777777" w:rsidR="00561813" w:rsidRPr="00C9575C" w:rsidRDefault="00561813" w:rsidP="00BF7D4F">
      <w:pPr>
        <w:widowControl w:val="0"/>
        <w:tabs>
          <w:tab w:val="left" w:pos="567"/>
        </w:tabs>
        <w:rPr>
          <w:b/>
          <w:szCs w:val="22"/>
          <w:lang w:val="it-IT"/>
        </w:rPr>
      </w:pPr>
    </w:p>
    <w:p w14:paraId="3D8CD902" w14:textId="7FF05E59" w:rsidR="00561813" w:rsidRPr="00C9575C" w:rsidRDefault="00561813" w:rsidP="00466F97">
      <w:pPr>
        <w:widowControl w:val="0"/>
        <w:ind w:right="-425"/>
        <w:rPr>
          <w:szCs w:val="22"/>
          <w:lang w:val="it-IT"/>
        </w:rPr>
      </w:pPr>
      <w:r w:rsidRPr="00C9575C">
        <w:rPr>
          <w:szCs w:val="22"/>
          <w:lang w:val="it-IT"/>
        </w:rPr>
        <w:t>Gli eccipienti sono cellulosa microcristallina, sodio amido glicolato</w:t>
      </w:r>
      <w:r w:rsidR="007A5644" w:rsidRPr="00C9575C">
        <w:rPr>
          <w:szCs w:val="22"/>
          <w:lang w:val="it-IT"/>
        </w:rPr>
        <w:t xml:space="preserve"> e</w:t>
      </w:r>
      <w:r w:rsidRPr="00C9575C">
        <w:rPr>
          <w:szCs w:val="22"/>
          <w:lang w:val="it-IT"/>
        </w:rPr>
        <w:t xml:space="preserve"> magnesio stearato nel nucleo della compressa. Il rivestimento della compressa contiene Opadry Orange YS-1-13065-A contenente a sua volta ipromellosa, titanio biossido, macrogol 400, polisorbato 80 e il colorante giallo tramonto </w:t>
      </w:r>
      <w:r w:rsidR="00CC456E" w:rsidRPr="00C9575C">
        <w:rPr>
          <w:szCs w:val="22"/>
          <w:lang w:val="it-IT"/>
        </w:rPr>
        <w:t>FCF</w:t>
      </w:r>
      <w:r w:rsidR="00466F97">
        <w:rPr>
          <w:szCs w:val="22"/>
          <w:lang w:val="it-IT"/>
        </w:rPr>
        <w:t> </w:t>
      </w:r>
      <w:r w:rsidRPr="00C9575C">
        <w:rPr>
          <w:szCs w:val="22"/>
          <w:lang w:val="it-IT"/>
        </w:rPr>
        <w:t>(E110).</w:t>
      </w:r>
    </w:p>
    <w:p w14:paraId="5F6DFC9D" w14:textId="77777777" w:rsidR="00561813" w:rsidRPr="00C9575C" w:rsidRDefault="00561813" w:rsidP="00BF7D4F">
      <w:pPr>
        <w:widowControl w:val="0"/>
        <w:numPr>
          <w:ilvl w:val="12"/>
          <w:numId w:val="0"/>
        </w:numPr>
        <w:ind w:right="-2"/>
        <w:rPr>
          <w:b/>
          <w:szCs w:val="22"/>
          <w:lang w:val="it-IT"/>
        </w:rPr>
      </w:pPr>
    </w:p>
    <w:p w14:paraId="1980F98A" w14:textId="77777777" w:rsidR="00561813" w:rsidRPr="00C9575C" w:rsidRDefault="00561813" w:rsidP="00BF7D4F">
      <w:pPr>
        <w:widowControl w:val="0"/>
        <w:numPr>
          <w:ilvl w:val="12"/>
          <w:numId w:val="0"/>
        </w:numPr>
        <w:ind w:right="-2"/>
        <w:rPr>
          <w:b/>
          <w:szCs w:val="22"/>
          <w:lang w:val="it-IT"/>
        </w:rPr>
      </w:pPr>
      <w:r w:rsidRPr="00C9575C">
        <w:rPr>
          <w:b/>
          <w:szCs w:val="22"/>
          <w:lang w:val="it-IT"/>
        </w:rPr>
        <w:t>Descrizione dell’aspetto di Kivexa e contenuto della confezione</w:t>
      </w:r>
    </w:p>
    <w:p w14:paraId="03F1E932" w14:textId="77777777" w:rsidR="00561813" w:rsidRPr="00C9575C" w:rsidRDefault="00561813" w:rsidP="00BF7D4F">
      <w:pPr>
        <w:widowControl w:val="0"/>
        <w:tabs>
          <w:tab w:val="left" w:pos="567"/>
        </w:tabs>
        <w:rPr>
          <w:szCs w:val="22"/>
          <w:lang w:val="it-IT"/>
        </w:rPr>
      </w:pPr>
      <w:r w:rsidRPr="00C9575C">
        <w:rPr>
          <w:szCs w:val="22"/>
          <w:lang w:val="it-IT"/>
        </w:rPr>
        <w:t>Le compresse rivestite con film di Kivexa hanno impresso ‘GS FC2’su un lato. Esse sono di colore arancione, a forma di capsula e sono fornite in conf</w:t>
      </w:r>
      <w:r w:rsidR="008248DD" w:rsidRPr="00C9575C">
        <w:rPr>
          <w:szCs w:val="22"/>
          <w:lang w:val="it-IT"/>
        </w:rPr>
        <w:t>ezioni in blister contenenti 30 </w:t>
      </w:r>
      <w:r w:rsidRPr="00C9575C">
        <w:rPr>
          <w:szCs w:val="22"/>
          <w:lang w:val="it-IT"/>
        </w:rPr>
        <w:t xml:space="preserve">compresse </w:t>
      </w:r>
      <w:r w:rsidR="000F4002" w:rsidRPr="00C9575C">
        <w:rPr>
          <w:szCs w:val="22"/>
          <w:lang w:val="it-IT"/>
        </w:rPr>
        <w:t xml:space="preserve">e </w:t>
      </w:r>
      <w:r w:rsidRPr="00C9575C">
        <w:rPr>
          <w:szCs w:val="22"/>
          <w:lang w:val="it-IT"/>
        </w:rPr>
        <w:t xml:space="preserve">in confezioni </w:t>
      </w:r>
      <w:r w:rsidR="00CC456E" w:rsidRPr="00C9575C">
        <w:rPr>
          <w:szCs w:val="22"/>
          <w:lang w:val="it-IT"/>
        </w:rPr>
        <w:t xml:space="preserve">multiple </w:t>
      </w:r>
      <w:r w:rsidRPr="00C9575C">
        <w:rPr>
          <w:szCs w:val="22"/>
          <w:lang w:val="it-IT"/>
        </w:rPr>
        <w:t>in blister contenenti 90 (3x30) compresse.</w:t>
      </w:r>
    </w:p>
    <w:p w14:paraId="728BD045" w14:textId="77777777" w:rsidR="007A5644" w:rsidRPr="00C9575C" w:rsidRDefault="007A5644" w:rsidP="00BF7D4F">
      <w:pPr>
        <w:widowControl w:val="0"/>
        <w:tabs>
          <w:tab w:val="left" w:pos="567"/>
        </w:tabs>
        <w:rPr>
          <w:szCs w:val="22"/>
          <w:lang w:val="it-IT"/>
        </w:rPr>
      </w:pPr>
    </w:p>
    <w:p w14:paraId="78C1CE3D" w14:textId="77777777" w:rsidR="00CC456E" w:rsidRPr="00C9575C" w:rsidRDefault="00561813" w:rsidP="00561813">
      <w:pPr>
        <w:keepNext/>
        <w:widowControl w:val="0"/>
        <w:tabs>
          <w:tab w:val="left" w:pos="567"/>
        </w:tabs>
        <w:rPr>
          <w:b/>
          <w:szCs w:val="22"/>
          <w:lang w:val="it-IT"/>
        </w:rPr>
      </w:pPr>
      <w:r w:rsidRPr="00C9575C">
        <w:rPr>
          <w:b/>
          <w:szCs w:val="22"/>
          <w:lang w:val="it-IT"/>
        </w:rPr>
        <w:lastRenderedPageBreak/>
        <w:t>Titolare dell’Autorizzazione all’Immissione in Commercio</w:t>
      </w:r>
    </w:p>
    <w:p w14:paraId="5370CB83" w14:textId="77777777" w:rsidR="00561813" w:rsidRPr="00C03451" w:rsidRDefault="001E440F" w:rsidP="00561813">
      <w:pPr>
        <w:keepNext/>
        <w:keepLines/>
        <w:widowControl w:val="0"/>
        <w:tabs>
          <w:tab w:val="left" w:pos="567"/>
        </w:tabs>
        <w:ind w:right="-34"/>
        <w:rPr>
          <w:color w:val="000000"/>
          <w:szCs w:val="22"/>
          <w:lang w:val="it-IT"/>
        </w:rPr>
      </w:pPr>
      <w:bookmarkStart w:id="33" w:name="_Hlk528681673"/>
      <w:r w:rsidRPr="00C03451">
        <w:rPr>
          <w:color w:val="000000"/>
          <w:szCs w:val="22"/>
          <w:lang w:val="it-IT"/>
        </w:rPr>
        <w:t>ViiV Healthcare BV</w:t>
      </w:r>
      <w:r w:rsidR="009373EB" w:rsidRPr="00C03451">
        <w:rPr>
          <w:color w:val="000000"/>
          <w:szCs w:val="22"/>
          <w:lang w:val="it-IT"/>
        </w:rPr>
        <w:t>,</w:t>
      </w:r>
      <w:r w:rsidRPr="00C03451">
        <w:rPr>
          <w:color w:val="000000"/>
          <w:szCs w:val="22"/>
          <w:lang w:val="it-IT"/>
        </w:rPr>
        <w:t xml:space="preserve"> </w:t>
      </w:r>
      <w:r w:rsidR="009373EB" w:rsidRPr="00C03451">
        <w:rPr>
          <w:iCs/>
          <w:lang w:val="it-IT"/>
        </w:rPr>
        <w:t>Van Asch van Wijckstraat 55H</w:t>
      </w:r>
      <w:r w:rsidR="0017227F" w:rsidRPr="00C03451">
        <w:rPr>
          <w:iCs/>
          <w:lang w:val="it-IT"/>
        </w:rPr>
        <w:t>,</w:t>
      </w:r>
      <w:r w:rsidR="009373EB" w:rsidRPr="00C03451">
        <w:rPr>
          <w:lang w:val="it-IT"/>
        </w:rPr>
        <w:t xml:space="preserve"> </w:t>
      </w:r>
      <w:r w:rsidR="009373EB" w:rsidRPr="00C03451">
        <w:rPr>
          <w:iCs/>
          <w:lang w:val="it-IT"/>
        </w:rPr>
        <w:t>3811 LP Amersfoort,</w:t>
      </w:r>
      <w:r w:rsidRPr="00C03451">
        <w:rPr>
          <w:color w:val="000000"/>
          <w:szCs w:val="22"/>
          <w:lang w:val="it-IT"/>
        </w:rPr>
        <w:t xml:space="preserve"> </w:t>
      </w:r>
      <w:bookmarkEnd w:id="33"/>
      <w:r w:rsidR="00C8230E" w:rsidRPr="00C03451">
        <w:rPr>
          <w:color w:val="000000"/>
          <w:szCs w:val="22"/>
          <w:lang w:val="it-IT"/>
        </w:rPr>
        <w:t>Olanda</w:t>
      </w:r>
      <w:r w:rsidR="007137D2" w:rsidRPr="00C03451">
        <w:rPr>
          <w:color w:val="000000"/>
          <w:szCs w:val="22"/>
          <w:lang w:val="it-IT"/>
        </w:rPr>
        <w:t>.</w:t>
      </w:r>
    </w:p>
    <w:p w14:paraId="293C4DFD" w14:textId="77777777" w:rsidR="007137D2" w:rsidRPr="00C03451" w:rsidRDefault="007137D2" w:rsidP="00561813">
      <w:pPr>
        <w:keepNext/>
        <w:keepLines/>
        <w:widowControl w:val="0"/>
        <w:tabs>
          <w:tab w:val="left" w:pos="567"/>
        </w:tabs>
        <w:ind w:right="-34"/>
        <w:rPr>
          <w:b/>
          <w:szCs w:val="22"/>
          <w:u w:val="single"/>
          <w:lang w:val="it-IT"/>
        </w:rPr>
      </w:pPr>
    </w:p>
    <w:p w14:paraId="09889DE2" w14:textId="77777777" w:rsidR="00CC456E" w:rsidRPr="00C03451" w:rsidRDefault="00561813" w:rsidP="00561813">
      <w:pPr>
        <w:keepNext/>
        <w:keepLines/>
        <w:widowControl w:val="0"/>
        <w:tabs>
          <w:tab w:val="left" w:pos="567"/>
        </w:tabs>
        <w:ind w:right="-34"/>
        <w:rPr>
          <w:b/>
          <w:szCs w:val="22"/>
          <w:lang w:val="it-IT"/>
        </w:rPr>
      </w:pPr>
      <w:r w:rsidRPr="00C03451">
        <w:rPr>
          <w:b/>
          <w:szCs w:val="22"/>
          <w:lang w:val="it-IT"/>
        </w:rPr>
        <w:t>Produttore</w:t>
      </w:r>
    </w:p>
    <w:p w14:paraId="5F7814AB" w14:textId="77777777" w:rsidR="008A2A04" w:rsidRPr="00C9575C" w:rsidRDefault="008A2A04" w:rsidP="008A2A04">
      <w:pPr>
        <w:numPr>
          <w:ilvl w:val="12"/>
          <w:numId w:val="0"/>
        </w:numPr>
        <w:rPr>
          <w:szCs w:val="22"/>
          <w:lang w:val="it-IT"/>
        </w:rPr>
      </w:pPr>
      <w:r w:rsidRPr="00C9575C">
        <w:rPr>
          <w:szCs w:val="22"/>
          <w:lang w:val="it-IT"/>
        </w:rPr>
        <w:t>Glaxo Wellcome S.A., Avenida de Extremadura 3, 09400 Aranda de Duero Burgos, Spagna.</w:t>
      </w:r>
    </w:p>
    <w:p w14:paraId="1CBDD7D0" w14:textId="77777777" w:rsidR="00561813" w:rsidRPr="00C9575C" w:rsidRDefault="00561813" w:rsidP="00561813">
      <w:pPr>
        <w:widowControl w:val="0"/>
        <w:tabs>
          <w:tab w:val="left" w:pos="567"/>
        </w:tabs>
        <w:rPr>
          <w:szCs w:val="22"/>
          <w:lang w:val="it-IT"/>
        </w:rPr>
      </w:pPr>
    </w:p>
    <w:p w14:paraId="3A0D0B6C" w14:textId="77777777" w:rsidR="00561813" w:rsidRPr="00C9575C" w:rsidRDefault="00561813" w:rsidP="00561813">
      <w:pPr>
        <w:widowControl w:val="0"/>
        <w:tabs>
          <w:tab w:val="left" w:pos="567"/>
        </w:tabs>
        <w:rPr>
          <w:szCs w:val="22"/>
          <w:lang w:val="it-IT"/>
        </w:rPr>
      </w:pPr>
      <w:r w:rsidRPr="00C9575C">
        <w:rPr>
          <w:szCs w:val="22"/>
          <w:lang w:val="it-IT"/>
        </w:rPr>
        <w:t xml:space="preserve">Per ulteriori informazioni su </w:t>
      </w:r>
      <w:r w:rsidR="004D7BF4" w:rsidRPr="00C9575C">
        <w:rPr>
          <w:szCs w:val="22"/>
          <w:lang w:val="it-IT"/>
        </w:rPr>
        <w:t>questo medicinale</w:t>
      </w:r>
      <w:r w:rsidRPr="00C9575C">
        <w:rPr>
          <w:szCs w:val="22"/>
          <w:lang w:val="it-IT"/>
        </w:rPr>
        <w:t>, contatti il rappresentante locale del titolare dell'autorizzazione all'immissione in commercio.</w:t>
      </w:r>
    </w:p>
    <w:p w14:paraId="217C054E" w14:textId="77777777" w:rsidR="00E51CE1" w:rsidRPr="00C9575C" w:rsidRDefault="00E51CE1" w:rsidP="00E51CE1">
      <w:pPr>
        <w:widowControl w:val="0"/>
        <w:rPr>
          <w:color w:val="000000"/>
          <w:szCs w:val="22"/>
          <w:lang w:val="it-IT"/>
        </w:rPr>
      </w:pPr>
    </w:p>
    <w:tbl>
      <w:tblPr>
        <w:tblW w:w="0" w:type="auto"/>
        <w:tblInd w:w="108" w:type="dxa"/>
        <w:tblLayout w:type="fixed"/>
        <w:tblLook w:val="0000" w:firstRow="0" w:lastRow="0" w:firstColumn="0" w:lastColumn="0" w:noHBand="0" w:noVBand="0"/>
      </w:tblPr>
      <w:tblGrid>
        <w:gridCol w:w="4678"/>
        <w:gridCol w:w="3969"/>
      </w:tblGrid>
      <w:tr w:rsidR="00E51CE1" w:rsidRPr="00C9575C" w14:paraId="52418C0C" w14:textId="77777777" w:rsidTr="00F44AC2">
        <w:trPr>
          <w:cantSplit/>
        </w:trPr>
        <w:tc>
          <w:tcPr>
            <w:tcW w:w="4678" w:type="dxa"/>
          </w:tcPr>
          <w:p w14:paraId="2DE4375C" w14:textId="77777777" w:rsidR="00E51CE1" w:rsidRPr="00C03451" w:rsidRDefault="00E51CE1" w:rsidP="00F44AC2">
            <w:pPr>
              <w:rPr>
                <w:b/>
                <w:snapToGrid w:val="0"/>
                <w:lang w:val="it-IT"/>
              </w:rPr>
            </w:pPr>
            <w:r w:rsidRPr="00C03451">
              <w:rPr>
                <w:b/>
                <w:lang w:val="it-IT"/>
              </w:rPr>
              <w:t>België/Belgique/Belgien</w:t>
            </w:r>
          </w:p>
          <w:p w14:paraId="272C9CD7" w14:textId="77777777" w:rsidR="00E51CE1" w:rsidRPr="00C03451" w:rsidRDefault="00E51CE1" w:rsidP="00F44AC2">
            <w:pPr>
              <w:spacing w:line="240" w:lineRule="atLeast"/>
              <w:rPr>
                <w:lang w:val="it-IT"/>
              </w:rPr>
            </w:pPr>
            <w:r w:rsidRPr="00C03451">
              <w:rPr>
                <w:color w:val="000000"/>
                <w:lang w:val="it-IT"/>
              </w:rPr>
              <w:t>ViiV Healthcare srl/bv</w:t>
            </w:r>
            <w:r w:rsidRPr="00C03451" w:rsidDel="00E41975">
              <w:rPr>
                <w:snapToGrid w:val="0"/>
                <w:lang w:val="it-IT"/>
              </w:rPr>
              <w:t xml:space="preserve"> </w:t>
            </w:r>
          </w:p>
          <w:p w14:paraId="7589A477" w14:textId="77777777" w:rsidR="00E51CE1" w:rsidRPr="00C03451" w:rsidRDefault="00E51CE1" w:rsidP="00F44AC2">
            <w:pPr>
              <w:widowControl w:val="0"/>
              <w:spacing w:line="240" w:lineRule="atLeast"/>
              <w:rPr>
                <w:snapToGrid w:val="0"/>
                <w:lang w:val="it-IT"/>
              </w:rPr>
            </w:pPr>
            <w:r w:rsidRPr="00C03451">
              <w:rPr>
                <w:lang w:val="it-IT"/>
              </w:rPr>
              <w:t xml:space="preserve">Tél/Tel: </w:t>
            </w:r>
            <w:r w:rsidRPr="00C03451">
              <w:rPr>
                <w:snapToGrid w:val="0"/>
                <w:lang w:val="it-IT"/>
              </w:rPr>
              <w:t>+ 32 (0) 10 85 65 00</w:t>
            </w:r>
          </w:p>
          <w:p w14:paraId="3C776A8F" w14:textId="77777777" w:rsidR="00E51CE1" w:rsidRPr="00C03451" w:rsidRDefault="00E51CE1" w:rsidP="00F44AC2">
            <w:pPr>
              <w:widowControl w:val="0"/>
              <w:spacing w:line="240" w:lineRule="atLeast"/>
              <w:rPr>
                <w:snapToGrid w:val="0"/>
                <w:szCs w:val="22"/>
                <w:lang w:val="it-IT"/>
              </w:rPr>
            </w:pPr>
          </w:p>
        </w:tc>
        <w:tc>
          <w:tcPr>
            <w:tcW w:w="3969" w:type="dxa"/>
          </w:tcPr>
          <w:p w14:paraId="4C3FB735" w14:textId="77777777" w:rsidR="00E51CE1" w:rsidRPr="00C03451" w:rsidRDefault="00E51CE1" w:rsidP="00F44AC2">
            <w:pPr>
              <w:widowControl w:val="0"/>
              <w:rPr>
                <w:b/>
                <w:szCs w:val="22"/>
                <w:lang w:val="it-IT"/>
              </w:rPr>
            </w:pPr>
            <w:r w:rsidRPr="00C03451">
              <w:rPr>
                <w:b/>
                <w:szCs w:val="22"/>
                <w:lang w:val="it-IT"/>
              </w:rPr>
              <w:t>Lietuva</w:t>
            </w:r>
          </w:p>
          <w:p w14:paraId="43643C21" w14:textId="77777777" w:rsidR="005175C2" w:rsidRPr="00C03451" w:rsidRDefault="005175C2" w:rsidP="005175C2">
            <w:pPr>
              <w:widowControl w:val="0"/>
              <w:rPr>
                <w:snapToGrid w:val="0"/>
                <w:szCs w:val="22"/>
                <w:lang w:val="it-IT"/>
              </w:rPr>
            </w:pPr>
            <w:r w:rsidRPr="00C03451">
              <w:rPr>
                <w:lang w:val="it-IT"/>
              </w:rPr>
              <w:t>ViiV Healthcare BV</w:t>
            </w:r>
            <w:r w:rsidRPr="00C03451" w:rsidDel="00362ABE">
              <w:rPr>
                <w:snapToGrid w:val="0"/>
                <w:szCs w:val="22"/>
                <w:lang w:val="it-IT"/>
              </w:rPr>
              <w:t xml:space="preserve"> </w:t>
            </w:r>
          </w:p>
          <w:p w14:paraId="77638996" w14:textId="77777777" w:rsidR="005175C2" w:rsidRPr="00C03451" w:rsidRDefault="005175C2" w:rsidP="005175C2">
            <w:pPr>
              <w:widowControl w:val="0"/>
              <w:rPr>
                <w:szCs w:val="22"/>
                <w:lang w:val="it-IT"/>
              </w:rPr>
            </w:pPr>
            <w:r w:rsidRPr="00C03451">
              <w:rPr>
                <w:snapToGrid w:val="0"/>
                <w:szCs w:val="22"/>
                <w:lang w:val="it-IT"/>
              </w:rPr>
              <w:t xml:space="preserve">Tel: + 370 </w:t>
            </w:r>
            <w:r w:rsidRPr="00C03451">
              <w:rPr>
                <w:color w:val="000000"/>
                <w:lang w:val="it-IT"/>
              </w:rPr>
              <w:t>80000334</w:t>
            </w:r>
          </w:p>
          <w:p w14:paraId="03D9B6AC" w14:textId="77777777" w:rsidR="00E51CE1" w:rsidRPr="00C03451" w:rsidRDefault="00E51CE1" w:rsidP="00F44AC2">
            <w:pPr>
              <w:rPr>
                <w:snapToGrid w:val="0"/>
                <w:szCs w:val="22"/>
                <w:lang w:val="it-IT"/>
              </w:rPr>
            </w:pPr>
          </w:p>
        </w:tc>
      </w:tr>
      <w:tr w:rsidR="00E51CE1" w:rsidRPr="00C9575C" w14:paraId="6D0FEE32" w14:textId="77777777" w:rsidTr="00F44AC2">
        <w:trPr>
          <w:cantSplit/>
        </w:trPr>
        <w:tc>
          <w:tcPr>
            <w:tcW w:w="4678" w:type="dxa"/>
          </w:tcPr>
          <w:p w14:paraId="37A67E9A" w14:textId="77777777" w:rsidR="00E51CE1" w:rsidRPr="00C03451" w:rsidRDefault="00E51CE1" w:rsidP="00F44AC2">
            <w:pPr>
              <w:widowControl w:val="0"/>
              <w:autoSpaceDE w:val="0"/>
              <w:autoSpaceDN w:val="0"/>
              <w:adjustRightInd w:val="0"/>
              <w:rPr>
                <w:b/>
                <w:bCs/>
                <w:szCs w:val="22"/>
                <w:lang w:val="it-IT"/>
              </w:rPr>
            </w:pPr>
            <w:r w:rsidRPr="00C03451">
              <w:rPr>
                <w:b/>
                <w:bCs/>
                <w:szCs w:val="22"/>
                <w:lang w:val="it-IT"/>
              </w:rPr>
              <w:t>България</w:t>
            </w:r>
          </w:p>
          <w:p w14:paraId="0953B669" w14:textId="77777777" w:rsidR="005175C2" w:rsidRPr="00C03451" w:rsidRDefault="005175C2" w:rsidP="005175C2">
            <w:pPr>
              <w:rPr>
                <w:lang w:val="it-IT"/>
              </w:rPr>
            </w:pPr>
            <w:r w:rsidRPr="00C03451">
              <w:rPr>
                <w:lang w:val="it-IT"/>
              </w:rPr>
              <w:t>ViiV Healthcare BV</w:t>
            </w:r>
          </w:p>
          <w:p w14:paraId="6B89932A" w14:textId="77777777" w:rsidR="005175C2" w:rsidRPr="00C03451" w:rsidRDefault="005175C2" w:rsidP="005175C2">
            <w:pPr>
              <w:widowControl w:val="0"/>
              <w:autoSpaceDE w:val="0"/>
              <w:autoSpaceDN w:val="0"/>
              <w:adjustRightInd w:val="0"/>
              <w:rPr>
                <w:szCs w:val="22"/>
                <w:lang w:val="it-IT"/>
              </w:rPr>
            </w:pPr>
            <w:r w:rsidRPr="00C03451">
              <w:rPr>
                <w:szCs w:val="22"/>
                <w:lang w:val="it-IT"/>
              </w:rPr>
              <w:t xml:space="preserve">Teл.: + </w:t>
            </w:r>
            <w:r w:rsidRPr="00C03451">
              <w:rPr>
                <w:color w:val="000000"/>
                <w:szCs w:val="22"/>
                <w:lang w:val="it-IT"/>
              </w:rPr>
              <w:t xml:space="preserve">359 </w:t>
            </w:r>
            <w:r w:rsidRPr="00C03451">
              <w:rPr>
                <w:color w:val="000000"/>
                <w:lang w:val="it-IT"/>
              </w:rPr>
              <w:t>80018205</w:t>
            </w:r>
          </w:p>
          <w:p w14:paraId="089D66B7" w14:textId="77777777" w:rsidR="00E51CE1" w:rsidRPr="00C03451" w:rsidRDefault="00E51CE1" w:rsidP="00F44AC2">
            <w:pPr>
              <w:widowControl w:val="0"/>
              <w:autoSpaceDE w:val="0"/>
              <w:autoSpaceDN w:val="0"/>
              <w:adjustRightInd w:val="0"/>
              <w:rPr>
                <w:snapToGrid w:val="0"/>
                <w:szCs w:val="22"/>
                <w:lang w:val="it-IT"/>
              </w:rPr>
            </w:pPr>
          </w:p>
        </w:tc>
        <w:tc>
          <w:tcPr>
            <w:tcW w:w="3969" w:type="dxa"/>
          </w:tcPr>
          <w:p w14:paraId="197A27F7" w14:textId="77777777" w:rsidR="00E51CE1" w:rsidRPr="00C03451" w:rsidRDefault="00E51CE1" w:rsidP="00F44AC2">
            <w:pPr>
              <w:rPr>
                <w:b/>
                <w:snapToGrid w:val="0"/>
                <w:lang w:val="it-IT"/>
              </w:rPr>
            </w:pPr>
            <w:r w:rsidRPr="00C03451">
              <w:rPr>
                <w:b/>
                <w:snapToGrid w:val="0"/>
                <w:lang w:val="it-IT"/>
              </w:rPr>
              <w:t>Luxembourg/Luxemburg</w:t>
            </w:r>
          </w:p>
          <w:p w14:paraId="7E5BEC05" w14:textId="77777777" w:rsidR="00E51CE1" w:rsidRPr="00C03451" w:rsidRDefault="00E51CE1" w:rsidP="00F44AC2">
            <w:pPr>
              <w:rPr>
                <w:snapToGrid w:val="0"/>
                <w:lang w:val="it-IT"/>
              </w:rPr>
            </w:pPr>
            <w:r w:rsidRPr="00C03451">
              <w:rPr>
                <w:color w:val="000000"/>
                <w:lang w:val="it-IT"/>
              </w:rPr>
              <w:t>ViiV Healthcare srl/bv</w:t>
            </w:r>
            <w:r w:rsidRPr="00C03451" w:rsidDel="00E41975">
              <w:rPr>
                <w:snapToGrid w:val="0"/>
                <w:lang w:val="it-IT"/>
              </w:rPr>
              <w:t xml:space="preserve"> </w:t>
            </w:r>
          </w:p>
          <w:p w14:paraId="277A6BFC" w14:textId="77777777" w:rsidR="00E51CE1" w:rsidRPr="00C03451" w:rsidRDefault="00E51CE1" w:rsidP="00F44AC2">
            <w:pPr>
              <w:rPr>
                <w:snapToGrid w:val="0"/>
                <w:lang w:val="it-IT"/>
              </w:rPr>
            </w:pPr>
            <w:r w:rsidRPr="00C03451">
              <w:rPr>
                <w:snapToGrid w:val="0"/>
                <w:lang w:val="it-IT"/>
              </w:rPr>
              <w:t>Belgique/Belgien</w:t>
            </w:r>
          </w:p>
          <w:p w14:paraId="1E8D793E" w14:textId="77777777" w:rsidR="00E51CE1" w:rsidRPr="00C03451" w:rsidRDefault="00E51CE1" w:rsidP="00F44AC2">
            <w:pPr>
              <w:rPr>
                <w:snapToGrid w:val="0"/>
                <w:lang w:val="it-IT"/>
              </w:rPr>
            </w:pPr>
            <w:r w:rsidRPr="00C03451">
              <w:rPr>
                <w:lang w:val="it-IT"/>
              </w:rPr>
              <w:t xml:space="preserve">Tél/Tel: </w:t>
            </w:r>
            <w:r w:rsidRPr="00C03451">
              <w:rPr>
                <w:snapToGrid w:val="0"/>
                <w:lang w:val="it-IT"/>
              </w:rPr>
              <w:t>+ 32 (0) 10 85 65 00</w:t>
            </w:r>
          </w:p>
          <w:p w14:paraId="3470F912" w14:textId="77777777" w:rsidR="00E51CE1" w:rsidRPr="00C03451" w:rsidRDefault="00E51CE1" w:rsidP="00F44AC2">
            <w:pPr>
              <w:widowControl w:val="0"/>
              <w:rPr>
                <w:b/>
                <w:szCs w:val="22"/>
                <w:lang w:val="it-IT"/>
              </w:rPr>
            </w:pPr>
          </w:p>
        </w:tc>
      </w:tr>
      <w:tr w:rsidR="00E51CE1" w:rsidRPr="00C9575C" w14:paraId="65A818D3" w14:textId="77777777" w:rsidTr="00F44AC2">
        <w:trPr>
          <w:cantSplit/>
        </w:trPr>
        <w:tc>
          <w:tcPr>
            <w:tcW w:w="4678" w:type="dxa"/>
          </w:tcPr>
          <w:p w14:paraId="1731D905" w14:textId="77777777" w:rsidR="00E51CE1" w:rsidRPr="00C03451" w:rsidRDefault="00E51CE1" w:rsidP="00F44AC2">
            <w:pPr>
              <w:widowControl w:val="0"/>
              <w:rPr>
                <w:b/>
                <w:snapToGrid w:val="0"/>
                <w:szCs w:val="22"/>
                <w:lang w:val="it-IT"/>
              </w:rPr>
            </w:pPr>
            <w:r w:rsidRPr="00C03451">
              <w:rPr>
                <w:b/>
                <w:snapToGrid w:val="0"/>
                <w:szCs w:val="22"/>
                <w:lang w:val="it-IT"/>
              </w:rPr>
              <w:t>Česká republika</w:t>
            </w:r>
          </w:p>
          <w:p w14:paraId="6E5F5B2C" w14:textId="77777777" w:rsidR="00E51CE1" w:rsidRPr="00C03451" w:rsidRDefault="00E51CE1" w:rsidP="00F44AC2">
            <w:pPr>
              <w:widowControl w:val="0"/>
              <w:rPr>
                <w:snapToGrid w:val="0"/>
                <w:szCs w:val="22"/>
                <w:lang w:val="it-IT"/>
              </w:rPr>
            </w:pPr>
            <w:r w:rsidRPr="00C03451">
              <w:rPr>
                <w:snapToGrid w:val="0"/>
                <w:szCs w:val="22"/>
                <w:lang w:val="it-IT"/>
              </w:rPr>
              <w:t>GlaxoSmithKline s.r.o.</w:t>
            </w:r>
          </w:p>
          <w:p w14:paraId="5B399654" w14:textId="77777777" w:rsidR="00E51CE1" w:rsidRPr="00C03451" w:rsidRDefault="00E51CE1" w:rsidP="00F44AC2">
            <w:pPr>
              <w:widowControl w:val="0"/>
              <w:rPr>
                <w:szCs w:val="22"/>
                <w:lang w:val="it-IT"/>
              </w:rPr>
            </w:pPr>
            <w:r w:rsidRPr="00C03451">
              <w:rPr>
                <w:snapToGrid w:val="0"/>
                <w:szCs w:val="22"/>
                <w:lang w:val="it-IT"/>
              </w:rPr>
              <w:t>Tel: + 420 222 001 111</w:t>
            </w:r>
          </w:p>
          <w:p w14:paraId="4B48EB5B" w14:textId="6FC50EE6" w:rsidR="00E51CE1" w:rsidRDefault="00EE6A42" w:rsidP="00E51CE1">
            <w:pPr>
              <w:widowControl w:val="0"/>
              <w:rPr>
                <w:szCs w:val="22"/>
                <w:lang w:val="it-IT"/>
              </w:rPr>
            </w:pPr>
            <w:r w:rsidRPr="00466F97">
              <w:rPr>
                <w:szCs w:val="22"/>
                <w:lang w:val="it-IT"/>
              </w:rPr>
              <w:t>cz.info@gsk.com</w:t>
            </w:r>
          </w:p>
          <w:p w14:paraId="73BBDF4F" w14:textId="77777777" w:rsidR="00EE6A42" w:rsidRPr="00C03451" w:rsidRDefault="00EE6A42" w:rsidP="00E51CE1">
            <w:pPr>
              <w:widowControl w:val="0"/>
              <w:rPr>
                <w:szCs w:val="22"/>
                <w:lang w:val="it-IT"/>
              </w:rPr>
            </w:pPr>
          </w:p>
          <w:p w14:paraId="4779EFE7" w14:textId="77777777" w:rsidR="00E51CE1" w:rsidRPr="00C03451" w:rsidRDefault="00E51CE1" w:rsidP="00E51CE1">
            <w:pPr>
              <w:widowControl w:val="0"/>
              <w:rPr>
                <w:snapToGrid w:val="0"/>
                <w:szCs w:val="22"/>
                <w:lang w:val="it-IT"/>
              </w:rPr>
            </w:pPr>
          </w:p>
        </w:tc>
        <w:tc>
          <w:tcPr>
            <w:tcW w:w="3969" w:type="dxa"/>
          </w:tcPr>
          <w:p w14:paraId="2BF555B3" w14:textId="77777777" w:rsidR="00E51CE1" w:rsidRPr="00C03451" w:rsidRDefault="00E51CE1" w:rsidP="00F44AC2">
            <w:pPr>
              <w:widowControl w:val="0"/>
              <w:rPr>
                <w:b/>
                <w:szCs w:val="22"/>
                <w:lang w:val="it-IT"/>
              </w:rPr>
            </w:pPr>
            <w:r w:rsidRPr="00C03451">
              <w:rPr>
                <w:b/>
                <w:szCs w:val="22"/>
                <w:lang w:val="it-IT"/>
              </w:rPr>
              <w:t>Magyarország</w:t>
            </w:r>
          </w:p>
          <w:p w14:paraId="7DE57343" w14:textId="77777777" w:rsidR="005175C2" w:rsidRPr="00C03451" w:rsidRDefault="005175C2" w:rsidP="005175C2">
            <w:pPr>
              <w:rPr>
                <w:lang w:val="it-IT"/>
              </w:rPr>
            </w:pPr>
            <w:r w:rsidRPr="00C03451">
              <w:rPr>
                <w:lang w:val="it-IT"/>
              </w:rPr>
              <w:t>ViiV Healthcare BV</w:t>
            </w:r>
          </w:p>
          <w:p w14:paraId="6BCAFF11" w14:textId="5645391D" w:rsidR="00E51CE1" w:rsidRPr="00C03451" w:rsidRDefault="005175C2" w:rsidP="00F44AC2">
            <w:pPr>
              <w:widowControl w:val="0"/>
              <w:rPr>
                <w:b/>
                <w:szCs w:val="22"/>
                <w:lang w:val="it-IT"/>
              </w:rPr>
            </w:pPr>
            <w:r w:rsidRPr="00C03451">
              <w:rPr>
                <w:snapToGrid w:val="0"/>
                <w:szCs w:val="22"/>
                <w:lang w:val="it-IT"/>
              </w:rPr>
              <w:t xml:space="preserve">Tel.: + 36 </w:t>
            </w:r>
            <w:r w:rsidRPr="00C03451">
              <w:rPr>
                <w:color w:val="000000"/>
                <w:lang w:val="it-IT"/>
              </w:rPr>
              <w:t>80088309</w:t>
            </w:r>
          </w:p>
        </w:tc>
      </w:tr>
      <w:tr w:rsidR="00E51CE1" w:rsidRPr="00C9575C" w14:paraId="72A718A4" w14:textId="77777777" w:rsidTr="00F44AC2">
        <w:trPr>
          <w:cantSplit/>
        </w:trPr>
        <w:tc>
          <w:tcPr>
            <w:tcW w:w="4678" w:type="dxa"/>
          </w:tcPr>
          <w:p w14:paraId="7CCD34FC" w14:textId="77777777" w:rsidR="00E51CE1" w:rsidRPr="00C03451" w:rsidRDefault="00E51CE1" w:rsidP="00F44AC2">
            <w:pPr>
              <w:widowControl w:val="0"/>
              <w:rPr>
                <w:snapToGrid w:val="0"/>
                <w:szCs w:val="22"/>
                <w:lang w:val="it-IT"/>
              </w:rPr>
            </w:pPr>
            <w:r w:rsidRPr="00C03451">
              <w:rPr>
                <w:b/>
                <w:szCs w:val="22"/>
                <w:lang w:val="it-IT"/>
              </w:rPr>
              <w:t>Danmark</w:t>
            </w:r>
          </w:p>
          <w:p w14:paraId="67769BAF" w14:textId="77777777" w:rsidR="00E51CE1" w:rsidRPr="00C03451" w:rsidRDefault="00E51CE1" w:rsidP="00F44AC2">
            <w:pPr>
              <w:widowControl w:val="0"/>
              <w:rPr>
                <w:snapToGrid w:val="0"/>
                <w:szCs w:val="22"/>
                <w:lang w:val="it-IT"/>
              </w:rPr>
            </w:pPr>
            <w:r w:rsidRPr="00C03451">
              <w:rPr>
                <w:snapToGrid w:val="0"/>
                <w:szCs w:val="22"/>
                <w:lang w:val="it-IT"/>
              </w:rPr>
              <w:t>GlaxoSmithKline Pharma A/S</w:t>
            </w:r>
          </w:p>
          <w:p w14:paraId="4C3F7765" w14:textId="77777777" w:rsidR="00E51CE1" w:rsidRPr="00C03451" w:rsidRDefault="00E51CE1" w:rsidP="00F44AC2">
            <w:pPr>
              <w:widowControl w:val="0"/>
              <w:rPr>
                <w:snapToGrid w:val="0"/>
                <w:szCs w:val="22"/>
                <w:lang w:val="it-IT"/>
              </w:rPr>
            </w:pPr>
            <w:r w:rsidRPr="00C03451">
              <w:rPr>
                <w:snapToGrid w:val="0"/>
                <w:szCs w:val="22"/>
                <w:lang w:val="it-IT"/>
              </w:rPr>
              <w:t>Tlf: + 45 36 35 91 00</w:t>
            </w:r>
          </w:p>
          <w:p w14:paraId="39D429F8" w14:textId="25F97001" w:rsidR="00E51CE1" w:rsidRDefault="00EE6A42" w:rsidP="00F44AC2">
            <w:pPr>
              <w:widowControl w:val="0"/>
              <w:rPr>
                <w:snapToGrid w:val="0"/>
                <w:szCs w:val="22"/>
                <w:lang w:val="it-IT"/>
              </w:rPr>
            </w:pPr>
            <w:r w:rsidRPr="00466F97">
              <w:rPr>
                <w:snapToGrid w:val="0"/>
                <w:szCs w:val="22"/>
                <w:lang w:val="it-IT"/>
              </w:rPr>
              <w:t>dk-info@gsk.com</w:t>
            </w:r>
          </w:p>
          <w:p w14:paraId="2C4CDCC8" w14:textId="77777777" w:rsidR="00EE6A42" w:rsidRPr="00C03451" w:rsidRDefault="00EE6A42" w:rsidP="00F44AC2">
            <w:pPr>
              <w:widowControl w:val="0"/>
              <w:rPr>
                <w:szCs w:val="22"/>
                <w:lang w:val="it-IT"/>
              </w:rPr>
            </w:pPr>
          </w:p>
          <w:p w14:paraId="1B5AE57D" w14:textId="77777777" w:rsidR="00E51CE1" w:rsidRPr="00C03451" w:rsidRDefault="00E51CE1" w:rsidP="00F44AC2">
            <w:pPr>
              <w:widowControl w:val="0"/>
              <w:rPr>
                <w:b/>
                <w:szCs w:val="22"/>
                <w:lang w:val="it-IT"/>
              </w:rPr>
            </w:pPr>
          </w:p>
        </w:tc>
        <w:tc>
          <w:tcPr>
            <w:tcW w:w="3969" w:type="dxa"/>
          </w:tcPr>
          <w:p w14:paraId="0922B073" w14:textId="77777777" w:rsidR="00E51CE1" w:rsidRPr="00C03451" w:rsidRDefault="00E51CE1" w:rsidP="00F44AC2">
            <w:pPr>
              <w:widowControl w:val="0"/>
              <w:rPr>
                <w:b/>
                <w:szCs w:val="22"/>
                <w:lang w:val="it-IT"/>
              </w:rPr>
            </w:pPr>
            <w:r w:rsidRPr="00C03451">
              <w:rPr>
                <w:b/>
                <w:szCs w:val="22"/>
                <w:lang w:val="it-IT"/>
              </w:rPr>
              <w:t>Malta</w:t>
            </w:r>
          </w:p>
          <w:p w14:paraId="12D7DC8F" w14:textId="77777777" w:rsidR="005175C2" w:rsidRPr="00C03451" w:rsidRDefault="005175C2" w:rsidP="005175C2">
            <w:pPr>
              <w:rPr>
                <w:lang w:val="it-IT"/>
              </w:rPr>
            </w:pPr>
            <w:r w:rsidRPr="00C03451">
              <w:rPr>
                <w:lang w:val="it-IT"/>
              </w:rPr>
              <w:t>ViiV Healthcare BV</w:t>
            </w:r>
          </w:p>
          <w:p w14:paraId="55BDEFD8" w14:textId="759B704A" w:rsidR="00E51CE1" w:rsidRPr="00C03451" w:rsidRDefault="005175C2" w:rsidP="00F44AC2">
            <w:pPr>
              <w:widowControl w:val="0"/>
              <w:rPr>
                <w:snapToGrid w:val="0"/>
                <w:szCs w:val="22"/>
                <w:lang w:val="it-IT"/>
              </w:rPr>
            </w:pPr>
            <w:r w:rsidRPr="00C03451">
              <w:rPr>
                <w:snapToGrid w:val="0"/>
                <w:szCs w:val="22"/>
                <w:lang w:val="it-IT"/>
              </w:rPr>
              <w:t xml:space="preserve">Tel: + 356 </w:t>
            </w:r>
            <w:r w:rsidRPr="00C03451">
              <w:rPr>
                <w:color w:val="000000"/>
                <w:lang w:val="it-IT"/>
              </w:rPr>
              <w:t>80065004</w:t>
            </w:r>
          </w:p>
        </w:tc>
      </w:tr>
      <w:tr w:rsidR="00E51CE1" w:rsidRPr="00C9575C" w14:paraId="410BA21D" w14:textId="77777777" w:rsidTr="00F44AC2">
        <w:trPr>
          <w:cantSplit/>
        </w:trPr>
        <w:tc>
          <w:tcPr>
            <w:tcW w:w="4678" w:type="dxa"/>
          </w:tcPr>
          <w:p w14:paraId="0F69505B" w14:textId="77777777" w:rsidR="00E51CE1" w:rsidRPr="00C03451" w:rsidRDefault="00E51CE1" w:rsidP="00F44AC2">
            <w:pPr>
              <w:widowControl w:val="0"/>
              <w:rPr>
                <w:snapToGrid w:val="0"/>
                <w:szCs w:val="22"/>
                <w:lang w:val="it-IT"/>
              </w:rPr>
            </w:pPr>
            <w:r w:rsidRPr="00C03451">
              <w:rPr>
                <w:b/>
                <w:szCs w:val="22"/>
                <w:lang w:val="it-IT"/>
              </w:rPr>
              <w:t>Deutschland</w:t>
            </w:r>
          </w:p>
          <w:p w14:paraId="563C6170" w14:textId="77777777" w:rsidR="00E51CE1" w:rsidRPr="00C03451" w:rsidRDefault="00E51CE1" w:rsidP="00F44AC2">
            <w:pPr>
              <w:widowControl w:val="0"/>
              <w:rPr>
                <w:szCs w:val="22"/>
                <w:lang w:val="it-IT"/>
              </w:rPr>
            </w:pPr>
            <w:r w:rsidRPr="00C03451">
              <w:rPr>
                <w:color w:val="000000"/>
                <w:lang w:val="it-IT"/>
              </w:rPr>
              <w:t>ViiV Healthcare GmbH</w:t>
            </w:r>
            <w:r w:rsidRPr="00C03451" w:rsidDel="007819B6">
              <w:rPr>
                <w:snapToGrid w:val="0"/>
                <w:szCs w:val="22"/>
                <w:lang w:val="it-IT"/>
              </w:rPr>
              <w:t xml:space="preserve"> </w:t>
            </w:r>
          </w:p>
          <w:p w14:paraId="6572F03C" w14:textId="77777777" w:rsidR="00E51CE1" w:rsidRPr="00C03451" w:rsidRDefault="00E51CE1" w:rsidP="00F44AC2">
            <w:pPr>
              <w:widowControl w:val="0"/>
              <w:rPr>
                <w:snapToGrid w:val="0"/>
                <w:szCs w:val="22"/>
                <w:lang w:val="it-IT"/>
              </w:rPr>
            </w:pPr>
            <w:r w:rsidRPr="00C03451">
              <w:rPr>
                <w:szCs w:val="22"/>
                <w:lang w:val="it-IT"/>
              </w:rPr>
              <w:t xml:space="preserve">Tel.: </w:t>
            </w:r>
            <w:r w:rsidRPr="00C03451">
              <w:rPr>
                <w:snapToGrid w:val="0"/>
                <w:szCs w:val="22"/>
                <w:lang w:val="it-IT"/>
              </w:rPr>
              <w:t xml:space="preserve">+ 49 (0)89 </w:t>
            </w:r>
            <w:r w:rsidRPr="00C03451">
              <w:rPr>
                <w:color w:val="000000"/>
                <w:lang w:val="it-IT"/>
              </w:rPr>
              <w:t>203 0038-10</w:t>
            </w:r>
          </w:p>
          <w:p w14:paraId="057712E1" w14:textId="161217A5" w:rsidR="00E51CE1" w:rsidRDefault="00EE6A42" w:rsidP="00F44AC2">
            <w:pPr>
              <w:widowControl w:val="0"/>
            </w:pPr>
            <w:r w:rsidRPr="005C7BE9">
              <w:t>viiv.med.info@viivhealthcare.com</w:t>
            </w:r>
          </w:p>
          <w:p w14:paraId="441BF67D" w14:textId="77777777" w:rsidR="00E51CE1" w:rsidRPr="00C03451" w:rsidRDefault="00E51CE1" w:rsidP="00F44AC2">
            <w:pPr>
              <w:widowControl w:val="0"/>
              <w:rPr>
                <w:b/>
                <w:szCs w:val="22"/>
                <w:lang w:val="it-IT"/>
              </w:rPr>
            </w:pPr>
          </w:p>
        </w:tc>
        <w:tc>
          <w:tcPr>
            <w:tcW w:w="3969" w:type="dxa"/>
          </w:tcPr>
          <w:p w14:paraId="7FCBEE73" w14:textId="77777777" w:rsidR="00E51CE1" w:rsidRPr="00C03451" w:rsidRDefault="00E51CE1" w:rsidP="00F44AC2">
            <w:pPr>
              <w:widowControl w:val="0"/>
              <w:rPr>
                <w:b/>
                <w:snapToGrid w:val="0"/>
                <w:szCs w:val="22"/>
                <w:lang w:val="it-IT"/>
              </w:rPr>
            </w:pPr>
            <w:r w:rsidRPr="00C03451">
              <w:rPr>
                <w:b/>
                <w:snapToGrid w:val="0"/>
                <w:szCs w:val="22"/>
                <w:lang w:val="it-IT"/>
              </w:rPr>
              <w:t>Nederland</w:t>
            </w:r>
          </w:p>
          <w:p w14:paraId="4D87B833" w14:textId="77777777" w:rsidR="00E51CE1" w:rsidRPr="00C03451" w:rsidRDefault="00E51CE1" w:rsidP="00F44AC2">
            <w:pPr>
              <w:widowControl w:val="0"/>
              <w:rPr>
                <w:snapToGrid w:val="0"/>
                <w:szCs w:val="22"/>
                <w:lang w:val="it-IT"/>
              </w:rPr>
            </w:pPr>
            <w:r w:rsidRPr="00C03451">
              <w:rPr>
                <w:color w:val="000000"/>
                <w:lang w:val="it-IT"/>
              </w:rPr>
              <w:t>ViiV Healthcare BV</w:t>
            </w:r>
            <w:r w:rsidRPr="00C03451" w:rsidDel="007819B6">
              <w:rPr>
                <w:snapToGrid w:val="0"/>
                <w:szCs w:val="22"/>
                <w:lang w:val="it-IT"/>
              </w:rPr>
              <w:t xml:space="preserve"> </w:t>
            </w:r>
          </w:p>
          <w:p w14:paraId="6AB25145" w14:textId="77777777" w:rsidR="009373EB" w:rsidRPr="00C03451" w:rsidRDefault="009373EB" w:rsidP="009373EB">
            <w:pPr>
              <w:widowControl w:val="0"/>
              <w:rPr>
                <w:snapToGrid w:val="0"/>
                <w:szCs w:val="22"/>
                <w:lang w:val="it-IT"/>
              </w:rPr>
            </w:pPr>
            <w:r w:rsidRPr="00C03451">
              <w:rPr>
                <w:snapToGrid w:val="0"/>
                <w:szCs w:val="22"/>
                <w:lang w:val="it-IT"/>
              </w:rPr>
              <w:t>Tel: + 31 (0)</w:t>
            </w:r>
            <w:r w:rsidRPr="00C03451">
              <w:rPr>
                <w:snapToGrid w:val="0"/>
                <w:lang w:val="it-IT"/>
              </w:rPr>
              <w:t xml:space="preserve"> 33 2081199</w:t>
            </w:r>
          </w:p>
          <w:p w14:paraId="55E4AE9D" w14:textId="77777777" w:rsidR="00E51CE1" w:rsidRPr="00C03451" w:rsidRDefault="00E51CE1" w:rsidP="00F44AC2">
            <w:pPr>
              <w:widowControl w:val="0"/>
              <w:rPr>
                <w:b/>
                <w:szCs w:val="22"/>
                <w:lang w:val="it-IT"/>
              </w:rPr>
            </w:pPr>
            <w:hyperlink r:id="rId14" w:history="1"/>
          </w:p>
        </w:tc>
      </w:tr>
      <w:tr w:rsidR="00E51CE1" w:rsidRPr="00C9575C" w14:paraId="6893B183" w14:textId="77777777" w:rsidTr="00F44AC2">
        <w:trPr>
          <w:cantSplit/>
        </w:trPr>
        <w:tc>
          <w:tcPr>
            <w:tcW w:w="4678" w:type="dxa"/>
          </w:tcPr>
          <w:p w14:paraId="76570DA5" w14:textId="77777777" w:rsidR="00E51CE1" w:rsidRPr="00C9575C" w:rsidRDefault="00E51CE1" w:rsidP="00F44AC2">
            <w:pPr>
              <w:widowControl w:val="0"/>
              <w:rPr>
                <w:b/>
                <w:snapToGrid w:val="0"/>
                <w:szCs w:val="22"/>
                <w:lang w:val="it-IT"/>
              </w:rPr>
            </w:pPr>
            <w:r w:rsidRPr="00C9575C">
              <w:rPr>
                <w:b/>
                <w:snapToGrid w:val="0"/>
                <w:szCs w:val="22"/>
                <w:lang w:val="it-IT"/>
              </w:rPr>
              <w:t>Eesti</w:t>
            </w:r>
          </w:p>
          <w:p w14:paraId="04B36E5A" w14:textId="77777777" w:rsidR="005175C2" w:rsidRPr="00C03451" w:rsidRDefault="005175C2" w:rsidP="005175C2">
            <w:pPr>
              <w:rPr>
                <w:lang w:val="it-IT"/>
              </w:rPr>
            </w:pPr>
            <w:r w:rsidRPr="00C03451">
              <w:rPr>
                <w:lang w:val="it-IT"/>
              </w:rPr>
              <w:t>ViiV Healthcare BV</w:t>
            </w:r>
          </w:p>
          <w:p w14:paraId="729D2C76" w14:textId="77777777" w:rsidR="005175C2" w:rsidRPr="00C03451" w:rsidRDefault="005175C2" w:rsidP="005175C2">
            <w:pPr>
              <w:widowControl w:val="0"/>
              <w:spacing w:line="240" w:lineRule="atLeast"/>
              <w:rPr>
                <w:snapToGrid w:val="0"/>
                <w:color w:val="000000"/>
                <w:szCs w:val="22"/>
                <w:lang w:val="it-IT"/>
              </w:rPr>
            </w:pPr>
            <w:r w:rsidRPr="00C03451">
              <w:rPr>
                <w:snapToGrid w:val="0"/>
                <w:color w:val="000000"/>
                <w:szCs w:val="22"/>
                <w:lang w:val="it-IT"/>
              </w:rPr>
              <w:t xml:space="preserve">Tel: + 372 </w:t>
            </w:r>
            <w:r w:rsidRPr="00C03451">
              <w:rPr>
                <w:color w:val="000000"/>
                <w:lang w:val="it-IT"/>
              </w:rPr>
              <w:t>8002640</w:t>
            </w:r>
          </w:p>
          <w:p w14:paraId="71CFAB65" w14:textId="77777777" w:rsidR="00E51CE1" w:rsidRPr="00C03451" w:rsidRDefault="00E51CE1" w:rsidP="00F44AC2">
            <w:pPr>
              <w:widowControl w:val="0"/>
              <w:rPr>
                <w:szCs w:val="22"/>
                <w:lang w:val="it-IT"/>
              </w:rPr>
            </w:pPr>
          </w:p>
        </w:tc>
        <w:tc>
          <w:tcPr>
            <w:tcW w:w="3969" w:type="dxa"/>
          </w:tcPr>
          <w:p w14:paraId="46EF305C" w14:textId="77777777" w:rsidR="00E51CE1" w:rsidRPr="00C03451" w:rsidRDefault="00E51CE1" w:rsidP="00F44AC2">
            <w:pPr>
              <w:widowControl w:val="0"/>
              <w:rPr>
                <w:b/>
                <w:szCs w:val="22"/>
                <w:lang w:val="it-IT"/>
              </w:rPr>
            </w:pPr>
            <w:r w:rsidRPr="00C03451">
              <w:rPr>
                <w:b/>
                <w:szCs w:val="22"/>
                <w:lang w:val="it-IT"/>
              </w:rPr>
              <w:t>Norge</w:t>
            </w:r>
          </w:p>
          <w:p w14:paraId="611F1E33" w14:textId="77777777" w:rsidR="00E51CE1" w:rsidRPr="00C03451" w:rsidRDefault="00E51CE1" w:rsidP="00F44AC2">
            <w:pPr>
              <w:widowControl w:val="0"/>
              <w:rPr>
                <w:szCs w:val="22"/>
                <w:lang w:val="it-IT"/>
              </w:rPr>
            </w:pPr>
            <w:r w:rsidRPr="00C03451">
              <w:rPr>
                <w:snapToGrid w:val="0"/>
                <w:szCs w:val="22"/>
                <w:lang w:val="it-IT"/>
              </w:rPr>
              <w:t>GlaxoSmithKline AS</w:t>
            </w:r>
          </w:p>
          <w:p w14:paraId="01D67022" w14:textId="77777777" w:rsidR="00E51CE1" w:rsidRPr="00C03451" w:rsidRDefault="00E51CE1" w:rsidP="00F44AC2">
            <w:pPr>
              <w:widowControl w:val="0"/>
              <w:rPr>
                <w:snapToGrid w:val="0"/>
                <w:szCs w:val="22"/>
                <w:lang w:val="it-IT"/>
              </w:rPr>
            </w:pPr>
            <w:r w:rsidRPr="00C03451">
              <w:rPr>
                <w:snapToGrid w:val="0"/>
                <w:szCs w:val="22"/>
                <w:lang w:val="it-IT"/>
              </w:rPr>
              <w:t>Tlf: + 47 22 70 20 00</w:t>
            </w:r>
          </w:p>
          <w:p w14:paraId="1A988785" w14:textId="77777777" w:rsidR="00E51CE1" w:rsidRPr="00C03451" w:rsidRDefault="00E51CE1" w:rsidP="00706D6D">
            <w:pPr>
              <w:widowControl w:val="0"/>
              <w:rPr>
                <w:snapToGrid w:val="0"/>
                <w:szCs w:val="22"/>
                <w:lang w:val="it-IT"/>
              </w:rPr>
            </w:pPr>
          </w:p>
        </w:tc>
      </w:tr>
      <w:tr w:rsidR="00E51CE1" w:rsidRPr="00C9575C" w14:paraId="256AD924" w14:textId="77777777" w:rsidTr="00F44AC2">
        <w:trPr>
          <w:cantSplit/>
        </w:trPr>
        <w:tc>
          <w:tcPr>
            <w:tcW w:w="4678" w:type="dxa"/>
          </w:tcPr>
          <w:p w14:paraId="050DE847" w14:textId="77777777" w:rsidR="00E51CE1" w:rsidRPr="00C03451" w:rsidRDefault="00E51CE1" w:rsidP="00F44AC2">
            <w:pPr>
              <w:widowControl w:val="0"/>
              <w:rPr>
                <w:b/>
                <w:szCs w:val="22"/>
                <w:lang w:val="it-IT"/>
              </w:rPr>
            </w:pPr>
            <w:r w:rsidRPr="00C03451">
              <w:rPr>
                <w:b/>
                <w:szCs w:val="22"/>
                <w:lang w:val="it-IT"/>
              </w:rPr>
              <w:t>Ελλάδα</w:t>
            </w:r>
          </w:p>
          <w:p w14:paraId="01949EAC" w14:textId="77777777" w:rsidR="00E51CE1" w:rsidRPr="00C03451" w:rsidRDefault="00E51CE1" w:rsidP="00F44AC2">
            <w:pPr>
              <w:widowControl w:val="0"/>
              <w:rPr>
                <w:szCs w:val="22"/>
                <w:lang w:val="it-IT"/>
              </w:rPr>
            </w:pPr>
            <w:r w:rsidRPr="00C03451">
              <w:rPr>
                <w:szCs w:val="22"/>
                <w:lang w:val="it-IT"/>
              </w:rPr>
              <w:t xml:space="preserve">GlaxoSmithKline </w:t>
            </w:r>
            <w:r w:rsidR="009373EB" w:rsidRPr="00C03451">
              <w:rPr>
                <w:lang w:val="it-IT"/>
              </w:rPr>
              <w:t xml:space="preserve">Μονοπρόσωπη </w:t>
            </w:r>
            <w:r w:rsidRPr="00C03451">
              <w:rPr>
                <w:szCs w:val="22"/>
                <w:lang w:val="it-IT"/>
              </w:rPr>
              <w:t>A.E.B.E.</w:t>
            </w:r>
          </w:p>
          <w:p w14:paraId="3D97ECC6" w14:textId="77777777" w:rsidR="00E51CE1" w:rsidRPr="00C03451" w:rsidRDefault="00E51CE1" w:rsidP="00F44AC2">
            <w:pPr>
              <w:widowControl w:val="0"/>
              <w:rPr>
                <w:szCs w:val="22"/>
                <w:lang w:val="it-IT"/>
              </w:rPr>
            </w:pPr>
            <w:r w:rsidRPr="00C03451">
              <w:rPr>
                <w:szCs w:val="22"/>
                <w:lang w:val="it-IT"/>
              </w:rPr>
              <w:t>Τηλ: + 30 210 68 82 100</w:t>
            </w:r>
          </w:p>
        </w:tc>
        <w:tc>
          <w:tcPr>
            <w:tcW w:w="3969" w:type="dxa"/>
          </w:tcPr>
          <w:p w14:paraId="08633BEE" w14:textId="77777777" w:rsidR="00E51CE1" w:rsidRPr="005C7BE9" w:rsidRDefault="00E51CE1" w:rsidP="005C7BE9">
            <w:pPr>
              <w:widowControl w:val="0"/>
              <w:rPr>
                <w:b/>
                <w:szCs w:val="22"/>
                <w:lang w:val="it-IT"/>
              </w:rPr>
            </w:pPr>
            <w:r w:rsidRPr="00C03451">
              <w:rPr>
                <w:b/>
                <w:szCs w:val="22"/>
                <w:lang w:val="it-IT"/>
              </w:rPr>
              <w:t>Österreich</w:t>
            </w:r>
          </w:p>
          <w:p w14:paraId="61FEC9CA" w14:textId="77777777" w:rsidR="00E51CE1" w:rsidRPr="005C7BE9" w:rsidRDefault="00E51CE1" w:rsidP="005C7BE9">
            <w:pPr>
              <w:widowControl w:val="0"/>
              <w:rPr>
                <w:bCs/>
                <w:szCs w:val="22"/>
                <w:lang w:val="it-IT"/>
              </w:rPr>
            </w:pPr>
            <w:r w:rsidRPr="005C7BE9">
              <w:rPr>
                <w:bCs/>
                <w:szCs w:val="22"/>
                <w:lang w:val="it-IT"/>
              </w:rPr>
              <w:t>GlaxoSmithKline Pharma GmbH</w:t>
            </w:r>
          </w:p>
          <w:p w14:paraId="06902A4B" w14:textId="77777777" w:rsidR="00E51CE1" w:rsidRPr="005C7BE9" w:rsidRDefault="00E51CE1" w:rsidP="005C7BE9">
            <w:pPr>
              <w:widowControl w:val="0"/>
              <w:rPr>
                <w:bCs/>
                <w:szCs w:val="22"/>
                <w:lang w:val="it-IT"/>
              </w:rPr>
            </w:pPr>
            <w:r w:rsidRPr="005C7BE9">
              <w:rPr>
                <w:bCs/>
                <w:szCs w:val="22"/>
                <w:lang w:val="it-IT"/>
              </w:rPr>
              <w:t>Tel: + 43 (0)1 97075 0</w:t>
            </w:r>
          </w:p>
          <w:p w14:paraId="03ABA765" w14:textId="461FA70D" w:rsidR="00EE6A42" w:rsidRPr="005C7BE9" w:rsidRDefault="00EE6A42" w:rsidP="005C7BE9">
            <w:pPr>
              <w:widowControl w:val="0"/>
              <w:rPr>
                <w:bCs/>
                <w:szCs w:val="22"/>
                <w:lang w:val="it-IT"/>
              </w:rPr>
            </w:pPr>
            <w:hyperlink r:id="rId15" w:history="1">
              <w:r w:rsidRPr="005C7BE9">
                <w:rPr>
                  <w:bCs/>
                  <w:szCs w:val="22"/>
                  <w:lang w:val="it-IT"/>
                </w:rPr>
                <w:t>at.info@gsk.com</w:t>
              </w:r>
            </w:hyperlink>
          </w:p>
          <w:p w14:paraId="6F8D93C5" w14:textId="77777777" w:rsidR="00E51CE1" w:rsidRPr="005C7BE9" w:rsidRDefault="00E51CE1" w:rsidP="005C7BE9">
            <w:pPr>
              <w:widowControl w:val="0"/>
              <w:rPr>
                <w:b/>
                <w:szCs w:val="22"/>
                <w:lang w:val="it-IT"/>
              </w:rPr>
            </w:pPr>
          </w:p>
        </w:tc>
      </w:tr>
      <w:tr w:rsidR="00E51CE1" w:rsidRPr="00AE4800" w14:paraId="24F665CC" w14:textId="77777777" w:rsidTr="00E60D93">
        <w:trPr>
          <w:cantSplit/>
        </w:trPr>
        <w:tc>
          <w:tcPr>
            <w:tcW w:w="4678" w:type="dxa"/>
          </w:tcPr>
          <w:p w14:paraId="0F18F533" w14:textId="77777777" w:rsidR="00E51CE1" w:rsidRPr="00445476" w:rsidRDefault="00E51CE1" w:rsidP="00F44AC2">
            <w:pPr>
              <w:widowControl w:val="0"/>
              <w:rPr>
                <w:b/>
                <w:szCs w:val="22"/>
                <w:lang w:val="it-IT"/>
              </w:rPr>
            </w:pPr>
            <w:r w:rsidRPr="00445476">
              <w:rPr>
                <w:b/>
                <w:szCs w:val="22"/>
                <w:lang w:val="it-IT"/>
              </w:rPr>
              <w:t>España</w:t>
            </w:r>
          </w:p>
          <w:p w14:paraId="4B836511" w14:textId="77777777" w:rsidR="00E51CE1" w:rsidRPr="00AE4800" w:rsidRDefault="00E51CE1" w:rsidP="00AE4800">
            <w:pPr>
              <w:widowControl w:val="0"/>
              <w:rPr>
                <w:bCs/>
                <w:szCs w:val="22"/>
                <w:lang w:val="it-IT"/>
              </w:rPr>
            </w:pPr>
            <w:r w:rsidRPr="00AE4800">
              <w:rPr>
                <w:bCs/>
                <w:szCs w:val="22"/>
                <w:lang w:val="it-IT"/>
              </w:rPr>
              <w:t xml:space="preserve">Laboratorios ViiV Healthcare, S.L. </w:t>
            </w:r>
          </w:p>
          <w:p w14:paraId="0AC91838" w14:textId="77777777" w:rsidR="00E51CE1" w:rsidRPr="00AE4800" w:rsidRDefault="009373EB" w:rsidP="00AE4800">
            <w:pPr>
              <w:widowControl w:val="0"/>
              <w:rPr>
                <w:bCs/>
                <w:szCs w:val="22"/>
                <w:lang w:val="it-IT"/>
              </w:rPr>
            </w:pPr>
            <w:r w:rsidRPr="00AE4800">
              <w:rPr>
                <w:bCs/>
                <w:szCs w:val="22"/>
                <w:lang w:val="it-IT"/>
              </w:rPr>
              <w:t>Tel: +34 900 923 501</w:t>
            </w:r>
            <w:r w:rsidR="00E51CE1" w:rsidRPr="00AE4800">
              <w:rPr>
                <w:bCs/>
                <w:szCs w:val="22"/>
                <w:lang w:val="it-IT"/>
              </w:rPr>
              <w:t xml:space="preserve"> </w:t>
            </w:r>
          </w:p>
          <w:p w14:paraId="5FB2C40E" w14:textId="269C71DB" w:rsidR="00E51CE1" w:rsidRPr="00AE4800" w:rsidRDefault="00EE6A42" w:rsidP="00AE4800">
            <w:pPr>
              <w:widowControl w:val="0"/>
              <w:rPr>
                <w:bCs/>
                <w:szCs w:val="22"/>
                <w:lang w:val="it-IT"/>
              </w:rPr>
            </w:pPr>
            <w:hyperlink r:id="rId16" w:history="1">
              <w:r w:rsidRPr="00AE4800">
                <w:rPr>
                  <w:bCs/>
                  <w:szCs w:val="22"/>
                  <w:lang w:val="it-IT"/>
                </w:rPr>
                <w:t>es-ci@viivhealthcare.com</w:t>
              </w:r>
            </w:hyperlink>
          </w:p>
          <w:p w14:paraId="68183143" w14:textId="77777777" w:rsidR="00E51CE1" w:rsidRPr="00AE4800" w:rsidRDefault="00E51CE1" w:rsidP="00F44AC2">
            <w:pPr>
              <w:widowControl w:val="0"/>
              <w:rPr>
                <w:bCs/>
                <w:szCs w:val="22"/>
                <w:lang w:val="it-IT"/>
              </w:rPr>
            </w:pPr>
          </w:p>
        </w:tc>
        <w:tc>
          <w:tcPr>
            <w:tcW w:w="3969" w:type="dxa"/>
          </w:tcPr>
          <w:p w14:paraId="0326D1ED" w14:textId="77777777" w:rsidR="00E51CE1" w:rsidRPr="00445476" w:rsidRDefault="00E51CE1" w:rsidP="00F44AC2">
            <w:pPr>
              <w:widowControl w:val="0"/>
              <w:rPr>
                <w:b/>
                <w:szCs w:val="22"/>
                <w:lang w:val="it-IT"/>
              </w:rPr>
            </w:pPr>
            <w:r w:rsidRPr="00445476">
              <w:rPr>
                <w:b/>
                <w:szCs w:val="22"/>
                <w:lang w:val="it-IT"/>
              </w:rPr>
              <w:t>Polska</w:t>
            </w:r>
          </w:p>
          <w:p w14:paraId="03502ADF" w14:textId="77777777" w:rsidR="00E51CE1" w:rsidRPr="00AE4800" w:rsidRDefault="00E51CE1" w:rsidP="00F44AC2">
            <w:pPr>
              <w:widowControl w:val="0"/>
              <w:rPr>
                <w:bCs/>
                <w:szCs w:val="22"/>
                <w:lang w:val="it-IT"/>
              </w:rPr>
            </w:pPr>
            <w:r w:rsidRPr="00AE4800">
              <w:rPr>
                <w:bCs/>
                <w:szCs w:val="22"/>
                <w:lang w:val="it-IT"/>
              </w:rPr>
              <w:t>GSK Services Sp. z o.o.</w:t>
            </w:r>
          </w:p>
          <w:p w14:paraId="35896237" w14:textId="77777777" w:rsidR="00E51CE1" w:rsidRPr="00AE4800" w:rsidRDefault="00E51CE1" w:rsidP="00F44AC2">
            <w:pPr>
              <w:widowControl w:val="0"/>
              <w:rPr>
                <w:bCs/>
                <w:szCs w:val="22"/>
                <w:lang w:val="it-IT"/>
              </w:rPr>
            </w:pPr>
            <w:r w:rsidRPr="00AE4800">
              <w:rPr>
                <w:bCs/>
                <w:szCs w:val="22"/>
                <w:lang w:val="it-IT"/>
              </w:rPr>
              <w:t>Tel.: + 48 (0)22 576 9000</w:t>
            </w:r>
          </w:p>
          <w:p w14:paraId="7289A11A" w14:textId="77777777" w:rsidR="00E51CE1" w:rsidRPr="00AE4800" w:rsidRDefault="00E51CE1" w:rsidP="00F44AC2">
            <w:pPr>
              <w:widowControl w:val="0"/>
              <w:rPr>
                <w:bCs/>
                <w:szCs w:val="22"/>
                <w:lang w:val="it-IT"/>
              </w:rPr>
            </w:pPr>
          </w:p>
        </w:tc>
      </w:tr>
      <w:tr w:rsidR="00E60D93" w:rsidRPr="00EF3606" w14:paraId="5C8487E0" w14:textId="77777777" w:rsidTr="00E60D93">
        <w:trPr>
          <w:cantSplit/>
          <w:trHeight w:val="845"/>
        </w:trPr>
        <w:tc>
          <w:tcPr>
            <w:tcW w:w="4678" w:type="dxa"/>
          </w:tcPr>
          <w:p w14:paraId="1BAC069F" w14:textId="77777777" w:rsidR="00E60D93" w:rsidRPr="00C03451" w:rsidRDefault="00E60D93" w:rsidP="00F44AC2">
            <w:pPr>
              <w:widowControl w:val="0"/>
              <w:rPr>
                <w:szCs w:val="22"/>
                <w:lang w:val="it-IT"/>
              </w:rPr>
            </w:pPr>
            <w:r w:rsidRPr="00C03451">
              <w:rPr>
                <w:b/>
                <w:szCs w:val="22"/>
                <w:lang w:val="it-IT"/>
              </w:rPr>
              <w:t>France</w:t>
            </w:r>
          </w:p>
          <w:p w14:paraId="3186CE7D" w14:textId="77777777" w:rsidR="00E60D93" w:rsidRPr="00C03451" w:rsidRDefault="00E60D93" w:rsidP="00F44AC2">
            <w:pPr>
              <w:widowControl w:val="0"/>
              <w:rPr>
                <w:szCs w:val="22"/>
                <w:lang w:val="it-IT"/>
              </w:rPr>
            </w:pPr>
            <w:r w:rsidRPr="00C03451">
              <w:rPr>
                <w:color w:val="000000"/>
                <w:lang w:val="it-IT"/>
              </w:rPr>
              <w:t>ViiV Healthcare SAS</w:t>
            </w:r>
            <w:r w:rsidRPr="00C03451" w:rsidDel="003B4922">
              <w:rPr>
                <w:szCs w:val="22"/>
                <w:lang w:val="it-IT"/>
              </w:rPr>
              <w:t xml:space="preserve"> </w:t>
            </w:r>
          </w:p>
          <w:p w14:paraId="1BAC6B40" w14:textId="77777777" w:rsidR="00E60D93" w:rsidRPr="00C03451" w:rsidRDefault="00E60D93" w:rsidP="00F44AC2">
            <w:pPr>
              <w:widowControl w:val="0"/>
              <w:rPr>
                <w:szCs w:val="22"/>
                <w:lang w:val="it-IT"/>
              </w:rPr>
            </w:pPr>
            <w:r w:rsidRPr="00C03451">
              <w:rPr>
                <w:szCs w:val="22"/>
                <w:lang w:val="it-IT"/>
              </w:rPr>
              <w:t xml:space="preserve">Tél.: + 33 (0)1 39 17 </w:t>
            </w:r>
            <w:r w:rsidRPr="00C03451">
              <w:rPr>
                <w:color w:val="000000"/>
                <w:lang w:val="it-IT"/>
              </w:rPr>
              <w:t>6969</w:t>
            </w:r>
          </w:p>
          <w:p w14:paraId="409B47EC" w14:textId="4FD1CE3A" w:rsidR="00E60D93" w:rsidRDefault="00BF74CF" w:rsidP="00E60D93">
            <w:r w:rsidRPr="00466F97">
              <w:t>Infomed@viivhealthcare.com</w:t>
            </w:r>
          </w:p>
          <w:p w14:paraId="20230220" w14:textId="77777777" w:rsidR="00E60D93" w:rsidRPr="00C03451" w:rsidRDefault="00E60D93" w:rsidP="00E60D93">
            <w:pPr>
              <w:rPr>
                <w:b/>
                <w:snapToGrid w:val="0"/>
                <w:szCs w:val="22"/>
                <w:lang w:val="it-IT"/>
              </w:rPr>
            </w:pPr>
          </w:p>
          <w:p w14:paraId="7A1553D9" w14:textId="77777777" w:rsidR="00E60D93" w:rsidRPr="00C03451" w:rsidRDefault="00E60D93" w:rsidP="00E60D93">
            <w:pPr>
              <w:rPr>
                <w:b/>
                <w:snapToGrid w:val="0"/>
                <w:szCs w:val="22"/>
                <w:lang w:val="it-IT"/>
              </w:rPr>
            </w:pPr>
          </w:p>
        </w:tc>
        <w:tc>
          <w:tcPr>
            <w:tcW w:w="3969" w:type="dxa"/>
          </w:tcPr>
          <w:p w14:paraId="1F3E9DF3" w14:textId="77777777" w:rsidR="00E60D93" w:rsidRPr="00C03451" w:rsidRDefault="00E60D93" w:rsidP="00F44AC2">
            <w:pPr>
              <w:widowControl w:val="0"/>
              <w:rPr>
                <w:i/>
                <w:snapToGrid w:val="0"/>
                <w:color w:val="000000"/>
                <w:szCs w:val="22"/>
                <w:lang w:val="it-IT"/>
              </w:rPr>
            </w:pPr>
            <w:r w:rsidRPr="00C03451">
              <w:rPr>
                <w:b/>
                <w:szCs w:val="22"/>
                <w:lang w:val="it-IT"/>
              </w:rPr>
              <w:t>Portugal</w:t>
            </w:r>
          </w:p>
          <w:p w14:paraId="403E3F54" w14:textId="77777777" w:rsidR="00E60D93" w:rsidRPr="00C03451" w:rsidRDefault="00E60D93" w:rsidP="00F44AC2">
            <w:pPr>
              <w:widowControl w:val="0"/>
              <w:rPr>
                <w:szCs w:val="22"/>
                <w:lang w:val="it-IT"/>
              </w:rPr>
            </w:pPr>
            <w:r w:rsidRPr="00C03451">
              <w:rPr>
                <w:color w:val="000000"/>
                <w:lang w:val="it-IT"/>
              </w:rPr>
              <w:t>VIIVHIV HEALTHCARE, UNIPESSOAL, LDA</w:t>
            </w:r>
            <w:r w:rsidRPr="00C03451" w:rsidDel="007819B6">
              <w:rPr>
                <w:snapToGrid w:val="0"/>
                <w:color w:val="000000"/>
                <w:szCs w:val="22"/>
                <w:lang w:val="it-IT"/>
              </w:rPr>
              <w:t xml:space="preserve"> </w:t>
            </w:r>
          </w:p>
          <w:p w14:paraId="2F10615E" w14:textId="77777777" w:rsidR="00E60D93" w:rsidRPr="00C03451" w:rsidRDefault="00E60D93" w:rsidP="00F44AC2">
            <w:pPr>
              <w:widowControl w:val="0"/>
              <w:rPr>
                <w:szCs w:val="22"/>
                <w:lang w:val="it-IT"/>
              </w:rPr>
            </w:pPr>
            <w:r w:rsidRPr="00C03451">
              <w:rPr>
                <w:szCs w:val="22"/>
                <w:lang w:val="it-IT"/>
              </w:rPr>
              <w:t xml:space="preserve">Tel: + 351 21 </w:t>
            </w:r>
            <w:r w:rsidRPr="00C03451">
              <w:rPr>
                <w:color w:val="000000"/>
                <w:lang w:val="it-IT"/>
              </w:rPr>
              <w:t>094 08 01</w:t>
            </w:r>
          </w:p>
          <w:p w14:paraId="384A69E0" w14:textId="6A416FEF" w:rsidR="00E60D93" w:rsidRDefault="00EE6A42" w:rsidP="00E60D93">
            <w:pPr>
              <w:widowControl w:val="0"/>
            </w:pPr>
            <w:r w:rsidRPr="00466F97">
              <w:t>viiv.fi.pt@viivhealthcare.com</w:t>
            </w:r>
          </w:p>
          <w:p w14:paraId="2274238C" w14:textId="0685062C" w:rsidR="00EE6A42" w:rsidRPr="00C03451" w:rsidRDefault="00EE6A42" w:rsidP="00E60D93">
            <w:pPr>
              <w:widowControl w:val="0"/>
              <w:rPr>
                <w:szCs w:val="22"/>
                <w:lang w:val="it-IT"/>
              </w:rPr>
            </w:pPr>
          </w:p>
        </w:tc>
      </w:tr>
      <w:tr w:rsidR="00E60D93" w:rsidRPr="00C9575C" w14:paraId="1800005C" w14:textId="77777777" w:rsidTr="00E60D93">
        <w:trPr>
          <w:cantSplit/>
          <w:trHeight w:val="845"/>
        </w:trPr>
        <w:tc>
          <w:tcPr>
            <w:tcW w:w="4678" w:type="dxa"/>
          </w:tcPr>
          <w:p w14:paraId="635D8A4B" w14:textId="77777777" w:rsidR="00E60D93" w:rsidRPr="00C03451" w:rsidRDefault="00E60D93" w:rsidP="00E60D93">
            <w:pPr>
              <w:rPr>
                <w:szCs w:val="22"/>
                <w:lang w:val="it-IT"/>
              </w:rPr>
            </w:pPr>
            <w:r w:rsidRPr="00C03451">
              <w:rPr>
                <w:b/>
                <w:szCs w:val="22"/>
                <w:lang w:val="it-IT"/>
              </w:rPr>
              <w:lastRenderedPageBreak/>
              <w:t>Hrvatska</w:t>
            </w:r>
          </w:p>
          <w:p w14:paraId="168F4AFF" w14:textId="77777777" w:rsidR="005175C2" w:rsidRPr="00C03451" w:rsidRDefault="005175C2" w:rsidP="005175C2">
            <w:pPr>
              <w:rPr>
                <w:szCs w:val="22"/>
                <w:lang w:val="it-IT"/>
              </w:rPr>
            </w:pPr>
            <w:r w:rsidRPr="00C03451">
              <w:rPr>
                <w:lang w:val="it-IT"/>
              </w:rPr>
              <w:t>ViiV Healthcare BV</w:t>
            </w:r>
            <w:r w:rsidRPr="00C03451" w:rsidDel="00362ABE">
              <w:rPr>
                <w:szCs w:val="22"/>
                <w:lang w:val="it-IT"/>
              </w:rPr>
              <w:t xml:space="preserve"> </w:t>
            </w:r>
          </w:p>
          <w:p w14:paraId="123CD3C2" w14:textId="77777777" w:rsidR="005175C2" w:rsidRPr="00C03451" w:rsidRDefault="005175C2" w:rsidP="005175C2">
            <w:pPr>
              <w:rPr>
                <w:color w:val="000000"/>
                <w:lang w:val="it-IT"/>
              </w:rPr>
            </w:pPr>
            <w:r w:rsidRPr="00C03451">
              <w:rPr>
                <w:szCs w:val="22"/>
                <w:lang w:val="it-IT"/>
              </w:rPr>
              <w:t xml:space="preserve">Tel: + 385 </w:t>
            </w:r>
            <w:r w:rsidRPr="00C03451">
              <w:rPr>
                <w:color w:val="000000"/>
                <w:lang w:val="it-IT"/>
              </w:rPr>
              <w:t>800787089</w:t>
            </w:r>
          </w:p>
          <w:p w14:paraId="1922D4DA" w14:textId="77777777" w:rsidR="00E60D93" w:rsidRPr="00C03451" w:rsidRDefault="00E60D93" w:rsidP="00F44AC2">
            <w:pPr>
              <w:widowControl w:val="0"/>
              <w:rPr>
                <w:b/>
                <w:szCs w:val="22"/>
                <w:lang w:val="it-IT"/>
              </w:rPr>
            </w:pPr>
          </w:p>
        </w:tc>
        <w:tc>
          <w:tcPr>
            <w:tcW w:w="3969" w:type="dxa"/>
          </w:tcPr>
          <w:p w14:paraId="684C6D02" w14:textId="77777777" w:rsidR="00E60D93" w:rsidRPr="00C03451" w:rsidRDefault="00E60D93" w:rsidP="00E60D93">
            <w:pPr>
              <w:widowControl w:val="0"/>
              <w:tabs>
                <w:tab w:val="left" w:pos="-720"/>
                <w:tab w:val="left" w:pos="4536"/>
              </w:tabs>
              <w:suppressAutoHyphens/>
              <w:rPr>
                <w:b/>
                <w:szCs w:val="22"/>
                <w:lang w:val="it-IT"/>
              </w:rPr>
            </w:pPr>
            <w:r w:rsidRPr="00C03451">
              <w:rPr>
                <w:b/>
                <w:szCs w:val="22"/>
                <w:lang w:val="it-IT"/>
              </w:rPr>
              <w:t>România</w:t>
            </w:r>
          </w:p>
          <w:p w14:paraId="56FEE04F" w14:textId="77777777" w:rsidR="005175C2" w:rsidRPr="00C03451" w:rsidRDefault="005175C2" w:rsidP="005175C2">
            <w:pPr>
              <w:rPr>
                <w:lang w:val="it-IT"/>
              </w:rPr>
            </w:pPr>
            <w:r w:rsidRPr="00C03451">
              <w:rPr>
                <w:lang w:val="it-IT"/>
              </w:rPr>
              <w:t>ViiV Healthcare BV</w:t>
            </w:r>
          </w:p>
          <w:p w14:paraId="0AF016D6" w14:textId="77777777" w:rsidR="005175C2" w:rsidRPr="00C03451" w:rsidRDefault="005175C2" w:rsidP="005175C2">
            <w:pPr>
              <w:widowControl w:val="0"/>
              <w:autoSpaceDE w:val="0"/>
              <w:autoSpaceDN w:val="0"/>
              <w:adjustRightInd w:val="0"/>
              <w:spacing w:line="240" w:lineRule="atLeast"/>
              <w:rPr>
                <w:szCs w:val="22"/>
                <w:lang w:val="it-IT"/>
              </w:rPr>
            </w:pPr>
            <w:r w:rsidRPr="00C03451">
              <w:rPr>
                <w:szCs w:val="22"/>
                <w:lang w:val="it-IT"/>
              </w:rPr>
              <w:t>Tel: + 40</w:t>
            </w:r>
            <w:r w:rsidRPr="00C03451">
              <w:rPr>
                <w:color w:val="000000"/>
                <w:lang w:val="it-IT"/>
              </w:rPr>
              <w:t>800672524</w:t>
            </w:r>
          </w:p>
          <w:p w14:paraId="4891AF54" w14:textId="77777777" w:rsidR="00E60D93" w:rsidRPr="00C03451" w:rsidRDefault="00E60D93" w:rsidP="00F44AC2">
            <w:pPr>
              <w:widowControl w:val="0"/>
              <w:rPr>
                <w:b/>
                <w:szCs w:val="22"/>
                <w:lang w:val="it-IT"/>
              </w:rPr>
            </w:pPr>
          </w:p>
        </w:tc>
      </w:tr>
      <w:tr w:rsidR="00E51CE1" w:rsidRPr="00C9575C" w14:paraId="0C2CABD1" w14:textId="77777777" w:rsidTr="00F44AC2">
        <w:trPr>
          <w:cantSplit/>
        </w:trPr>
        <w:tc>
          <w:tcPr>
            <w:tcW w:w="4678" w:type="dxa"/>
          </w:tcPr>
          <w:p w14:paraId="531A90E7" w14:textId="77777777" w:rsidR="00E51CE1" w:rsidRPr="00C03451" w:rsidRDefault="00E51CE1" w:rsidP="00F44AC2">
            <w:pPr>
              <w:widowControl w:val="0"/>
              <w:rPr>
                <w:b/>
                <w:szCs w:val="22"/>
                <w:lang w:val="it-IT"/>
              </w:rPr>
            </w:pPr>
            <w:r w:rsidRPr="00C03451">
              <w:rPr>
                <w:b/>
                <w:szCs w:val="22"/>
                <w:lang w:val="it-IT"/>
              </w:rPr>
              <w:t>Ireland</w:t>
            </w:r>
          </w:p>
          <w:p w14:paraId="3D35D2B2" w14:textId="77777777" w:rsidR="00E51CE1" w:rsidRPr="00C03451" w:rsidRDefault="00E51CE1" w:rsidP="00F44AC2">
            <w:pPr>
              <w:widowControl w:val="0"/>
              <w:rPr>
                <w:snapToGrid w:val="0"/>
                <w:szCs w:val="22"/>
                <w:lang w:val="it-IT"/>
              </w:rPr>
            </w:pPr>
            <w:r w:rsidRPr="00C03451">
              <w:rPr>
                <w:snapToGrid w:val="0"/>
                <w:szCs w:val="22"/>
                <w:lang w:val="it-IT"/>
              </w:rPr>
              <w:t>GlaxoSmithKline (Ireland) Limited</w:t>
            </w:r>
          </w:p>
          <w:p w14:paraId="54E0DC44" w14:textId="77777777" w:rsidR="00E51CE1" w:rsidRPr="00C03451" w:rsidRDefault="00E51CE1" w:rsidP="00F44AC2">
            <w:pPr>
              <w:widowControl w:val="0"/>
              <w:rPr>
                <w:b/>
                <w:szCs w:val="22"/>
                <w:lang w:val="it-IT"/>
              </w:rPr>
            </w:pPr>
            <w:r w:rsidRPr="00C03451">
              <w:rPr>
                <w:snapToGrid w:val="0"/>
                <w:szCs w:val="22"/>
                <w:lang w:val="it-IT"/>
              </w:rPr>
              <w:t>Tel: + 353 (0)1 4955000</w:t>
            </w:r>
          </w:p>
        </w:tc>
        <w:tc>
          <w:tcPr>
            <w:tcW w:w="3969" w:type="dxa"/>
          </w:tcPr>
          <w:p w14:paraId="516F023B" w14:textId="77777777" w:rsidR="00E51CE1" w:rsidRPr="00C03451" w:rsidRDefault="00E51CE1" w:rsidP="00F44AC2">
            <w:pPr>
              <w:widowControl w:val="0"/>
              <w:rPr>
                <w:b/>
                <w:szCs w:val="22"/>
                <w:lang w:val="it-IT"/>
              </w:rPr>
            </w:pPr>
            <w:r w:rsidRPr="00C03451">
              <w:rPr>
                <w:b/>
                <w:szCs w:val="22"/>
                <w:lang w:val="it-IT"/>
              </w:rPr>
              <w:t>Slovenija</w:t>
            </w:r>
          </w:p>
          <w:p w14:paraId="2AB56FFF" w14:textId="77777777" w:rsidR="005175C2" w:rsidRPr="00C03451" w:rsidRDefault="005175C2" w:rsidP="005175C2">
            <w:pPr>
              <w:rPr>
                <w:lang w:val="it-IT"/>
              </w:rPr>
            </w:pPr>
            <w:r w:rsidRPr="00C03451">
              <w:rPr>
                <w:lang w:val="it-IT"/>
              </w:rPr>
              <w:t>ViiV Healthcare BV</w:t>
            </w:r>
          </w:p>
          <w:p w14:paraId="0D9645F5" w14:textId="77777777" w:rsidR="005175C2" w:rsidRPr="00C03451" w:rsidRDefault="005175C2" w:rsidP="005175C2">
            <w:pPr>
              <w:widowControl w:val="0"/>
              <w:autoSpaceDE w:val="0"/>
              <w:autoSpaceDN w:val="0"/>
              <w:adjustRightInd w:val="0"/>
              <w:spacing w:line="240" w:lineRule="atLeast"/>
              <w:rPr>
                <w:szCs w:val="22"/>
                <w:lang w:val="it-IT"/>
              </w:rPr>
            </w:pPr>
            <w:r w:rsidRPr="00C03451">
              <w:rPr>
                <w:szCs w:val="22"/>
                <w:lang w:val="it-IT"/>
              </w:rPr>
              <w:t>Tel: + 40</w:t>
            </w:r>
            <w:r w:rsidRPr="00C03451">
              <w:rPr>
                <w:color w:val="000000"/>
                <w:lang w:val="it-IT"/>
              </w:rPr>
              <w:t>800672524</w:t>
            </w:r>
          </w:p>
          <w:p w14:paraId="22D623EB" w14:textId="77777777" w:rsidR="00E51CE1" w:rsidRPr="00C03451" w:rsidRDefault="00E51CE1" w:rsidP="00F44AC2">
            <w:pPr>
              <w:widowControl w:val="0"/>
              <w:rPr>
                <w:szCs w:val="22"/>
                <w:lang w:val="it-IT"/>
              </w:rPr>
            </w:pPr>
          </w:p>
        </w:tc>
      </w:tr>
      <w:tr w:rsidR="00E51CE1" w:rsidRPr="00466F97" w14:paraId="4E3884E4" w14:textId="77777777" w:rsidTr="00F44AC2">
        <w:trPr>
          <w:cantSplit/>
        </w:trPr>
        <w:tc>
          <w:tcPr>
            <w:tcW w:w="4678" w:type="dxa"/>
          </w:tcPr>
          <w:p w14:paraId="28C8224E" w14:textId="77777777" w:rsidR="00E51CE1" w:rsidRPr="00466F97" w:rsidRDefault="00E51CE1" w:rsidP="00F44AC2">
            <w:pPr>
              <w:widowControl w:val="0"/>
              <w:spacing w:line="240" w:lineRule="atLeast"/>
              <w:rPr>
                <w:snapToGrid w:val="0"/>
                <w:szCs w:val="22"/>
                <w:lang w:val="it-IT"/>
              </w:rPr>
            </w:pPr>
            <w:r w:rsidRPr="00466F97">
              <w:rPr>
                <w:b/>
                <w:szCs w:val="22"/>
                <w:lang w:val="it-IT"/>
              </w:rPr>
              <w:t>Ísland</w:t>
            </w:r>
          </w:p>
          <w:p w14:paraId="20D8D8B7" w14:textId="77777777" w:rsidR="008248DD" w:rsidRPr="00466F97" w:rsidRDefault="008248DD" w:rsidP="008248DD">
            <w:pPr>
              <w:pStyle w:val="Default"/>
              <w:rPr>
                <w:rFonts w:ascii="Times New Roman" w:hAnsi="Times New Roman" w:cs="Times New Roman"/>
                <w:iCs/>
                <w:sz w:val="22"/>
                <w:szCs w:val="22"/>
                <w:lang w:val="it-IT"/>
              </w:rPr>
            </w:pPr>
            <w:r w:rsidRPr="00466F97">
              <w:rPr>
                <w:rFonts w:ascii="Times New Roman" w:hAnsi="Times New Roman" w:cs="Times New Roman"/>
                <w:iCs/>
                <w:sz w:val="22"/>
                <w:szCs w:val="22"/>
                <w:lang w:val="it-IT"/>
              </w:rPr>
              <w:t xml:space="preserve">Vistor hf. </w:t>
            </w:r>
          </w:p>
          <w:p w14:paraId="39FE97CF" w14:textId="77777777" w:rsidR="00E51CE1" w:rsidRPr="00466F97" w:rsidRDefault="008248DD" w:rsidP="00F44AC2">
            <w:pPr>
              <w:widowControl w:val="0"/>
              <w:rPr>
                <w:b/>
                <w:szCs w:val="22"/>
                <w:lang w:val="it-IT"/>
              </w:rPr>
            </w:pPr>
            <w:r w:rsidRPr="00466F97">
              <w:rPr>
                <w:iCs/>
                <w:color w:val="000000"/>
                <w:lang w:val="it-IT"/>
              </w:rPr>
              <w:t>Sími: +354 535 7000</w:t>
            </w:r>
          </w:p>
        </w:tc>
        <w:tc>
          <w:tcPr>
            <w:tcW w:w="3969" w:type="dxa"/>
          </w:tcPr>
          <w:p w14:paraId="7712A3EE" w14:textId="77777777" w:rsidR="00E51CE1" w:rsidRPr="00466F97" w:rsidRDefault="00E51CE1" w:rsidP="00F44AC2">
            <w:pPr>
              <w:widowControl w:val="0"/>
              <w:rPr>
                <w:b/>
                <w:szCs w:val="22"/>
                <w:lang w:val="it-IT"/>
              </w:rPr>
            </w:pPr>
            <w:r w:rsidRPr="00466F97">
              <w:rPr>
                <w:b/>
                <w:szCs w:val="22"/>
                <w:lang w:val="it-IT"/>
              </w:rPr>
              <w:t>Slovenská republika</w:t>
            </w:r>
          </w:p>
          <w:p w14:paraId="2127E975" w14:textId="77777777" w:rsidR="005175C2" w:rsidRPr="00466F97" w:rsidRDefault="005175C2" w:rsidP="005175C2">
            <w:pPr>
              <w:widowControl w:val="0"/>
              <w:rPr>
                <w:snapToGrid w:val="0"/>
                <w:szCs w:val="22"/>
                <w:lang w:val="it-IT"/>
              </w:rPr>
            </w:pPr>
            <w:r w:rsidRPr="00466F97">
              <w:rPr>
                <w:lang w:val="it-IT"/>
              </w:rPr>
              <w:t>ViiV Healthcare BV</w:t>
            </w:r>
            <w:r w:rsidRPr="00466F97">
              <w:rPr>
                <w:snapToGrid w:val="0"/>
                <w:szCs w:val="22"/>
                <w:lang w:val="it-IT"/>
              </w:rPr>
              <w:t xml:space="preserve"> </w:t>
            </w:r>
          </w:p>
          <w:p w14:paraId="1333FB0F" w14:textId="77777777" w:rsidR="005175C2" w:rsidRPr="00466F97" w:rsidRDefault="005175C2" w:rsidP="005175C2">
            <w:pPr>
              <w:widowControl w:val="0"/>
              <w:spacing w:line="240" w:lineRule="atLeast"/>
              <w:rPr>
                <w:snapToGrid w:val="0"/>
                <w:szCs w:val="22"/>
                <w:lang w:val="it-IT"/>
              </w:rPr>
            </w:pPr>
            <w:r w:rsidRPr="00466F97">
              <w:rPr>
                <w:snapToGrid w:val="0"/>
                <w:szCs w:val="22"/>
                <w:lang w:val="it-IT"/>
              </w:rPr>
              <w:t xml:space="preserve">Tel: + 421 </w:t>
            </w:r>
            <w:r w:rsidRPr="00466F97">
              <w:rPr>
                <w:color w:val="000000"/>
                <w:lang w:val="it-IT"/>
              </w:rPr>
              <w:t>800500589</w:t>
            </w:r>
          </w:p>
          <w:p w14:paraId="54B8BD06" w14:textId="77777777" w:rsidR="00E51CE1" w:rsidRPr="00466F97" w:rsidRDefault="00E51CE1" w:rsidP="00F44AC2">
            <w:pPr>
              <w:widowControl w:val="0"/>
              <w:spacing w:line="240" w:lineRule="atLeast"/>
              <w:rPr>
                <w:szCs w:val="22"/>
                <w:lang w:val="it-IT"/>
              </w:rPr>
            </w:pPr>
          </w:p>
        </w:tc>
      </w:tr>
      <w:tr w:rsidR="00E51CE1" w:rsidRPr="00C9575C" w14:paraId="63F95560" w14:textId="77777777" w:rsidTr="00F44AC2">
        <w:trPr>
          <w:cantSplit/>
        </w:trPr>
        <w:tc>
          <w:tcPr>
            <w:tcW w:w="4678" w:type="dxa"/>
          </w:tcPr>
          <w:p w14:paraId="694F0660" w14:textId="77777777" w:rsidR="00E51CE1" w:rsidRPr="00C9575C" w:rsidRDefault="00E51CE1" w:rsidP="00F44AC2">
            <w:pPr>
              <w:widowControl w:val="0"/>
              <w:rPr>
                <w:b/>
                <w:snapToGrid w:val="0"/>
                <w:szCs w:val="22"/>
                <w:lang w:val="it-IT"/>
              </w:rPr>
            </w:pPr>
            <w:r w:rsidRPr="00C9575C">
              <w:rPr>
                <w:b/>
                <w:snapToGrid w:val="0"/>
                <w:szCs w:val="22"/>
                <w:lang w:val="it-IT"/>
              </w:rPr>
              <w:t>Italia</w:t>
            </w:r>
          </w:p>
          <w:p w14:paraId="17B49221" w14:textId="77777777" w:rsidR="00E51CE1" w:rsidRPr="00C9575C" w:rsidRDefault="00E51CE1" w:rsidP="00F44AC2">
            <w:pPr>
              <w:widowControl w:val="0"/>
              <w:rPr>
                <w:snapToGrid w:val="0"/>
                <w:szCs w:val="22"/>
                <w:lang w:val="it-IT"/>
              </w:rPr>
            </w:pPr>
            <w:r w:rsidRPr="00C9575C">
              <w:rPr>
                <w:color w:val="000000"/>
                <w:lang w:val="it-IT"/>
              </w:rPr>
              <w:t>ViiV Healthcare S.r.l</w:t>
            </w:r>
            <w:r w:rsidRPr="00C9575C" w:rsidDel="003B4922">
              <w:rPr>
                <w:snapToGrid w:val="0"/>
                <w:szCs w:val="22"/>
                <w:lang w:val="it-IT"/>
              </w:rPr>
              <w:t xml:space="preserve"> </w:t>
            </w:r>
          </w:p>
          <w:p w14:paraId="0556BC21" w14:textId="394158B3" w:rsidR="00E51CE1" w:rsidRPr="00C03451" w:rsidRDefault="00E51CE1" w:rsidP="00F44AC2">
            <w:pPr>
              <w:widowControl w:val="0"/>
              <w:rPr>
                <w:szCs w:val="22"/>
                <w:lang w:val="it-IT"/>
              </w:rPr>
            </w:pPr>
            <w:r w:rsidRPr="00C03451">
              <w:rPr>
                <w:snapToGrid w:val="0"/>
                <w:szCs w:val="22"/>
                <w:lang w:val="it-IT"/>
              </w:rPr>
              <w:t xml:space="preserve">Tel: + 39 (0)45 </w:t>
            </w:r>
            <w:r w:rsidR="003356ED">
              <w:rPr>
                <w:snapToGrid w:val="0"/>
                <w:lang w:val="en-US"/>
              </w:rPr>
              <w:t>7741600</w:t>
            </w:r>
          </w:p>
        </w:tc>
        <w:tc>
          <w:tcPr>
            <w:tcW w:w="3969" w:type="dxa"/>
          </w:tcPr>
          <w:p w14:paraId="6B7C040B" w14:textId="77777777" w:rsidR="00E51CE1" w:rsidRPr="00C03451" w:rsidRDefault="00E51CE1" w:rsidP="00F44AC2">
            <w:pPr>
              <w:widowControl w:val="0"/>
              <w:rPr>
                <w:b/>
                <w:szCs w:val="22"/>
                <w:lang w:val="it-IT"/>
              </w:rPr>
            </w:pPr>
            <w:r w:rsidRPr="00C03451">
              <w:rPr>
                <w:b/>
                <w:szCs w:val="22"/>
                <w:lang w:val="it-IT"/>
              </w:rPr>
              <w:t>Suomi/Finland</w:t>
            </w:r>
          </w:p>
          <w:p w14:paraId="0FB413D5" w14:textId="77777777" w:rsidR="00E51CE1" w:rsidRPr="00C03451" w:rsidRDefault="00E51CE1" w:rsidP="00F44AC2">
            <w:pPr>
              <w:widowControl w:val="0"/>
              <w:rPr>
                <w:snapToGrid w:val="0"/>
                <w:szCs w:val="22"/>
                <w:lang w:val="it-IT"/>
              </w:rPr>
            </w:pPr>
            <w:r w:rsidRPr="00C03451">
              <w:rPr>
                <w:snapToGrid w:val="0"/>
                <w:szCs w:val="22"/>
                <w:lang w:val="it-IT"/>
              </w:rPr>
              <w:t>GlaxoSmithKline Oy</w:t>
            </w:r>
          </w:p>
          <w:p w14:paraId="0A699358" w14:textId="77777777" w:rsidR="00E51CE1" w:rsidRPr="00C03451" w:rsidRDefault="00E51CE1" w:rsidP="00F44AC2">
            <w:pPr>
              <w:widowControl w:val="0"/>
              <w:rPr>
                <w:snapToGrid w:val="0"/>
                <w:szCs w:val="22"/>
                <w:lang w:val="it-IT"/>
              </w:rPr>
            </w:pPr>
            <w:r w:rsidRPr="00C03451">
              <w:rPr>
                <w:snapToGrid w:val="0"/>
                <w:szCs w:val="22"/>
                <w:lang w:val="it-IT"/>
              </w:rPr>
              <w:t>Puh/Tel: + 358 (0)10 30 30 30</w:t>
            </w:r>
          </w:p>
          <w:p w14:paraId="1968C925" w14:textId="77777777" w:rsidR="009321FB" w:rsidRPr="00C03451" w:rsidRDefault="009321FB">
            <w:pPr>
              <w:widowControl w:val="0"/>
              <w:rPr>
                <w:szCs w:val="22"/>
                <w:lang w:val="it-IT"/>
              </w:rPr>
            </w:pPr>
          </w:p>
        </w:tc>
      </w:tr>
      <w:tr w:rsidR="00E51CE1" w:rsidRPr="00C9575C" w14:paraId="32564669" w14:textId="77777777" w:rsidTr="00F44AC2">
        <w:trPr>
          <w:cantSplit/>
        </w:trPr>
        <w:tc>
          <w:tcPr>
            <w:tcW w:w="4678" w:type="dxa"/>
          </w:tcPr>
          <w:p w14:paraId="6F4D21E8" w14:textId="77777777" w:rsidR="00E51CE1" w:rsidRPr="00C03451" w:rsidRDefault="00E51CE1" w:rsidP="00F44AC2">
            <w:pPr>
              <w:rPr>
                <w:b/>
                <w:snapToGrid w:val="0"/>
                <w:lang w:val="it-IT"/>
              </w:rPr>
            </w:pPr>
            <w:r w:rsidRPr="00C03451">
              <w:rPr>
                <w:b/>
                <w:snapToGrid w:val="0"/>
                <w:lang w:val="it-IT"/>
              </w:rPr>
              <w:t>Κύπρος</w:t>
            </w:r>
          </w:p>
          <w:p w14:paraId="7D1ABFE8" w14:textId="77777777" w:rsidR="005175C2" w:rsidRPr="00C03451" w:rsidRDefault="005175C2" w:rsidP="005175C2">
            <w:pPr>
              <w:spacing w:line="240" w:lineRule="atLeast"/>
              <w:rPr>
                <w:snapToGrid w:val="0"/>
                <w:color w:val="000000"/>
                <w:lang w:val="it-IT"/>
              </w:rPr>
            </w:pPr>
            <w:r w:rsidRPr="00C03451">
              <w:rPr>
                <w:lang w:val="it-IT"/>
              </w:rPr>
              <w:t>ViiV Healthcare BV</w:t>
            </w:r>
            <w:r w:rsidRPr="00C03451" w:rsidDel="00362ABE">
              <w:rPr>
                <w:snapToGrid w:val="0"/>
                <w:color w:val="000000"/>
                <w:lang w:val="it-IT"/>
              </w:rPr>
              <w:t xml:space="preserve"> </w:t>
            </w:r>
          </w:p>
          <w:p w14:paraId="06412697" w14:textId="77777777" w:rsidR="005175C2" w:rsidRPr="00C03451" w:rsidRDefault="005175C2" w:rsidP="005175C2">
            <w:pPr>
              <w:rPr>
                <w:snapToGrid w:val="0"/>
                <w:color w:val="000000"/>
                <w:lang w:val="it-IT"/>
              </w:rPr>
            </w:pPr>
            <w:r w:rsidRPr="00C03451">
              <w:rPr>
                <w:lang w:val="it-IT"/>
              </w:rPr>
              <w:t xml:space="preserve">Τηλ: </w:t>
            </w:r>
            <w:r w:rsidRPr="00C03451">
              <w:rPr>
                <w:snapToGrid w:val="0"/>
                <w:color w:val="000000"/>
                <w:lang w:val="it-IT"/>
              </w:rPr>
              <w:t xml:space="preserve">+ 357 </w:t>
            </w:r>
            <w:r w:rsidRPr="00C03451">
              <w:rPr>
                <w:color w:val="000000"/>
                <w:lang w:val="it-IT"/>
              </w:rPr>
              <w:t>80070017</w:t>
            </w:r>
          </w:p>
          <w:p w14:paraId="7E32887A" w14:textId="629B9E58" w:rsidR="00E51CE1" w:rsidRPr="00C03451" w:rsidRDefault="00E51CE1" w:rsidP="00F44AC2">
            <w:pPr>
              <w:widowControl w:val="0"/>
              <w:rPr>
                <w:szCs w:val="22"/>
                <w:lang w:val="it-IT"/>
              </w:rPr>
            </w:pPr>
          </w:p>
        </w:tc>
        <w:tc>
          <w:tcPr>
            <w:tcW w:w="3969" w:type="dxa"/>
          </w:tcPr>
          <w:p w14:paraId="73AAA6B4" w14:textId="77777777" w:rsidR="00E51CE1" w:rsidRPr="00C03451" w:rsidRDefault="00E51CE1" w:rsidP="00F44AC2">
            <w:pPr>
              <w:widowControl w:val="0"/>
              <w:rPr>
                <w:b/>
                <w:szCs w:val="22"/>
                <w:lang w:val="it-IT"/>
              </w:rPr>
            </w:pPr>
            <w:r w:rsidRPr="00C03451">
              <w:rPr>
                <w:b/>
                <w:szCs w:val="22"/>
                <w:lang w:val="it-IT"/>
              </w:rPr>
              <w:t>Sverige</w:t>
            </w:r>
          </w:p>
          <w:p w14:paraId="74CA474A" w14:textId="77777777" w:rsidR="00E51CE1" w:rsidRPr="00C03451" w:rsidRDefault="00E51CE1" w:rsidP="00F44AC2">
            <w:pPr>
              <w:widowControl w:val="0"/>
              <w:rPr>
                <w:szCs w:val="22"/>
                <w:lang w:val="it-IT"/>
              </w:rPr>
            </w:pPr>
            <w:r w:rsidRPr="00C03451">
              <w:rPr>
                <w:snapToGrid w:val="0"/>
                <w:szCs w:val="22"/>
                <w:lang w:val="it-IT"/>
              </w:rPr>
              <w:t>GlaxoSmithKline AB</w:t>
            </w:r>
          </w:p>
          <w:p w14:paraId="0F1DE47C" w14:textId="77777777" w:rsidR="00E51CE1" w:rsidRPr="00C03451" w:rsidRDefault="00E51CE1" w:rsidP="00F44AC2">
            <w:pPr>
              <w:widowControl w:val="0"/>
              <w:rPr>
                <w:szCs w:val="22"/>
                <w:lang w:val="it-IT"/>
              </w:rPr>
            </w:pPr>
            <w:r w:rsidRPr="00C03451">
              <w:rPr>
                <w:szCs w:val="22"/>
                <w:lang w:val="it-IT"/>
              </w:rPr>
              <w:t>Tel: + 46 (0)8 638 93 00</w:t>
            </w:r>
          </w:p>
          <w:p w14:paraId="27BF3359" w14:textId="639FED11" w:rsidR="00BF74CF" w:rsidRDefault="00BF74CF" w:rsidP="00F44AC2">
            <w:pPr>
              <w:widowControl w:val="0"/>
            </w:pPr>
            <w:r w:rsidRPr="00AE4800">
              <w:t>info.produkt@gsk.com</w:t>
            </w:r>
          </w:p>
          <w:p w14:paraId="296F6A85" w14:textId="77777777" w:rsidR="00E51CE1" w:rsidRPr="00C03451" w:rsidRDefault="00E51CE1" w:rsidP="00F44AC2">
            <w:pPr>
              <w:widowControl w:val="0"/>
              <w:rPr>
                <w:b/>
                <w:szCs w:val="22"/>
                <w:lang w:val="it-IT"/>
              </w:rPr>
            </w:pPr>
          </w:p>
        </w:tc>
      </w:tr>
      <w:tr w:rsidR="00E51CE1" w:rsidRPr="00C9575C" w14:paraId="525A3596" w14:textId="77777777" w:rsidTr="00F44AC2">
        <w:trPr>
          <w:cantSplit/>
        </w:trPr>
        <w:tc>
          <w:tcPr>
            <w:tcW w:w="4678" w:type="dxa"/>
          </w:tcPr>
          <w:p w14:paraId="32D7F8AC" w14:textId="77777777" w:rsidR="00E51CE1" w:rsidRPr="00C9575C" w:rsidRDefault="00E51CE1" w:rsidP="00F44AC2">
            <w:pPr>
              <w:widowControl w:val="0"/>
              <w:rPr>
                <w:b/>
                <w:snapToGrid w:val="0"/>
                <w:szCs w:val="22"/>
                <w:lang w:val="it-IT"/>
              </w:rPr>
            </w:pPr>
            <w:r w:rsidRPr="00C9575C">
              <w:rPr>
                <w:b/>
                <w:snapToGrid w:val="0"/>
                <w:szCs w:val="22"/>
                <w:lang w:val="it-IT"/>
              </w:rPr>
              <w:t>Latvija</w:t>
            </w:r>
          </w:p>
          <w:p w14:paraId="226B9FC0" w14:textId="77777777" w:rsidR="005712AF" w:rsidRPr="00C03451" w:rsidRDefault="005712AF" w:rsidP="005712AF">
            <w:pPr>
              <w:rPr>
                <w:lang w:val="it-IT"/>
              </w:rPr>
            </w:pPr>
            <w:r w:rsidRPr="00C03451">
              <w:rPr>
                <w:lang w:val="it-IT"/>
              </w:rPr>
              <w:t>ViiV Healthcare BV</w:t>
            </w:r>
          </w:p>
          <w:p w14:paraId="15DC443F" w14:textId="77777777" w:rsidR="005712AF" w:rsidRPr="00C03451" w:rsidRDefault="005712AF" w:rsidP="005712AF">
            <w:pPr>
              <w:widowControl w:val="0"/>
              <w:rPr>
                <w:snapToGrid w:val="0"/>
                <w:szCs w:val="22"/>
                <w:lang w:val="it-IT"/>
              </w:rPr>
            </w:pPr>
            <w:r w:rsidRPr="00C03451">
              <w:rPr>
                <w:snapToGrid w:val="0"/>
                <w:szCs w:val="22"/>
                <w:lang w:val="it-IT"/>
              </w:rPr>
              <w:t xml:space="preserve">Tel: + 371 </w:t>
            </w:r>
            <w:r w:rsidRPr="00C03451">
              <w:rPr>
                <w:color w:val="000000"/>
                <w:lang w:val="it-IT"/>
              </w:rPr>
              <w:t>80205045</w:t>
            </w:r>
          </w:p>
          <w:p w14:paraId="3E32E0E8" w14:textId="77777777" w:rsidR="005712AF" w:rsidRPr="00C03451" w:rsidRDefault="005712AF" w:rsidP="005712AF">
            <w:pPr>
              <w:widowControl w:val="0"/>
              <w:rPr>
                <w:snapToGrid w:val="0"/>
                <w:color w:val="000000"/>
                <w:szCs w:val="22"/>
                <w:lang w:val="it-IT"/>
              </w:rPr>
            </w:pPr>
          </w:p>
          <w:p w14:paraId="42A445B0" w14:textId="77777777" w:rsidR="00E51CE1" w:rsidRPr="00C03451" w:rsidRDefault="00E51CE1" w:rsidP="00F44AC2">
            <w:pPr>
              <w:widowControl w:val="0"/>
              <w:rPr>
                <w:szCs w:val="22"/>
                <w:lang w:val="it-IT"/>
              </w:rPr>
            </w:pPr>
          </w:p>
        </w:tc>
        <w:tc>
          <w:tcPr>
            <w:tcW w:w="3969" w:type="dxa"/>
          </w:tcPr>
          <w:p w14:paraId="33125A83" w14:textId="04835BE5" w:rsidR="005712AF" w:rsidRPr="00C03451" w:rsidDel="00B51C0F" w:rsidRDefault="00E51CE1" w:rsidP="005712AF">
            <w:pPr>
              <w:widowControl w:val="0"/>
              <w:rPr>
                <w:del w:id="34" w:author="Author"/>
                <w:b/>
                <w:szCs w:val="22"/>
                <w:lang w:val="it-IT"/>
              </w:rPr>
            </w:pPr>
            <w:del w:id="35" w:author="Author">
              <w:r w:rsidRPr="00C03451" w:rsidDel="00B51C0F">
                <w:rPr>
                  <w:b/>
                  <w:szCs w:val="22"/>
                  <w:lang w:val="it-IT"/>
                </w:rPr>
                <w:delText>United Kingdom</w:delText>
              </w:r>
              <w:r w:rsidR="005712AF" w:rsidRPr="00C03451" w:rsidDel="00B51C0F">
                <w:rPr>
                  <w:b/>
                  <w:szCs w:val="22"/>
                  <w:lang w:val="it-IT"/>
                </w:rPr>
                <w:delText xml:space="preserve"> (Northern Ireland)</w:delText>
              </w:r>
            </w:del>
          </w:p>
          <w:p w14:paraId="13A20B2A" w14:textId="758741D1" w:rsidR="00E51CE1" w:rsidRPr="00C03451" w:rsidDel="00B51C0F" w:rsidRDefault="00E51CE1" w:rsidP="00F44AC2">
            <w:pPr>
              <w:widowControl w:val="0"/>
              <w:rPr>
                <w:del w:id="36" w:author="Author"/>
                <w:snapToGrid w:val="0"/>
                <w:szCs w:val="22"/>
                <w:lang w:val="it-IT"/>
              </w:rPr>
            </w:pPr>
            <w:del w:id="37" w:author="Author">
              <w:r w:rsidRPr="00C03451" w:rsidDel="00B51C0F">
                <w:rPr>
                  <w:lang w:val="it-IT"/>
                </w:rPr>
                <w:delText>ViiV Healthcare</w:delText>
              </w:r>
              <w:r w:rsidR="005712AF" w:rsidRPr="00C03451" w:rsidDel="00B51C0F">
                <w:rPr>
                  <w:lang w:val="it-IT"/>
                </w:rPr>
                <w:delText xml:space="preserve"> BV</w:delText>
              </w:r>
            </w:del>
          </w:p>
          <w:p w14:paraId="4A92F411" w14:textId="2D059380" w:rsidR="00E51CE1" w:rsidRPr="00C03451" w:rsidDel="00B51C0F" w:rsidRDefault="00E51CE1" w:rsidP="00F44AC2">
            <w:pPr>
              <w:widowControl w:val="0"/>
              <w:rPr>
                <w:del w:id="38" w:author="Author"/>
                <w:snapToGrid w:val="0"/>
                <w:szCs w:val="22"/>
                <w:lang w:val="it-IT"/>
              </w:rPr>
            </w:pPr>
            <w:del w:id="39" w:author="Author">
              <w:r w:rsidRPr="00C03451" w:rsidDel="00B51C0F">
                <w:rPr>
                  <w:snapToGrid w:val="0"/>
                  <w:szCs w:val="22"/>
                  <w:lang w:val="it-IT"/>
                </w:rPr>
                <w:delText>Tel: + 44 (0)800 221441</w:delText>
              </w:r>
            </w:del>
          </w:p>
          <w:p w14:paraId="558F0CFD" w14:textId="5A80D207" w:rsidR="00BF74CF" w:rsidDel="00B51C0F" w:rsidRDefault="00BF74CF" w:rsidP="00F44AC2">
            <w:pPr>
              <w:widowControl w:val="0"/>
              <w:rPr>
                <w:del w:id="40" w:author="Author"/>
              </w:rPr>
            </w:pPr>
            <w:del w:id="41" w:author="Author">
              <w:r w:rsidRPr="00AE4800" w:rsidDel="00B51C0F">
                <w:delText>customercontactuk@gsk.com</w:delText>
              </w:r>
            </w:del>
          </w:p>
          <w:p w14:paraId="02AA17A8" w14:textId="148F391F" w:rsidR="00E51CE1" w:rsidRPr="00C03451" w:rsidRDefault="00E51CE1" w:rsidP="00F44AC2">
            <w:pPr>
              <w:widowControl w:val="0"/>
              <w:rPr>
                <w:szCs w:val="22"/>
                <w:lang w:val="it-IT"/>
              </w:rPr>
            </w:pPr>
            <w:del w:id="42" w:author="Author" w:date="2025-10-17T03:32:00Z" w16du:dateUtc="2025-10-17T01:32:00Z">
              <w:r w:rsidRPr="00C03451" w:rsidDel="004E6007">
                <w:rPr>
                  <w:szCs w:val="22"/>
                  <w:lang w:val="it-IT"/>
                </w:rPr>
                <w:delText xml:space="preserve">  </w:delText>
              </w:r>
            </w:del>
          </w:p>
        </w:tc>
      </w:tr>
    </w:tbl>
    <w:p w14:paraId="69C6A61E" w14:textId="77777777" w:rsidR="004D7BF4" w:rsidRPr="00C9575C" w:rsidRDefault="004D7BF4" w:rsidP="004D7BF4">
      <w:pPr>
        <w:widowControl w:val="0"/>
        <w:ind w:right="-2"/>
        <w:rPr>
          <w:color w:val="000000"/>
          <w:szCs w:val="22"/>
          <w:lang w:val="it-IT" w:eastAsia="en-US"/>
        </w:rPr>
      </w:pPr>
    </w:p>
    <w:p w14:paraId="04DFA997" w14:textId="6F185C87" w:rsidR="00925C43" w:rsidRPr="00C9575C" w:rsidRDefault="00925C43" w:rsidP="00925C43">
      <w:pPr>
        <w:numPr>
          <w:ilvl w:val="12"/>
          <w:numId w:val="0"/>
        </w:numPr>
        <w:ind w:right="-2"/>
        <w:outlineLvl w:val="0"/>
        <w:rPr>
          <w:b/>
          <w:lang w:val="it-IT"/>
        </w:rPr>
      </w:pPr>
      <w:r w:rsidRPr="00C9575C">
        <w:rPr>
          <w:b/>
          <w:lang w:val="it-IT"/>
        </w:rPr>
        <w:t xml:space="preserve">Questo foglio illustrativo è stato </w:t>
      </w:r>
      <w:r w:rsidRPr="00C03451">
        <w:rPr>
          <w:b/>
          <w:szCs w:val="24"/>
          <w:lang w:val="it-IT"/>
        </w:rPr>
        <w:t>aggiornato</w:t>
      </w:r>
      <w:r w:rsidRPr="00C9575C">
        <w:rPr>
          <w:b/>
          <w:lang w:val="it-IT"/>
        </w:rPr>
        <w:t xml:space="preserve"> il</w:t>
      </w:r>
      <w:r w:rsidR="00E51CE1" w:rsidRPr="00C9575C">
        <w:rPr>
          <w:b/>
          <w:lang w:val="it-IT"/>
        </w:rPr>
        <w:t>:</w:t>
      </w:r>
      <w:r w:rsidR="0092155C">
        <w:rPr>
          <w:b/>
          <w:lang w:val="it-IT"/>
        </w:rPr>
        <w:fldChar w:fldCharType="begin"/>
      </w:r>
      <w:r w:rsidR="0092155C">
        <w:rPr>
          <w:b/>
          <w:lang w:val="it-IT"/>
        </w:rPr>
        <w:instrText xml:space="preserve"> DOCVARIABLE vault_nd_94f209a5-27d9-4ac6-984e-02cec318d7d7 \* MERGEFORMAT </w:instrText>
      </w:r>
      <w:r w:rsidR="0092155C">
        <w:rPr>
          <w:b/>
          <w:lang w:val="it-IT"/>
        </w:rPr>
        <w:fldChar w:fldCharType="separate"/>
      </w:r>
      <w:r w:rsidR="0092155C">
        <w:rPr>
          <w:b/>
          <w:lang w:val="it-IT"/>
        </w:rPr>
        <w:t xml:space="preserve"> </w:t>
      </w:r>
      <w:r w:rsidR="0092155C">
        <w:rPr>
          <w:b/>
          <w:lang w:val="it-IT"/>
        </w:rPr>
        <w:fldChar w:fldCharType="end"/>
      </w:r>
    </w:p>
    <w:p w14:paraId="1379AD6C" w14:textId="77777777" w:rsidR="00561813" w:rsidRPr="00C9575C" w:rsidRDefault="00561813" w:rsidP="00561813">
      <w:pPr>
        <w:widowControl w:val="0"/>
        <w:numPr>
          <w:ilvl w:val="12"/>
          <w:numId w:val="0"/>
        </w:numPr>
        <w:ind w:right="-2"/>
        <w:rPr>
          <w:szCs w:val="22"/>
          <w:lang w:val="it-IT"/>
        </w:rPr>
      </w:pPr>
    </w:p>
    <w:p w14:paraId="3DFEB81D" w14:textId="77777777" w:rsidR="00561813" w:rsidRPr="00C9575C" w:rsidRDefault="00561813" w:rsidP="00561813">
      <w:pPr>
        <w:widowControl w:val="0"/>
        <w:numPr>
          <w:ilvl w:val="12"/>
          <w:numId w:val="0"/>
        </w:numPr>
        <w:ind w:right="-2"/>
        <w:rPr>
          <w:color w:val="0000FF"/>
          <w:szCs w:val="22"/>
          <w:lang w:val="it-IT"/>
        </w:rPr>
      </w:pPr>
      <w:r w:rsidRPr="00C9575C">
        <w:rPr>
          <w:szCs w:val="22"/>
          <w:lang w:val="it-IT"/>
        </w:rPr>
        <w:t>Informazioni più dettagliate su questo medicinale sono disponibili sul sito web dell’Agen</w:t>
      </w:r>
      <w:r w:rsidR="004D7BF4" w:rsidRPr="00C9575C">
        <w:rPr>
          <w:szCs w:val="22"/>
          <w:lang w:val="it-IT"/>
        </w:rPr>
        <w:t>zia Europea dei Medicinali</w:t>
      </w:r>
      <w:r w:rsidRPr="00C9575C">
        <w:rPr>
          <w:szCs w:val="22"/>
          <w:lang w:val="it-IT"/>
        </w:rPr>
        <w:t xml:space="preserve">: </w:t>
      </w:r>
      <w:hyperlink r:id="rId17" w:history="1">
        <w:r w:rsidRPr="00C9575C">
          <w:rPr>
            <w:rStyle w:val="Hyperlink"/>
            <w:szCs w:val="22"/>
            <w:lang w:val="it-IT"/>
          </w:rPr>
          <w:t>http://www.ema.europa.eu</w:t>
        </w:r>
      </w:hyperlink>
    </w:p>
    <w:p w14:paraId="6FEA0CFE" w14:textId="452F1C86" w:rsidR="00351453" w:rsidRDefault="00351453" w:rsidP="00561813">
      <w:pPr>
        <w:widowControl w:val="0"/>
        <w:suppressAutoHyphens/>
        <w:jc w:val="center"/>
        <w:rPr>
          <w:color w:val="0000FF"/>
          <w:szCs w:val="22"/>
          <w:lang w:val="it-IT"/>
        </w:rPr>
      </w:pPr>
    </w:p>
    <w:p w14:paraId="3B662708" w14:textId="6F8CDCCF" w:rsidR="002D06B3" w:rsidDel="0022561D" w:rsidRDefault="002D06B3">
      <w:pPr>
        <w:rPr>
          <w:del w:id="43" w:author="Author" w:date="2025-10-16T20:30:00Z" w16du:dateUtc="2025-10-16T18:30:00Z"/>
          <w:color w:val="0000FF"/>
          <w:szCs w:val="22"/>
          <w:lang w:val="it-IT"/>
        </w:rPr>
      </w:pPr>
      <w:del w:id="44" w:author="Author" w:date="2025-10-16T20:30:00Z" w16du:dateUtc="2025-10-16T18:30:00Z">
        <w:r w:rsidDel="0022561D">
          <w:rPr>
            <w:color w:val="0000FF"/>
            <w:szCs w:val="22"/>
            <w:lang w:val="it-IT"/>
          </w:rPr>
          <w:br w:type="page"/>
        </w:r>
      </w:del>
    </w:p>
    <w:p w14:paraId="75F78FEC" w14:textId="1137A09A" w:rsidR="002D06B3" w:rsidDel="00B51C0F" w:rsidRDefault="002D06B3">
      <w:pPr>
        <w:pStyle w:val="No-numheading3Agency"/>
        <w:spacing w:before="0" w:after="0"/>
        <w:rPr>
          <w:del w:id="45" w:author="Author"/>
          <w:rFonts w:ascii="Times New Roman" w:hAnsi="Times New Roman"/>
          <w:lang w:val="it-IT"/>
        </w:rPr>
        <w:pPrChange w:id="46" w:author="Author" w:date="2025-10-16T20:30:00Z" w16du:dateUtc="2025-10-16T18:30:00Z">
          <w:pPr>
            <w:pStyle w:val="No-numheading3Agency"/>
            <w:spacing w:before="0" w:after="0"/>
            <w:jc w:val="center"/>
          </w:pPr>
        </w:pPrChange>
      </w:pPr>
    </w:p>
    <w:p w14:paraId="35594ADE" w14:textId="1E18FD4D" w:rsidR="002D06B3" w:rsidDel="00B51C0F" w:rsidRDefault="002D06B3" w:rsidP="002D06B3">
      <w:pPr>
        <w:pStyle w:val="No-numheading3Agency"/>
        <w:spacing w:before="0" w:after="0"/>
        <w:jc w:val="center"/>
        <w:rPr>
          <w:del w:id="47" w:author="Author"/>
          <w:rFonts w:ascii="Times New Roman" w:hAnsi="Times New Roman"/>
          <w:lang w:val="it-IT"/>
        </w:rPr>
      </w:pPr>
    </w:p>
    <w:p w14:paraId="3D9A037C" w14:textId="3FBA4625" w:rsidR="002D06B3" w:rsidDel="00B51C0F" w:rsidRDefault="002D06B3" w:rsidP="002D06B3">
      <w:pPr>
        <w:pStyle w:val="No-numheading3Agency"/>
        <w:spacing w:before="0" w:after="0"/>
        <w:jc w:val="center"/>
        <w:rPr>
          <w:del w:id="48" w:author="Author"/>
          <w:rFonts w:ascii="Times New Roman" w:hAnsi="Times New Roman"/>
          <w:lang w:val="it-IT"/>
        </w:rPr>
      </w:pPr>
    </w:p>
    <w:p w14:paraId="588487E8" w14:textId="6821C4BE" w:rsidR="002D06B3" w:rsidDel="00B51C0F" w:rsidRDefault="002D06B3" w:rsidP="002D06B3">
      <w:pPr>
        <w:pStyle w:val="No-numheading3Agency"/>
        <w:spacing w:before="0" w:after="0"/>
        <w:jc w:val="center"/>
        <w:rPr>
          <w:del w:id="49" w:author="Author"/>
          <w:rFonts w:ascii="Times New Roman" w:hAnsi="Times New Roman"/>
          <w:lang w:val="it-IT"/>
        </w:rPr>
      </w:pPr>
    </w:p>
    <w:p w14:paraId="6F5EC3A4" w14:textId="72859BEA" w:rsidR="002D06B3" w:rsidDel="00B51C0F" w:rsidRDefault="002D06B3" w:rsidP="002D06B3">
      <w:pPr>
        <w:pStyle w:val="No-numheading3Agency"/>
        <w:spacing w:before="0" w:after="0"/>
        <w:jc w:val="center"/>
        <w:rPr>
          <w:del w:id="50" w:author="Author"/>
          <w:rFonts w:ascii="Times New Roman" w:hAnsi="Times New Roman"/>
          <w:lang w:val="it-IT"/>
        </w:rPr>
      </w:pPr>
    </w:p>
    <w:p w14:paraId="21846E28" w14:textId="0ABB599F" w:rsidR="002D06B3" w:rsidDel="00B51C0F" w:rsidRDefault="002D06B3" w:rsidP="002D06B3">
      <w:pPr>
        <w:pStyle w:val="No-numheading3Agency"/>
        <w:spacing w:before="0" w:after="0"/>
        <w:jc w:val="center"/>
        <w:rPr>
          <w:del w:id="51" w:author="Author"/>
          <w:rFonts w:ascii="Times New Roman" w:hAnsi="Times New Roman"/>
          <w:lang w:val="it-IT"/>
        </w:rPr>
      </w:pPr>
    </w:p>
    <w:p w14:paraId="7082A681" w14:textId="5069D4BE" w:rsidR="002D06B3" w:rsidDel="00B51C0F" w:rsidRDefault="002D06B3" w:rsidP="002D06B3">
      <w:pPr>
        <w:pStyle w:val="No-numheading3Agency"/>
        <w:spacing w:before="0" w:after="0"/>
        <w:jc w:val="center"/>
        <w:rPr>
          <w:del w:id="52" w:author="Author"/>
          <w:rFonts w:ascii="Times New Roman" w:hAnsi="Times New Roman"/>
          <w:lang w:val="it-IT"/>
        </w:rPr>
      </w:pPr>
    </w:p>
    <w:p w14:paraId="5F3AA8FC" w14:textId="07136EC5" w:rsidR="002D06B3" w:rsidDel="00B51C0F" w:rsidRDefault="002D06B3" w:rsidP="002D06B3">
      <w:pPr>
        <w:pStyle w:val="No-numheading3Agency"/>
        <w:spacing w:before="0" w:after="0"/>
        <w:jc w:val="center"/>
        <w:rPr>
          <w:del w:id="53" w:author="Author"/>
          <w:rFonts w:ascii="Times New Roman" w:hAnsi="Times New Roman"/>
          <w:lang w:val="it-IT"/>
        </w:rPr>
      </w:pPr>
    </w:p>
    <w:p w14:paraId="6871AAC7" w14:textId="0F8D24B5" w:rsidR="002D06B3" w:rsidDel="00B51C0F" w:rsidRDefault="002D06B3" w:rsidP="002D06B3">
      <w:pPr>
        <w:pStyle w:val="No-numheading3Agency"/>
        <w:spacing w:before="0" w:after="0"/>
        <w:jc w:val="center"/>
        <w:rPr>
          <w:del w:id="54" w:author="Author"/>
          <w:rFonts w:ascii="Times New Roman" w:hAnsi="Times New Roman"/>
          <w:lang w:val="it-IT"/>
        </w:rPr>
      </w:pPr>
    </w:p>
    <w:p w14:paraId="6BB18F53" w14:textId="34C5DC84" w:rsidR="002D06B3" w:rsidDel="00B51C0F" w:rsidRDefault="002D06B3" w:rsidP="002D06B3">
      <w:pPr>
        <w:pStyle w:val="No-numheading3Agency"/>
        <w:spacing w:before="0" w:after="0"/>
        <w:jc w:val="center"/>
        <w:rPr>
          <w:del w:id="55" w:author="Author"/>
          <w:rFonts w:ascii="Times New Roman" w:hAnsi="Times New Roman"/>
          <w:lang w:val="it-IT"/>
        </w:rPr>
      </w:pPr>
    </w:p>
    <w:p w14:paraId="15D446BC" w14:textId="25A9869A" w:rsidR="002D06B3" w:rsidDel="00B51C0F" w:rsidRDefault="002D06B3" w:rsidP="002D06B3">
      <w:pPr>
        <w:pStyle w:val="No-numheading3Agency"/>
        <w:spacing w:before="0" w:after="0"/>
        <w:jc w:val="center"/>
        <w:rPr>
          <w:del w:id="56" w:author="Author"/>
          <w:rFonts w:ascii="Times New Roman" w:hAnsi="Times New Roman"/>
          <w:lang w:val="it-IT"/>
        </w:rPr>
      </w:pPr>
    </w:p>
    <w:p w14:paraId="0BAA5D36" w14:textId="739D82D5" w:rsidR="002D06B3" w:rsidDel="00B51C0F" w:rsidRDefault="002D06B3" w:rsidP="002D06B3">
      <w:pPr>
        <w:pStyle w:val="No-numheading3Agency"/>
        <w:spacing w:before="0" w:after="0"/>
        <w:jc w:val="center"/>
        <w:rPr>
          <w:del w:id="57" w:author="Author"/>
          <w:rFonts w:ascii="Times New Roman" w:hAnsi="Times New Roman"/>
          <w:lang w:val="it-IT"/>
        </w:rPr>
      </w:pPr>
    </w:p>
    <w:p w14:paraId="21C69BF6" w14:textId="7CB10AC1" w:rsidR="002D06B3" w:rsidDel="00B51C0F" w:rsidRDefault="002D06B3" w:rsidP="002D06B3">
      <w:pPr>
        <w:pStyle w:val="No-numheading3Agency"/>
        <w:spacing w:before="0" w:after="0"/>
        <w:jc w:val="center"/>
        <w:rPr>
          <w:del w:id="58" w:author="Author"/>
          <w:rFonts w:ascii="Times New Roman" w:hAnsi="Times New Roman"/>
          <w:lang w:val="it-IT"/>
        </w:rPr>
      </w:pPr>
    </w:p>
    <w:p w14:paraId="5B5A00CF" w14:textId="2EF6852D" w:rsidR="002D06B3" w:rsidDel="00B51C0F" w:rsidRDefault="002D06B3" w:rsidP="002D06B3">
      <w:pPr>
        <w:pStyle w:val="No-numheading3Agency"/>
        <w:spacing w:before="0" w:after="0"/>
        <w:jc w:val="center"/>
        <w:rPr>
          <w:del w:id="59" w:author="Author"/>
          <w:rFonts w:ascii="Times New Roman" w:hAnsi="Times New Roman"/>
          <w:lang w:val="it-IT"/>
        </w:rPr>
      </w:pPr>
    </w:p>
    <w:p w14:paraId="26DDFA3D" w14:textId="425FDAF3" w:rsidR="002D06B3" w:rsidDel="00B51C0F" w:rsidRDefault="002D06B3" w:rsidP="002D06B3">
      <w:pPr>
        <w:pStyle w:val="No-numheading3Agency"/>
        <w:spacing w:before="0" w:after="0"/>
        <w:jc w:val="center"/>
        <w:rPr>
          <w:del w:id="60" w:author="Author"/>
          <w:rFonts w:ascii="Times New Roman" w:hAnsi="Times New Roman"/>
          <w:lang w:val="it-IT"/>
        </w:rPr>
      </w:pPr>
    </w:p>
    <w:p w14:paraId="2CD5C55C" w14:textId="7DC29E52" w:rsidR="002D06B3" w:rsidDel="00B51C0F" w:rsidRDefault="002D06B3" w:rsidP="002D06B3">
      <w:pPr>
        <w:pStyle w:val="No-numheading3Agency"/>
        <w:spacing w:before="0" w:after="0"/>
        <w:jc w:val="center"/>
        <w:rPr>
          <w:del w:id="61" w:author="Author"/>
          <w:rFonts w:ascii="Times New Roman" w:hAnsi="Times New Roman"/>
          <w:lang w:val="it-IT"/>
        </w:rPr>
      </w:pPr>
      <w:del w:id="62" w:author="Author">
        <w:r w:rsidDel="00B51C0F">
          <w:rPr>
            <w:rFonts w:ascii="Times New Roman" w:hAnsi="Times New Roman"/>
            <w:lang w:val="it-IT"/>
          </w:rPr>
          <w:delText>ALLEGATO IV</w:delText>
        </w:r>
        <w:r w:rsidR="00372EAE" w:rsidDel="00B51C0F">
          <w:rPr>
            <w:lang w:val="it-IT"/>
          </w:rPr>
          <w:fldChar w:fldCharType="begin"/>
        </w:r>
        <w:r w:rsidR="00372EAE" w:rsidDel="00B51C0F">
          <w:rPr>
            <w:rFonts w:ascii="Times New Roman" w:hAnsi="Times New Roman"/>
            <w:lang w:val="it-IT"/>
          </w:rPr>
          <w:delInstrText xml:space="preserve"> DOCVARIABLE VAULT_ND_4f5ff8b5-09a3-45da-9cf7-60653fc13cff \* MERGEFORMAT </w:delInstrText>
        </w:r>
        <w:r w:rsidR="00372EAE" w:rsidDel="00B51C0F">
          <w:rPr>
            <w:lang w:val="it-IT"/>
          </w:rPr>
          <w:fldChar w:fldCharType="separate"/>
        </w:r>
        <w:r w:rsidR="00372EAE" w:rsidDel="00B51C0F">
          <w:rPr>
            <w:rFonts w:ascii="Times New Roman" w:hAnsi="Times New Roman"/>
            <w:lang w:val="it-IT"/>
          </w:rPr>
          <w:delText xml:space="preserve"> </w:delText>
        </w:r>
        <w:r w:rsidR="00372EAE" w:rsidDel="00B51C0F">
          <w:rPr>
            <w:lang w:val="it-IT"/>
          </w:rPr>
          <w:fldChar w:fldCharType="end"/>
        </w:r>
      </w:del>
    </w:p>
    <w:p w14:paraId="2001340A" w14:textId="2E40A0EF" w:rsidR="002D06B3" w:rsidDel="00B51C0F" w:rsidRDefault="002D06B3" w:rsidP="002D06B3">
      <w:pPr>
        <w:pStyle w:val="BodytextAgency"/>
        <w:spacing w:after="0" w:line="240" w:lineRule="auto"/>
        <w:rPr>
          <w:del w:id="63" w:author="Author"/>
          <w:rFonts w:ascii="Times New Roman" w:hAnsi="Times New Roman"/>
          <w:sz w:val="22"/>
          <w:szCs w:val="22"/>
          <w:lang w:val="it-IT"/>
        </w:rPr>
      </w:pPr>
    </w:p>
    <w:p w14:paraId="69362066" w14:textId="0D1CED73" w:rsidR="002D06B3" w:rsidDel="00B51C0F" w:rsidRDefault="002D06B3" w:rsidP="002D06B3">
      <w:pPr>
        <w:pStyle w:val="No-numheading3Agency"/>
        <w:spacing w:before="0" w:after="0"/>
        <w:jc w:val="center"/>
        <w:rPr>
          <w:del w:id="64" w:author="Author"/>
          <w:rFonts w:ascii="Times New Roman" w:hAnsi="Times New Roman"/>
          <w:lang w:val="it-IT"/>
        </w:rPr>
      </w:pPr>
      <w:del w:id="65" w:author="Author">
        <w:r w:rsidDel="00B51C0F">
          <w:rPr>
            <w:rFonts w:ascii="Times New Roman" w:hAnsi="Times New Roman"/>
            <w:lang w:val="it-IT"/>
          </w:rPr>
          <w:delText>CONCLUSIONI SCIENTIFICHE E MOTIVAZIONI PER LA VARIAZIONE DEI TERMINI DELL’AUTORIZZAZIONE ALL’IMMISSIONE IN COMMERCIO</w:delText>
        </w:r>
        <w:r w:rsidR="00372EAE" w:rsidDel="00B51C0F">
          <w:rPr>
            <w:lang w:val="it-IT"/>
          </w:rPr>
          <w:fldChar w:fldCharType="begin"/>
        </w:r>
        <w:r w:rsidR="00372EAE" w:rsidDel="00B51C0F">
          <w:rPr>
            <w:rFonts w:ascii="Times New Roman" w:hAnsi="Times New Roman"/>
            <w:lang w:val="it-IT"/>
          </w:rPr>
          <w:delInstrText xml:space="preserve"> DOCVARIABLE VAULT_ND_21cfe538-93b9-4e04-bce8-3a68089389e7 \* MERGEFORMAT </w:delInstrText>
        </w:r>
        <w:r w:rsidR="00372EAE" w:rsidDel="00B51C0F">
          <w:rPr>
            <w:lang w:val="it-IT"/>
          </w:rPr>
          <w:fldChar w:fldCharType="separate"/>
        </w:r>
        <w:r w:rsidR="00372EAE" w:rsidDel="00B51C0F">
          <w:rPr>
            <w:rFonts w:ascii="Times New Roman" w:hAnsi="Times New Roman"/>
            <w:lang w:val="it-IT"/>
          </w:rPr>
          <w:delText xml:space="preserve"> </w:delText>
        </w:r>
        <w:r w:rsidR="00372EAE" w:rsidDel="00B51C0F">
          <w:rPr>
            <w:lang w:val="it-IT"/>
          </w:rPr>
          <w:fldChar w:fldCharType="end"/>
        </w:r>
      </w:del>
    </w:p>
    <w:p w14:paraId="5C85CECE" w14:textId="5F2F7215" w:rsidR="002D06B3" w:rsidDel="00B51C0F" w:rsidRDefault="002D06B3" w:rsidP="002D06B3">
      <w:pPr>
        <w:tabs>
          <w:tab w:val="left" w:pos="708"/>
        </w:tabs>
        <w:rPr>
          <w:del w:id="66" w:author="Author"/>
          <w:rFonts w:eastAsia="Verdana"/>
          <w:bCs/>
          <w:kern w:val="32"/>
          <w:szCs w:val="22"/>
          <w:lang w:val="it-IT" w:eastAsia="x-none"/>
        </w:rPr>
      </w:pPr>
      <w:del w:id="67" w:author="Author">
        <w:r w:rsidDel="00B51C0F">
          <w:rPr>
            <w:b/>
            <w:lang w:val="it-IT"/>
          </w:rPr>
          <w:br w:type="page"/>
        </w:r>
      </w:del>
    </w:p>
    <w:p w14:paraId="145BA84E" w14:textId="36ADB7BB" w:rsidR="002D06B3" w:rsidDel="00B51C0F" w:rsidRDefault="002D06B3" w:rsidP="002D06B3">
      <w:pPr>
        <w:pStyle w:val="No-numheading3Agency"/>
        <w:spacing w:before="0" w:after="0"/>
        <w:rPr>
          <w:del w:id="68" w:author="Author"/>
          <w:rFonts w:ascii="Times New Roman" w:hAnsi="Times New Roman"/>
          <w:i/>
          <w:lang w:val="it-IT"/>
        </w:rPr>
      </w:pPr>
      <w:del w:id="69" w:author="Author">
        <w:r w:rsidDel="00B51C0F">
          <w:rPr>
            <w:rFonts w:ascii="Times New Roman" w:hAnsi="Times New Roman"/>
            <w:lang w:val="it-IT"/>
          </w:rPr>
          <w:delText>Conclusioni scientifiche</w:delText>
        </w:r>
        <w:r w:rsidR="00372EAE" w:rsidDel="00B51C0F">
          <w:rPr>
            <w:lang w:val="it-IT"/>
          </w:rPr>
          <w:fldChar w:fldCharType="begin"/>
        </w:r>
        <w:r w:rsidR="00372EAE" w:rsidDel="00B51C0F">
          <w:rPr>
            <w:rFonts w:ascii="Times New Roman" w:hAnsi="Times New Roman"/>
            <w:lang w:val="it-IT"/>
          </w:rPr>
          <w:delInstrText xml:space="preserve"> DOCVARIABLE vault_nd_736e3730-8771-40d8-b449-ff616d4375c3 \* MERGEFORMAT </w:delInstrText>
        </w:r>
        <w:r w:rsidR="00372EAE" w:rsidDel="00B51C0F">
          <w:rPr>
            <w:lang w:val="it-IT"/>
          </w:rPr>
          <w:fldChar w:fldCharType="separate"/>
        </w:r>
        <w:r w:rsidR="00372EAE" w:rsidDel="00B51C0F">
          <w:rPr>
            <w:rFonts w:ascii="Times New Roman" w:hAnsi="Times New Roman"/>
            <w:lang w:val="it-IT"/>
          </w:rPr>
          <w:delText xml:space="preserve"> </w:delText>
        </w:r>
        <w:r w:rsidR="00372EAE" w:rsidDel="00B51C0F">
          <w:rPr>
            <w:lang w:val="it-IT"/>
          </w:rPr>
          <w:fldChar w:fldCharType="end"/>
        </w:r>
      </w:del>
    </w:p>
    <w:p w14:paraId="1B54684B" w14:textId="416E62A4" w:rsidR="002D06B3" w:rsidDel="00B51C0F" w:rsidRDefault="002D06B3" w:rsidP="002D06B3">
      <w:pPr>
        <w:pStyle w:val="BodytextAgency"/>
        <w:spacing w:after="0" w:line="240" w:lineRule="auto"/>
        <w:rPr>
          <w:del w:id="70" w:author="Author"/>
          <w:rFonts w:ascii="Times New Roman" w:hAnsi="Times New Roman"/>
          <w:sz w:val="22"/>
          <w:szCs w:val="22"/>
          <w:lang w:val="it-IT"/>
        </w:rPr>
      </w:pPr>
    </w:p>
    <w:p w14:paraId="1031C251" w14:textId="3BCDF661" w:rsidR="002D06B3" w:rsidDel="00B51C0F" w:rsidRDefault="002D06B3" w:rsidP="00C070B1">
      <w:pPr>
        <w:pStyle w:val="BodytextAgency"/>
        <w:rPr>
          <w:del w:id="71" w:author="Author"/>
          <w:rFonts w:ascii="Times New Roman" w:hAnsi="Times New Roman"/>
          <w:sz w:val="22"/>
          <w:szCs w:val="22"/>
          <w:lang w:val="it-IT"/>
        </w:rPr>
      </w:pPr>
      <w:del w:id="72" w:author="Author">
        <w:r w:rsidDel="00B51C0F">
          <w:rPr>
            <w:rFonts w:ascii="Times New Roman" w:hAnsi="Times New Roman"/>
            <w:sz w:val="22"/>
            <w:szCs w:val="22"/>
            <w:lang w:val="it-IT"/>
          </w:rPr>
          <w:delText>Tenendo conto della valutazione del Comitato per la valutazione dei rischi in farmacovigilanza (</w:delText>
        </w:r>
        <w:r w:rsidDel="00B51C0F">
          <w:rPr>
            <w:rFonts w:ascii="Times New Roman" w:hAnsi="Times New Roman"/>
            <w:i/>
            <w:sz w:val="22"/>
            <w:szCs w:val="22"/>
            <w:lang w:val="it-IT"/>
          </w:rPr>
          <w:delText>Pharmacovigilance and Risk Assessment Committee</w:delText>
        </w:r>
        <w:r w:rsidDel="00B51C0F">
          <w:rPr>
            <w:rFonts w:ascii="Times New Roman" w:hAnsi="Times New Roman"/>
            <w:sz w:val="22"/>
            <w:szCs w:val="22"/>
            <w:lang w:val="it-IT"/>
          </w:rPr>
          <w:delText>, PRAC) del Rapporto periodico di aggiornamento sulla sicurezza (</w:delText>
        </w:r>
        <w:r w:rsidRPr="002D06B3" w:rsidDel="00B51C0F">
          <w:rPr>
            <w:rFonts w:ascii="Times New Roman" w:hAnsi="Times New Roman"/>
            <w:i/>
            <w:kern w:val="32"/>
            <w:sz w:val="22"/>
            <w:szCs w:val="22"/>
            <w:lang w:val="it-IT"/>
          </w:rPr>
          <w:delText>Periodic Safety Update Report</w:delText>
        </w:r>
        <w:r w:rsidDel="00B51C0F">
          <w:rPr>
            <w:rFonts w:ascii="Times New Roman" w:hAnsi="Times New Roman"/>
            <w:sz w:val="22"/>
            <w:szCs w:val="22"/>
            <w:lang w:val="it-IT"/>
          </w:rPr>
          <w:delText xml:space="preserve">, PSUR) per </w:delText>
        </w:r>
        <w:r w:rsidRPr="00BB7A2E" w:rsidDel="00B51C0F">
          <w:rPr>
            <w:rFonts w:ascii="Times New Roman" w:hAnsi="Times New Roman"/>
            <w:color w:val="000000"/>
            <w:sz w:val="22"/>
            <w:szCs w:val="22"/>
          </w:rPr>
          <w:delText>abacavir / lamivudin</w:delText>
        </w:r>
        <w:r w:rsidDel="00B51C0F">
          <w:rPr>
            <w:rFonts w:ascii="Times New Roman" w:hAnsi="Times New Roman"/>
            <w:color w:val="000000"/>
            <w:sz w:val="22"/>
            <w:szCs w:val="22"/>
          </w:rPr>
          <w:delText>a</w:delText>
        </w:r>
        <w:r w:rsidRPr="00BB7A2E" w:rsidDel="00B51C0F">
          <w:rPr>
            <w:rFonts w:ascii="Times New Roman" w:hAnsi="Times New Roman"/>
            <w:color w:val="000000"/>
            <w:sz w:val="22"/>
            <w:szCs w:val="22"/>
          </w:rPr>
          <w:delText xml:space="preserve">, </w:delText>
        </w:r>
        <w:r w:rsidDel="00B51C0F">
          <w:rPr>
            <w:rFonts w:ascii="Times New Roman" w:hAnsi="Times New Roman"/>
            <w:sz w:val="22"/>
            <w:szCs w:val="22"/>
            <w:lang w:val="it-IT"/>
          </w:rPr>
          <w:delText>le conclusioni scientifiche del PRAC sono le seguenti:</w:delText>
        </w:r>
      </w:del>
    </w:p>
    <w:p w14:paraId="6E728723" w14:textId="57535CC2" w:rsidR="002D06B3" w:rsidRPr="002D06B3" w:rsidDel="00B51C0F" w:rsidRDefault="002D06B3" w:rsidP="00BB7A2E">
      <w:pPr>
        <w:pStyle w:val="BodytextAgency"/>
        <w:spacing w:after="0"/>
        <w:rPr>
          <w:del w:id="73" w:author="Author"/>
          <w:rFonts w:ascii="Times New Roman" w:hAnsi="Times New Roman"/>
          <w:sz w:val="22"/>
          <w:szCs w:val="22"/>
          <w:lang w:val="it-IT"/>
        </w:rPr>
      </w:pPr>
      <w:del w:id="74" w:author="Author">
        <w:r w:rsidRPr="002D06B3" w:rsidDel="00B51C0F">
          <w:rPr>
            <w:rFonts w:ascii="Times New Roman" w:hAnsi="Times New Roman"/>
            <w:sz w:val="22"/>
            <w:szCs w:val="22"/>
            <w:lang w:val="it-IT"/>
          </w:rPr>
          <w:delText xml:space="preserve">Alla luce dei dati disponibili in letteratura sugli eventi cardiovascolari relativi ad abacavir, compreso un meccanismo d'azione plausibile, il PRAC ritiene che le avvertenze e le precauzioni </w:delText>
        </w:r>
        <w:r w:rsidDel="00B51C0F">
          <w:rPr>
            <w:rFonts w:ascii="Times New Roman" w:hAnsi="Times New Roman"/>
            <w:sz w:val="22"/>
            <w:szCs w:val="22"/>
            <w:lang w:val="it-IT"/>
          </w:rPr>
          <w:delText>per l’</w:delText>
        </w:r>
        <w:r w:rsidRPr="002D06B3" w:rsidDel="00B51C0F">
          <w:rPr>
            <w:rFonts w:ascii="Times New Roman" w:hAnsi="Times New Roman"/>
            <w:sz w:val="22"/>
            <w:szCs w:val="22"/>
            <w:lang w:val="it-IT"/>
          </w:rPr>
          <w:delText xml:space="preserve">uso dei </w:delText>
        </w:r>
        <w:r w:rsidDel="00B51C0F">
          <w:rPr>
            <w:rFonts w:ascii="Times New Roman" w:hAnsi="Times New Roman"/>
            <w:sz w:val="22"/>
            <w:szCs w:val="22"/>
            <w:lang w:val="it-IT"/>
          </w:rPr>
          <w:delText>medicinali</w:delText>
        </w:r>
        <w:r w:rsidRPr="002D06B3" w:rsidDel="00B51C0F">
          <w:rPr>
            <w:rFonts w:ascii="Times New Roman" w:hAnsi="Times New Roman"/>
            <w:sz w:val="22"/>
            <w:szCs w:val="22"/>
            <w:lang w:val="it-IT"/>
          </w:rPr>
          <w:delText xml:space="preserve"> contenenti abacavir debbano essere riviste per riflettere adeguatamente l'attuale livello di informazioni sugli eventi cardiovascolari e, in linea con le attuali linee guida terapeutiche, che nelle informazioni sul prodotto debba essere inclusa anche una raccomandazione che sconsigli l'</w:delText>
        </w:r>
        <w:r w:rsidDel="00B51C0F">
          <w:rPr>
            <w:rFonts w:ascii="Times New Roman" w:hAnsi="Times New Roman"/>
            <w:sz w:val="22"/>
            <w:szCs w:val="22"/>
            <w:lang w:val="it-IT"/>
          </w:rPr>
          <w:delText>impiego dei</w:delText>
        </w:r>
        <w:r w:rsidRPr="002D06B3" w:rsidDel="00B51C0F">
          <w:rPr>
            <w:rFonts w:ascii="Times New Roman" w:hAnsi="Times New Roman"/>
            <w:sz w:val="22"/>
            <w:szCs w:val="22"/>
            <w:lang w:val="it-IT"/>
          </w:rPr>
          <w:delText xml:space="preserve"> </w:delText>
        </w:r>
        <w:r w:rsidDel="00B51C0F">
          <w:rPr>
            <w:rFonts w:ascii="Times New Roman" w:hAnsi="Times New Roman"/>
            <w:sz w:val="22"/>
            <w:szCs w:val="22"/>
            <w:lang w:val="it-IT"/>
          </w:rPr>
          <w:delText>medicinali</w:delText>
        </w:r>
        <w:r w:rsidRPr="002D06B3" w:rsidDel="00B51C0F">
          <w:rPr>
            <w:rFonts w:ascii="Times New Roman" w:hAnsi="Times New Roman"/>
            <w:sz w:val="22"/>
            <w:szCs w:val="22"/>
            <w:lang w:val="it-IT"/>
          </w:rPr>
          <w:delText xml:space="preserve"> contenenti abacavir </w:delText>
        </w:r>
        <w:r w:rsidDel="00B51C0F">
          <w:rPr>
            <w:rFonts w:ascii="Times New Roman" w:hAnsi="Times New Roman"/>
            <w:sz w:val="22"/>
            <w:szCs w:val="22"/>
            <w:lang w:val="it-IT"/>
          </w:rPr>
          <w:delText>nei</w:delText>
        </w:r>
        <w:r w:rsidRPr="002D06B3" w:rsidDel="00B51C0F">
          <w:rPr>
            <w:rFonts w:ascii="Times New Roman" w:hAnsi="Times New Roman"/>
            <w:sz w:val="22"/>
            <w:szCs w:val="22"/>
            <w:lang w:val="it-IT"/>
          </w:rPr>
          <w:delText xml:space="preserve"> pazienti ad alto rischio cardiovascolare. Il PRAC ha concluso che le informazioni sul prodotto dei </w:delText>
        </w:r>
        <w:r w:rsidDel="00B51C0F">
          <w:rPr>
            <w:rFonts w:ascii="Times New Roman" w:hAnsi="Times New Roman"/>
            <w:sz w:val="22"/>
            <w:szCs w:val="22"/>
            <w:lang w:val="it-IT"/>
          </w:rPr>
          <w:delText>medicinali</w:delText>
        </w:r>
        <w:r w:rsidRPr="002D06B3" w:rsidDel="00B51C0F">
          <w:rPr>
            <w:rFonts w:ascii="Times New Roman" w:hAnsi="Times New Roman"/>
            <w:sz w:val="22"/>
            <w:szCs w:val="22"/>
            <w:lang w:val="it-IT"/>
          </w:rPr>
          <w:delText xml:space="preserve"> contenenti abacavir</w:delText>
        </w:r>
        <w:r w:rsidR="00445476" w:rsidDel="00B51C0F">
          <w:rPr>
            <w:rFonts w:ascii="Times New Roman" w:hAnsi="Times New Roman"/>
            <w:sz w:val="22"/>
            <w:szCs w:val="22"/>
            <w:lang w:val="it-IT"/>
          </w:rPr>
          <w:delText xml:space="preserve"> </w:delText>
        </w:r>
        <w:r w:rsidRPr="002D06B3" w:rsidDel="00B51C0F">
          <w:rPr>
            <w:rFonts w:ascii="Times New Roman" w:hAnsi="Times New Roman"/>
            <w:sz w:val="22"/>
            <w:szCs w:val="22"/>
            <w:lang w:val="it-IT"/>
          </w:rPr>
          <w:delText>/ lamivudina devono essere modificate di conseguenza.</w:delText>
        </w:r>
      </w:del>
    </w:p>
    <w:p w14:paraId="17CD2E06" w14:textId="341A5372" w:rsidR="007F42CF" w:rsidDel="00B51C0F" w:rsidRDefault="007F42CF" w:rsidP="00445476">
      <w:pPr>
        <w:pStyle w:val="BodytextAgency"/>
        <w:spacing w:after="0" w:line="240" w:lineRule="auto"/>
        <w:rPr>
          <w:del w:id="75" w:author="Author"/>
          <w:rFonts w:ascii="Times New Roman" w:hAnsi="Times New Roman"/>
          <w:sz w:val="22"/>
          <w:szCs w:val="22"/>
          <w:lang w:val="it-IT"/>
        </w:rPr>
      </w:pPr>
    </w:p>
    <w:p w14:paraId="5FF85253" w14:textId="40B34E82" w:rsidR="002D06B3" w:rsidDel="00B51C0F" w:rsidRDefault="002D06B3" w:rsidP="00C070B1">
      <w:pPr>
        <w:pStyle w:val="BodytextAgency"/>
        <w:rPr>
          <w:del w:id="76" w:author="Author"/>
          <w:rFonts w:ascii="Times New Roman" w:hAnsi="Times New Roman"/>
          <w:sz w:val="22"/>
          <w:szCs w:val="22"/>
          <w:lang w:val="it-IT"/>
        </w:rPr>
      </w:pPr>
      <w:del w:id="77" w:author="Author">
        <w:r w:rsidRPr="002D06B3" w:rsidDel="00B51C0F">
          <w:rPr>
            <w:rFonts w:ascii="Times New Roman" w:hAnsi="Times New Roman"/>
            <w:sz w:val="22"/>
            <w:szCs w:val="22"/>
            <w:lang w:val="it-IT"/>
          </w:rPr>
          <w:delText xml:space="preserve">Dopo aver esaminato la raccomandazione del PRAC, il </w:delText>
        </w:r>
        <w:r w:rsidR="00D254BC" w:rsidDel="00B51C0F">
          <w:rPr>
            <w:rFonts w:ascii="Times New Roman" w:hAnsi="Times New Roman"/>
            <w:sz w:val="22"/>
            <w:szCs w:val="22"/>
            <w:lang w:val="it-IT"/>
          </w:rPr>
          <w:delText>Comitato dei medicinali per uso umano (</w:delText>
        </w:r>
        <w:r w:rsidR="00D254BC" w:rsidRPr="00C070B1" w:rsidDel="00B51C0F">
          <w:rPr>
            <w:rFonts w:ascii="Times New Roman" w:hAnsi="Times New Roman"/>
            <w:sz w:val="22"/>
            <w:szCs w:val="22"/>
            <w:lang w:val="it-IT"/>
          </w:rPr>
          <w:delText>Committee for Human Medicinal Products</w:delText>
        </w:r>
        <w:r w:rsidR="00D254BC" w:rsidDel="00B51C0F">
          <w:rPr>
            <w:rFonts w:ascii="Times New Roman" w:hAnsi="Times New Roman"/>
            <w:sz w:val="22"/>
            <w:szCs w:val="22"/>
            <w:lang w:val="it-IT"/>
          </w:rPr>
          <w:delText xml:space="preserve">, </w:delText>
        </w:r>
        <w:r w:rsidR="00D254BC" w:rsidRPr="003C3FF3" w:rsidDel="00B51C0F">
          <w:rPr>
            <w:rFonts w:ascii="Times New Roman" w:hAnsi="Times New Roman"/>
            <w:sz w:val="22"/>
            <w:szCs w:val="22"/>
            <w:lang w:val="it-IT"/>
          </w:rPr>
          <w:delText>CHMP</w:delText>
        </w:r>
        <w:r w:rsidR="00D254BC" w:rsidDel="00B51C0F">
          <w:rPr>
            <w:rFonts w:ascii="Times New Roman" w:hAnsi="Times New Roman"/>
            <w:sz w:val="22"/>
            <w:szCs w:val="22"/>
            <w:lang w:val="it-IT"/>
          </w:rPr>
          <w:delText>)</w:delText>
        </w:r>
        <w:r w:rsidRPr="002D06B3" w:rsidDel="00B51C0F">
          <w:rPr>
            <w:rFonts w:ascii="Times New Roman" w:hAnsi="Times New Roman"/>
            <w:sz w:val="22"/>
            <w:szCs w:val="22"/>
            <w:lang w:val="it-IT"/>
          </w:rPr>
          <w:delText xml:space="preserve"> concorda con le conclusioni generali e i motivi della raccomandazione del PRAC.</w:delText>
        </w:r>
      </w:del>
    </w:p>
    <w:p w14:paraId="0B61A17C" w14:textId="39D7A153" w:rsidR="002D06B3" w:rsidDel="00B51C0F" w:rsidRDefault="002D06B3" w:rsidP="002D06B3">
      <w:pPr>
        <w:pStyle w:val="BodytextAgency"/>
        <w:spacing w:after="0" w:line="240" w:lineRule="auto"/>
        <w:rPr>
          <w:del w:id="78" w:author="Author"/>
          <w:rFonts w:ascii="Times New Roman" w:hAnsi="Times New Roman"/>
          <w:sz w:val="22"/>
          <w:szCs w:val="22"/>
          <w:lang w:val="it-IT"/>
        </w:rPr>
      </w:pPr>
    </w:p>
    <w:p w14:paraId="3B7CC2AD" w14:textId="508E4534" w:rsidR="002D06B3" w:rsidDel="00B51C0F" w:rsidRDefault="002D06B3" w:rsidP="002D06B3">
      <w:pPr>
        <w:pStyle w:val="No-numheading3Agency"/>
        <w:spacing w:before="0" w:after="0"/>
        <w:rPr>
          <w:del w:id="79" w:author="Author"/>
          <w:rFonts w:ascii="Times New Roman" w:hAnsi="Times New Roman"/>
          <w:lang w:val="it-IT"/>
        </w:rPr>
      </w:pPr>
      <w:del w:id="80" w:author="Author">
        <w:r w:rsidDel="00B51C0F">
          <w:rPr>
            <w:rFonts w:ascii="Times New Roman" w:hAnsi="Times New Roman"/>
            <w:lang w:val="it-IT"/>
          </w:rPr>
          <w:delText>Motivazioni per la variazione dei termini dell’autorizzazione all’immissione in commercio</w:delText>
        </w:r>
        <w:r w:rsidR="00372EAE" w:rsidDel="00B51C0F">
          <w:rPr>
            <w:lang w:val="it-IT"/>
          </w:rPr>
          <w:fldChar w:fldCharType="begin"/>
        </w:r>
        <w:r w:rsidR="00372EAE" w:rsidDel="00B51C0F">
          <w:rPr>
            <w:rFonts w:ascii="Times New Roman" w:hAnsi="Times New Roman"/>
            <w:lang w:val="it-IT"/>
          </w:rPr>
          <w:delInstrText xml:space="preserve"> DOCVARIABLE vault_nd_6f7ed02d-f256-430e-9437-d7c507c7f449 \* MERGEFORMAT </w:delInstrText>
        </w:r>
        <w:r w:rsidR="00372EAE" w:rsidDel="00B51C0F">
          <w:rPr>
            <w:lang w:val="it-IT"/>
          </w:rPr>
          <w:fldChar w:fldCharType="separate"/>
        </w:r>
        <w:r w:rsidR="00372EAE" w:rsidDel="00B51C0F">
          <w:rPr>
            <w:rFonts w:ascii="Times New Roman" w:hAnsi="Times New Roman"/>
            <w:lang w:val="it-IT"/>
          </w:rPr>
          <w:delText xml:space="preserve"> </w:delText>
        </w:r>
        <w:r w:rsidR="00372EAE" w:rsidDel="00B51C0F">
          <w:rPr>
            <w:lang w:val="it-IT"/>
          </w:rPr>
          <w:fldChar w:fldCharType="end"/>
        </w:r>
      </w:del>
    </w:p>
    <w:p w14:paraId="3C453C44" w14:textId="7D01AF22" w:rsidR="002D06B3" w:rsidDel="00B51C0F" w:rsidRDefault="002D06B3" w:rsidP="002D06B3">
      <w:pPr>
        <w:pStyle w:val="BodytextAgency"/>
        <w:spacing w:after="0" w:line="240" w:lineRule="auto"/>
        <w:rPr>
          <w:del w:id="81" w:author="Author"/>
          <w:rFonts w:ascii="Times New Roman" w:hAnsi="Times New Roman"/>
          <w:sz w:val="22"/>
          <w:szCs w:val="22"/>
          <w:lang w:val="it-IT"/>
        </w:rPr>
      </w:pPr>
    </w:p>
    <w:p w14:paraId="4725D93D" w14:textId="14A7E579" w:rsidR="002D06B3" w:rsidDel="00B51C0F" w:rsidRDefault="002D06B3" w:rsidP="00C070B1">
      <w:pPr>
        <w:pStyle w:val="BodytextAgency"/>
        <w:rPr>
          <w:del w:id="82" w:author="Author"/>
          <w:rFonts w:ascii="Times New Roman" w:hAnsi="Times New Roman"/>
          <w:sz w:val="22"/>
          <w:szCs w:val="22"/>
          <w:lang w:val="it-IT"/>
        </w:rPr>
      </w:pPr>
      <w:del w:id="83" w:author="Author">
        <w:r w:rsidDel="00B51C0F">
          <w:rPr>
            <w:rFonts w:ascii="Times New Roman" w:hAnsi="Times New Roman"/>
            <w:sz w:val="22"/>
            <w:szCs w:val="22"/>
            <w:lang w:val="it-IT"/>
          </w:rPr>
          <w:delText>Sulla base delle conclusioni scientifiche su abacavir / lamivudina, il CHMP ritiene che il rapporto beneficio/rischio dei medicinali contenenti abacavir / lamivudina sia invariato fatte salve le modifiche proposte alle informazioni sul medicinale.</w:delText>
        </w:r>
      </w:del>
    </w:p>
    <w:p w14:paraId="120BDF84" w14:textId="081B0E27" w:rsidR="002D06B3" w:rsidDel="00B51C0F" w:rsidRDefault="002D06B3" w:rsidP="002D06B3">
      <w:pPr>
        <w:pStyle w:val="BodytextAgency"/>
        <w:spacing w:after="0" w:line="240" w:lineRule="auto"/>
        <w:rPr>
          <w:del w:id="84" w:author="Author"/>
          <w:rFonts w:ascii="Times New Roman" w:hAnsi="Times New Roman"/>
          <w:sz w:val="22"/>
          <w:szCs w:val="22"/>
          <w:lang w:val="it-IT"/>
        </w:rPr>
      </w:pPr>
    </w:p>
    <w:p w14:paraId="6C8A8312" w14:textId="70EC58A7" w:rsidR="002D06B3" w:rsidDel="00B51C0F" w:rsidRDefault="002D06B3" w:rsidP="002D06B3">
      <w:pPr>
        <w:pStyle w:val="BodytextAgency"/>
        <w:spacing w:after="0" w:line="240" w:lineRule="auto"/>
        <w:rPr>
          <w:del w:id="85" w:author="Author"/>
          <w:rFonts w:ascii="Times New Roman" w:hAnsi="Times New Roman"/>
          <w:b/>
          <w:sz w:val="22"/>
          <w:szCs w:val="24"/>
          <w:lang w:val="it-IT"/>
        </w:rPr>
      </w:pPr>
      <w:del w:id="86" w:author="Author">
        <w:r w:rsidDel="00B51C0F">
          <w:rPr>
            <w:rFonts w:ascii="Times New Roman" w:hAnsi="Times New Roman"/>
            <w:sz w:val="22"/>
            <w:szCs w:val="22"/>
            <w:lang w:val="it-IT"/>
          </w:rPr>
          <w:delText>Il CHMP raccomanda la variazione dei termini dell</w:delText>
        </w:r>
        <w:r w:rsidDel="00B51C0F">
          <w:rPr>
            <w:rFonts w:ascii="Times New Roman" w:hAnsi="Times New Roman"/>
            <w:sz w:val="22"/>
            <w:szCs w:val="24"/>
            <w:lang w:val="it-IT"/>
          </w:rPr>
          <w:delText>’autorizzazione all’immissione in commercio.</w:delText>
        </w:r>
      </w:del>
    </w:p>
    <w:p w14:paraId="18D34B9E" w14:textId="3611DF67" w:rsidR="002D06B3" w:rsidDel="00B51C0F" w:rsidRDefault="002D06B3" w:rsidP="002D06B3">
      <w:pPr>
        <w:pStyle w:val="No-numheading3Agency"/>
        <w:spacing w:before="0" w:after="0"/>
        <w:rPr>
          <w:del w:id="87" w:author="Author"/>
          <w:rFonts w:ascii="Times New Roman" w:hAnsi="Times New Roman"/>
          <w:b w:val="0"/>
          <w:lang w:val="it-IT"/>
        </w:rPr>
      </w:pPr>
    </w:p>
    <w:p w14:paraId="2FE3803C" w14:textId="77777777" w:rsidR="002D06B3" w:rsidRPr="00C9575C" w:rsidRDefault="002D06B3" w:rsidP="0022561D">
      <w:pPr>
        <w:widowControl w:val="0"/>
        <w:suppressAutoHyphens/>
        <w:jc w:val="center"/>
        <w:rPr>
          <w:color w:val="0000FF"/>
          <w:szCs w:val="22"/>
          <w:lang w:val="it-IT"/>
        </w:rPr>
      </w:pPr>
    </w:p>
    <w:sectPr w:rsidR="002D06B3" w:rsidRPr="00C9575C" w:rsidSect="009D2687">
      <w:footerReference w:type="even" r:id="rId18"/>
      <w:footerReference w:type="default" r:id="rId19"/>
      <w:footerReference w:type="first" r:id="rId20"/>
      <w:pgSz w:w="11907" w:h="16840" w:code="9"/>
      <w:pgMar w:top="993" w:right="1275" w:bottom="1134"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355D" w14:textId="77777777" w:rsidR="00A23D38" w:rsidRDefault="00A23D38">
      <w:r>
        <w:separator/>
      </w:r>
    </w:p>
  </w:endnote>
  <w:endnote w:type="continuationSeparator" w:id="0">
    <w:p w14:paraId="48F0428D" w14:textId="77777777" w:rsidR="00A23D38" w:rsidRDefault="00A2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MT Lt">
    <w:altName w:val="Cambria"/>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fa Rotis Serif">
    <w:altName w:val="Courier New"/>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3158" w14:textId="77777777" w:rsidR="008A0227" w:rsidRDefault="008A0227">
    <w:pPr>
      <w:pStyle w:val="Footer"/>
      <w:rPr>
        <w:rFonts w:ascii="Helvetica" w:hAnsi="Helvetica"/>
        <w:sz w:val="16"/>
      </w:rPr>
    </w:pPr>
    <w:r>
      <w:rPr>
        <w:sz w:val="16"/>
      </w:rPr>
      <w:tab/>
    </w:r>
    <w:r>
      <w:rPr>
        <w:rStyle w:val="PageNumber"/>
        <w:rFonts w:ascii="Helvetica" w:hAnsi="Helvetica"/>
        <w:sz w:val="16"/>
      </w:rPr>
      <w:fldChar w:fldCharType="begin"/>
    </w:r>
    <w:r>
      <w:rPr>
        <w:rStyle w:val="PageNumber"/>
        <w:rFonts w:ascii="Helvetica" w:hAnsi="Helvetica"/>
        <w:sz w:val="16"/>
      </w:rPr>
      <w:instrText xml:space="preserve"> PAGE </w:instrText>
    </w:r>
    <w:r>
      <w:rPr>
        <w:rStyle w:val="PageNumber"/>
        <w:rFonts w:ascii="Helvetica" w:hAnsi="Helvetica"/>
        <w:sz w:val="16"/>
      </w:rPr>
      <w:fldChar w:fldCharType="separate"/>
    </w:r>
    <w:r>
      <w:rPr>
        <w:rStyle w:val="PageNumber"/>
        <w:rFonts w:ascii="Helvetica" w:hAnsi="Helvetica"/>
        <w:noProof/>
        <w:sz w:val="16"/>
      </w:rPr>
      <w:t>20</w:t>
    </w:r>
    <w:r>
      <w:rPr>
        <w:rStyle w:val="PageNumber"/>
        <w:rFonts w:ascii="Helvetica" w:hAnsi="Helvetic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3364" w14:textId="77777777" w:rsidR="008A0227" w:rsidRPr="00C628FC" w:rsidRDefault="008A0227">
    <w:pPr>
      <w:pStyle w:val="Footer"/>
      <w:ind w:right="360"/>
      <w:jc w:val="center"/>
      <w:rPr>
        <w:rFonts w:ascii="Arial" w:hAnsi="Arial" w:cs="Arial"/>
        <w:sz w:val="16"/>
        <w:szCs w:val="16"/>
      </w:rPr>
    </w:pPr>
    <w:r w:rsidRPr="00C628FC">
      <w:rPr>
        <w:rStyle w:val="PageNumber"/>
        <w:rFonts w:ascii="Arial" w:hAnsi="Arial" w:cs="Arial"/>
        <w:sz w:val="16"/>
        <w:szCs w:val="16"/>
      </w:rPr>
      <w:fldChar w:fldCharType="begin"/>
    </w:r>
    <w:r w:rsidRPr="00C628FC">
      <w:rPr>
        <w:rStyle w:val="PageNumber"/>
        <w:rFonts w:ascii="Arial" w:hAnsi="Arial" w:cs="Arial"/>
        <w:sz w:val="16"/>
        <w:szCs w:val="16"/>
      </w:rPr>
      <w:instrText xml:space="preserve"> PAGE </w:instrText>
    </w:r>
    <w:r w:rsidRPr="00C628FC">
      <w:rPr>
        <w:rStyle w:val="PageNumber"/>
        <w:rFonts w:ascii="Arial" w:hAnsi="Arial" w:cs="Arial"/>
        <w:sz w:val="16"/>
        <w:szCs w:val="16"/>
      </w:rPr>
      <w:fldChar w:fldCharType="separate"/>
    </w:r>
    <w:r w:rsidRPr="00C628FC">
      <w:rPr>
        <w:rStyle w:val="PageNumber"/>
        <w:rFonts w:ascii="Arial" w:hAnsi="Arial" w:cs="Arial"/>
        <w:noProof/>
        <w:sz w:val="16"/>
        <w:szCs w:val="16"/>
      </w:rPr>
      <w:t>51</w:t>
    </w:r>
    <w:r w:rsidRPr="00C628FC">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35CB" w14:textId="77777777" w:rsidR="008A0227" w:rsidRPr="00C628FC" w:rsidRDefault="008A0227">
    <w:pPr>
      <w:pStyle w:val="Footer"/>
      <w:jc w:val="center"/>
      <w:rPr>
        <w:rFonts w:ascii="Arial" w:hAnsi="Arial" w:cs="Arial"/>
        <w:sz w:val="16"/>
        <w:szCs w:val="16"/>
      </w:rPr>
    </w:pPr>
    <w:r w:rsidRPr="00C628FC">
      <w:rPr>
        <w:rStyle w:val="PageNumber"/>
        <w:rFonts w:ascii="Arial" w:hAnsi="Arial" w:cs="Arial"/>
        <w:sz w:val="16"/>
        <w:szCs w:val="16"/>
      </w:rPr>
      <w:fldChar w:fldCharType="begin"/>
    </w:r>
    <w:r w:rsidRPr="00C628FC">
      <w:rPr>
        <w:rStyle w:val="PageNumber"/>
        <w:rFonts w:ascii="Arial" w:hAnsi="Arial" w:cs="Arial"/>
        <w:sz w:val="16"/>
        <w:szCs w:val="16"/>
      </w:rPr>
      <w:instrText xml:space="preserve"> PAGE </w:instrText>
    </w:r>
    <w:r w:rsidRPr="00C628FC">
      <w:rPr>
        <w:rStyle w:val="PageNumber"/>
        <w:rFonts w:ascii="Arial" w:hAnsi="Arial" w:cs="Arial"/>
        <w:sz w:val="16"/>
        <w:szCs w:val="16"/>
      </w:rPr>
      <w:fldChar w:fldCharType="separate"/>
    </w:r>
    <w:r w:rsidRPr="00C628FC">
      <w:rPr>
        <w:rStyle w:val="PageNumber"/>
        <w:rFonts w:ascii="Arial" w:hAnsi="Arial" w:cs="Arial"/>
        <w:noProof/>
        <w:sz w:val="16"/>
        <w:szCs w:val="16"/>
      </w:rPr>
      <w:t>1</w:t>
    </w:r>
    <w:r w:rsidRPr="00C628F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EA53" w14:textId="77777777" w:rsidR="00A23D38" w:rsidRDefault="00A23D38">
      <w:r>
        <w:rPr>
          <w:rFonts w:ascii="Courier" w:hAnsi="Courier"/>
        </w:rPr>
        <w:separator/>
      </w:r>
    </w:p>
  </w:footnote>
  <w:footnote w:type="continuationSeparator" w:id="0">
    <w:p w14:paraId="7DC9ADEE" w14:textId="77777777" w:rsidR="00A23D38" w:rsidRDefault="00A23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5C1D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4E9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625B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F87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3AB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3438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A41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986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2645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1EFD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77AF3"/>
    <w:multiLevelType w:val="multilevel"/>
    <w:tmpl w:val="2FDA33E8"/>
    <w:lvl w:ilvl="0">
      <w:start w:val="1"/>
      <w:numFmt w:val="upperLetter"/>
      <w:lvlText w:val="%1."/>
      <w:lvlJc w:val="left"/>
      <w:pPr>
        <w:ind w:left="14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125672"/>
    <w:multiLevelType w:val="hybridMultilevel"/>
    <w:tmpl w:val="7E24BC44"/>
    <w:lvl w:ilvl="0" w:tplc="04100001">
      <w:start w:val="1"/>
      <w:numFmt w:val="bullet"/>
      <w:lvlText w:val=""/>
      <w:lvlJc w:val="left"/>
      <w:pPr>
        <w:tabs>
          <w:tab w:val="num" w:pos="720"/>
        </w:tabs>
        <w:ind w:left="720" w:hanging="360"/>
      </w:pPr>
      <w:rPr>
        <w:rFonts w:ascii="Symbol" w:hAnsi="Symbol" w:hint="default"/>
      </w:rPr>
    </w:lvl>
    <w:lvl w:ilvl="1" w:tplc="128CC358">
      <w:start w:val="1"/>
      <w:numFmt w:val="bullet"/>
      <w:lvlText w:val=""/>
      <w:lvlJc w:val="left"/>
      <w:pPr>
        <w:ind w:left="360" w:hanging="360"/>
      </w:pPr>
      <w:rPr>
        <w:rFonts w:ascii="Wingdings" w:hAnsi="Wingdings" w:hint="default"/>
        <w:color w:val="auto"/>
        <w:sz w:val="22"/>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1F2DF5"/>
    <w:multiLevelType w:val="hybridMultilevel"/>
    <w:tmpl w:val="F54CFF92"/>
    <w:lvl w:ilvl="0" w:tplc="04100001">
      <w:start w:val="1"/>
      <w:numFmt w:val="bullet"/>
      <w:lvlText w:val=""/>
      <w:lvlJc w:val="left"/>
      <w:pPr>
        <w:tabs>
          <w:tab w:val="num" w:pos="360"/>
        </w:tabs>
        <w:ind w:left="360" w:hanging="360"/>
      </w:pPr>
      <w:rPr>
        <w:rFonts w:ascii="Symbol" w:hAnsi="Symbol" w:hint="default"/>
      </w:rPr>
    </w:lvl>
    <w:lvl w:ilvl="1" w:tplc="D682C5A0">
      <w:numFmt w:val="bullet"/>
      <w:lvlText w:val=""/>
      <w:lvlJc w:val="left"/>
      <w:pPr>
        <w:tabs>
          <w:tab w:val="num" w:pos="1080"/>
        </w:tabs>
        <w:ind w:left="1080" w:hanging="360"/>
      </w:pPr>
      <w:rPr>
        <w:rFonts w:ascii="Wingdings" w:eastAsia="Times New Roman" w:hAnsi="Wingdings" w:hint="default"/>
        <w:b/>
      </w:rPr>
    </w:lvl>
    <w:lvl w:ilvl="2" w:tplc="92B0CD5C">
      <w:start w:val="1"/>
      <w:numFmt w:val="bullet"/>
      <w:pStyle w:val="Warning"/>
      <w:lvlText w:val="!"/>
      <w:lvlJc w:val="left"/>
      <w:pPr>
        <w:ind w:left="1800" w:hanging="360"/>
      </w:pPr>
      <w:rPr>
        <w:rFonts w:ascii="Arial Black" w:hAnsi="Arial Black" w:hint="default"/>
        <w:color w:val="auto"/>
        <w:sz w:val="24"/>
      </w:rPr>
    </w:lvl>
    <w:lvl w:ilvl="3" w:tplc="128CC358">
      <w:start w:val="1"/>
      <w:numFmt w:val="bullet"/>
      <w:lvlText w:val=""/>
      <w:lvlJc w:val="left"/>
      <w:pPr>
        <w:ind w:left="2520" w:hanging="360"/>
      </w:pPr>
      <w:rPr>
        <w:rFonts w:ascii="Wingdings" w:hAnsi="Wingdings" w:hint="default"/>
        <w:color w:val="auto"/>
        <w:sz w:val="22"/>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FF7E8D"/>
    <w:multiLevelType w:val="singleLevel"/>
    <w:tmpl w:val="6BCE18D2"/>
    <w:lvl w:ilvl="0">
      <w:start w:val="1"/>
      <w:numFmt w:val="decimal"/>
      <w:lvlText w:val="%1. "/>
      <w:legacy w:legacy="1" w:legacySpace="0" w:legacyIndent="283"/>
      <w:lvlJc w:val="left"/>
      <w:pPr>
        <w:ind w:left="283" w:hanging="283"/>
      </w:pPr>
      <w:rPr>
        <w:b/>
        <w:sz w:val="22"/>
        <w:szCs w:val="22"/>
      </w:rPr>
    </w:lvl>
  </w:abstractNum>
  <w:abstractNum w:abstractNumId="15"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376BD9"/>
    <w:multiLevelType w:val="hybridMultilevel"/>
    <w:tmpl w:val="27B25FBA"/>
    <w:lvl w:ilvl="0" w:tplc="0410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13717EF0"/>
    <w:multiLevelType w:val="singleLevel"/>
    <w:tmpl w:val="1452EEEA"/>
    <w:lvl w:ilvl="0">
      <w:start w:val="4"/>
      <w:numFmt w:val="decimal"/>
      <w:lvlText w:val="%1. "/>
      <w:legacy w:legacy="1" w:legacySpace="0" w:legacyIndent="283"/>
      <w:lvlJc w:val="left"/>
      <w:pPr>
        <w:ind w:left="283" w:hanging="283"/>
      </w:pPr>
      <w:rPr>
        <w:b/>
        <w:sz w:val="22"/>
        <w:szCs w:val="22"/>
      </w:rPr>
    </w:lvl>
  </w:abstractNum>
  <w:abstractNum w:abstractNumId="18" w15:restartNumberingAfterBreak="0">
    <w:nsid w:val="16225748"/>
    <w:multiLevelType w:val="hybridMultilevel"/>
    <w:tmpl w:val="1BBC3D3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BAE270B"/>
    <w:multiLevelType w:val="hybridMultilevel"/>
    <w:tmpl w:val="7D661982"/>
    <w:lvl w:ilvl="0" w:tplc="A9F6C80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0603D05"/>
    <w:multiLevelType w:val="hybridMultilevel"/>
    <w:tmpl w:val="5D4460FA"/>
    <w:lvl w:ilvl="0" w:tplc="04100001">
      <w:start w:val="1"/>
      <w:numFmt w:val="bullet"/>
      <w:lvlText w:val=""/>
      <w:lvlJc w:val="left"/>
      <w:pPr>
        <w:tabs>
          <w:tab w:val="num" w:pos="928"/>
        </w:tabs>
        <w:ind w:left="928" w:hanging="360"/>
      </w:pPr>
      <w:rPr>
        <w:rFonts w:ascii="Symbol" w:hAnsi="Symbol" w:hint="default"/>
      </w:rPr>
    </w:lvl>
    <w:lvl w:ilvl="1" w:tplc="04100003" w:tentative="1">
      <w:start w:val="1"/>
      <w:numFmt w:val="bullet"/>
      <w:lvlText w:val="o"/>
      <w:lvlJc w:val="left"/>
      <w:pPr>
        <w:tabs>
          <w:tab w:val="num" w:pos="1648"/>
        </w:tabs>
        <w:ind w:left="1648" w:hanging="360"/>
      </w:pPr>
      <w:rPr>
        <w:rFonts w:ascii="Courier New" w:hAnsi="Courier New" w:hint="default"/>
      </w:rPr>
    </w:lvl>
    <w:lvl w:ilvl="2" w:tplc="04100005" w:tentative="1">
      <w:start w:val="1"/>
      <w:numFmt w:val="bullet"/>
      <w:lvlText w:val=""/>
      <w:lvlJc w:val="left"/>
      <w:pPr>
        <w:tabs>
          <w:tab w:val="num" w:pos="2368"/>
        </w:tabs>
        <w:ind w:left="2368" w:hanging="360"/>
      </w:pPr>
      <w:rPr>
        <w:rFonts w:ascii="Wingdings" w:hAnsi="Wingdings" w:hint="default"/>
      </w:rPr>
    </w:lvl>
    <w:lvl w:ilvl="3" w:tplc="04100001" w:tentative="1">
      <w:start w:val="1"/>
      <w:numFmt w:val="bullet"/>
      <w:lvlText w:val=""/>
      <w:lvlJc w:val="left"/>
      <w:pPr>
        <w:tabs>
          <w:tab w:val="num" w:pos="3088"/>
        </w:tabs>
        <w:ind w:left="3088" w:hanging="360"/>
      </w:pPr>
      <w:rPr>
        <w:rFonts w:ascii="Symbol" w:hAnsi="Symbol" w:hint="default"/>
      </w:rPr>
    </w:lvl>
    <w:lvl w:ilvl="4" w:tplc="04100003" w:tentative="1">
      <w:start w:val="1"/>
      <w:numFmt w:val="bullet"/>
      <w:lvlText w:val="o"/>
      <w:lvlJc w:val="left"/>
      <w:pPr>
        <w:tabs>
          <w:tab w:val="num" w:pos="3808"/>
        </w:tabs>
        <w:ind w:left="3808" w:hanging="360"/>
      </w:pPr>
      <w:rPr>
        <w:rFonts w:ascii="Courier New" w:hAnsi="Courier New" w:hint="default"/>
      </w:rPr>
    </w:lvl>
    <w:lvl w:ilvl="5" w:tplc="04100005" w:tentative="1">
      <w:start w:val="1"/>
      <w:numFmt w:val="bullet"/>
      <w:lvlText w:val=""/>
      <w:lvlJc w:val="left"/>
      <w:pPr>
        <w:tabs>
          <w:tab w:val="num" w:pos="4528"/>
        </w:tabs>
        <w:ind w:left="4528" w:hanging="360"/>
      </w:pPr>
      <w:rPr>
        <w:rFonts w:ascii="Wingdings" w:hAnsi="Wingdings" w:hint="default"/>
      </w:rPr>
    </w:lvl>
    <w:lvl w:ilvl="6" w:tplc="04100001" w:tentative="1">
      <w:start w:val="1"/>
      <w:numFmt w:val="bullet"/>
      <w:lvlText w:val=""/>
      <w:lvlJc w:val="left"/>
      <w:pPr>
        <w:tabs>
          <w:tab w:val="num" w:pos="5248"/>
        </w:tabs>
        <w:ind w:left="5248" w:hanging="360"/>
      </w:pPr>
      <w:rPr>
        <w:rFonts w:ascii="Symbol" w:hAnsi="Symbol" w:hint="default"/>
      </w:rPr>
    </w:lvl>
    <w:lvl w:ilvl="7" w:tplc="04100003" w:tentative="1">
      <w:start w:val="1"/>
      <w:numFmt w:val="bullet"/>
      <w:lvlText w:val="o"/>
      <w:lvlJc w:val="left"/>
      <w:pPr>
        <w:tabs>
          <w:tab w:val="num" w:pos="5968"/>
        </w:tabs>
        <w:ind w:left="5968" w:hanging="360"/>
      </w:pPr>
      <w:rPr>
        <w:rFonts w:ascii="Courier New" w:hAnsi="Courier New" w:hint="default"/>
      </w:rPr>
    </w:lvl>
    <w:lvl w:ilvl="8" w:tplc="0410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20D11F92"/>
    <w:multiLevelType w:val="hybridMultilevel"/>
    <w:tmpl w:val="278A3BE8"/>
    <w:lvl w:ilvl="0" w:tplc="CE82E510">
      <w:start w:val="17"/>
      <w:numFmt w:val="decimal"/>
      <w:lvlText w:val="%1"/>
      <w:lvlJc w:val="left"/>
      <w:pPr>
        <w:ind w:left="1440" w:hanging="360"/>
      </w:pPr>
      <w:rPr>
        <w:rFonts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9015887"/>
    <w:multiLevelType w:val="hybridMultilevel"/>
    <w:tmpl w:val="52027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A9F40C6"/>
    <w:multiLevelType w:val="hybridMultilevel"/>
    <w:tmpl w:val="684A64B0"/>
    <w:lvl w:ilvl="0" w:tplc="39CCBD76">
      <w:start w:val="6"/>
      <w:numFmt w:val="bullet"/>
      <w:lvlText w:val="-"/>
      <w:lvlJc w:val="left"/>
      <w:pPr>
        <w:ind w:left="2160" w:hanging="360"/>
      </w:pPr>
      <w:rPr>
        <w:rFonts w:ascii="Albertus MT Lt" w:hAnsi="Albertus MT Lt" w:hint="default"/>
        <w:b/>
        <w:i/>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4" w15:restartNumberingAfterBreak="0">
    <w:nsid w:val="2AC15C02"/>
    <w:multiLevelType w:val="hybridMultilevel"/>
    <w:tmpl w:val="22903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BF45C30"/>
    <w:multiLevelType w:val="hybridMultilevel"/>
    <w:tmpl w:val="EB4C8BCC"/>
    <w:lvl w:ilvl="0" w:tplc="38F46B32">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6" w15:restartNumberingAfterBreak="0">
    <w:nsid w:val="2E3735A1"/>
    <w:multiLevelType w:val="hybridMultilevel"/>
    <w:tmpl w:val="304052E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AB2E3A"/>
    <w:multiLevelType w:val="hybridMultilevel"/>
    <w:tmpl w:val="59686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0B4267"/>
    <w:multiLevelType w:val="hybridMultilevel"/>
    <w:tmpl w:val="433E0B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F527BA2"/>
    <w:multiLevelType w:val="hybridMultilevel"/>
    <w:tmpl w:val="A01CD8C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0" w15:restartNumberingAfterBreak="0">
    <w:nsid w:val="461B3E80"/>
    <w:multiLevelType w:val="singleLevel"/>
    <w:tmpl w:val="5FC450EC"/>
    <w:lvl w:ilvl="0">
      <w:start w:val="2"/>
      <w:numFmt w:val="decimal"/>
      <w:lvlText w:val="%1. "/>
      <w:legacy w:legacy="1" w:legacySpace="0" w:legacyIndent="283"/>
      <w:lvlJc w:val="left"/>
      <w:pPr>
        <w:ind w:left="283" w:hanging="283"/>
      </w:pPr>
      <w:rPr>
        <w:b/>
        <w:sz w:val="22"/>
        <w:szCs w:val="22"/>
      </w:rPr>
    </w:lvl>
  </w:abstractNum>
  <w:abstractNum w:abstractNumId="31" w15:restartNumberingAfterBreak="0">
    <w:nsid w:val="48BE58AF"/>
    <w:multiLevelType w:val="hybridMultilevel"/>
    <w:tmpl w:val="686EE11E"/>
    <w:lvl w:ilvl="0" w:tplc="CD48B93C">
      <w:start w:val="1"/>
      <w:numFmt w:val="bullet"/>
      <w:lvlText w:val=""/>
      <w:lvlJc w:val="left"/>
      <w:pPr>
        <w:tabs>
          <w:tab w:val="num" w:pos="720"/>
        </w:tabs>
        <w:ind w:left="720" w:hanging="360"/>
      </w:pPr>
      <w:rPr>
        <w:rFonts w:ascii="Symbol" w:hAnsi="Symbol" w:hint="default"/>
      </w:rPr>
    </w:lvl>
    <w:lvl w:ilvl="1" w:tplc="AA9CA256">
      <w:start w:val="1"/>
      <w:numFmt w:val="bullet"/>
      <w:lvlText w:val=""/>
      <w:lvlJc w:val="left"/>
      <w:pPr>
        <w:ind w:left="1440" w:hanging="360"/>
      </w:pPr>
      <w:rPr>
        <w:rFonts w:ascii="Wingdings" w:hAnsi="Wingdings" w:hint="default"/>
        <w:color w:val="auto"/>
        <w:sz w:val="22"/>
      </w:rPr>
    </w:lvl>
    <w:lvl w:ilvl="2" w:tplc="523091FE" w:tentative="1">
      <w:start w:val="1"/>
      <w:numFmt w:val="bullet"/>
      <w:lvlText w:val=""/>
      <w:lvlJc w:val="left"/>
      <w:pPr>
        <w:tabs>
          <w:tab w:val="num" w:pos="2160"/>
        </w:tabs>
        <w:ind w:left="2160" w:hanging="360"/>
      </w:pPr>
      <w:rPr>
        <w:rFonts w:ascii="Wingdings" w:hAnsi="Wingdings" w:hint="default"/>
      </w:rPr>
    </w:lvl>
    <w:lvl w:ilvl="3" w:tplc="521C72FC" w:tentative="1">
      <w:start w:val="1"/>
      <w:numFmt w:val="bullet"/>
      <w:lvlText w:val=""/>
      <w:lvlJc w:val="left"/>
      <w:pPr>
        <w:tabs>
          <w:tab w:val="num" w:pos="2880"/>
        </w:tabs>
        <w:ind w:left="2880" w:hanging="360"/>
      </w:pPr>
      <w:rPr>
        <w:rFonts w:ascii="Symbol" w:hAnsi="Symbol" w:hint="default"/>
      </w:rPr>
    </w:lvl>
    <w:lvl w:ilvl="4" w:tplc="A5D8CECA" w:tentative="1">
      <w:start w:val="1"/>
      <w:numFmt w:val="bullet"/>
      <w:lvlText w:val="o"/>
      <w:lvlJc w:val="left"/>
      <w:pPr>
        <w:tabs>
          <w:tab w:val="num" w:pos="3600"/>
        </w:tabs>
        <w:ind w:left="3600" w:hanging="360"/>
      </w:pPr>
      <w:rPr>
        <w:rFonts w:ascii="Courier New" w:hAnsi="Courier New" w:hint="default"/>
      </w:rPr>
    </w:lvl>
    <w:lvl w:ilvl="5" w:tplc="C33426BE" w:tentative="1">
      <w:start w:val="1"/>
      <w:numFmt w:val="bullet"/>
      <w:lvlText w:val=""/>
      <w:lvlJc w:val="left"/>
      <w:pPr>
        <w:tabs>
          <w:tab w:val="num" w:pos="4320"/>
        </w:tabs>
        <w:ind w:left="4320" w:hanging="360"/>
      </w:pPr>
      <w:rPr>
        <w:rFonts w:ascii="Wingdings" w:hAnsi="Wingdings" w:hint="default"/>
      </w:rPr>
    </w:lvl>
    <w:lvl w:ilvl="6" w:tplc="C084FC80" w:tentative="1">
      <w:start w:val="1"/>
      <w:numFmt w:val="bullet"/>
      <w:lvlText w:val=""/>
      <w:lvlJc w:val="left"/>
      <w:pPr>
        <w:tabs>
          <w:tab w:val="num" w:pos="5040"/>
        </w:tabs>
        <w:ind w:left="5040" w:hanging="360"/>
      </w:pPr>
      <w:rPr>
        <w:rFonts w:ascii="Symbol" w:hAnsi="Symbol" w:hint="default"/>
      </w:rPr>
    </w:lvl>
    <w:lvl w:ilvl="7" w:tplc="48A0B848" w:tentative="1">
      <w:start w:val="1"/>
      <w:numFmt w:val="bullet"/>
      <w:lvlText w:val="o"/>
      <w:lvlJc w:val="left"/>
      <w:pPr>
        <w:tabs>
          <w:tab w:val="num" w:pos="5760"/>
        </w:tabs>
        <w:ind w:left="5760" w:hanging="360"/>
      </w:pPr>
      <w:rPr>
        <w:rFonts w:ascii="Courier New" w:hAnsi="Courier New" w:hint="default"/>
      </w:rPr>
    </w:lvl>
    <w:lvl w:ilvl="8" w:tplc="14BEFDD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162996"/>
    <w:multiLevelType w:val="hybridMultilevel"/>
    <w:tmpl w:val="A606DE52"/>
    <w:lvl w:ilvl="0" w:tplc="8E74698A">
      <w:start w:val="4"/>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CD0DC9"/>
    <w:multiLevelType w:val="hybridMultilevel"/>
    <w:tmpl w:val="68F4C59E"/>
    <w:lvl w:ilvl="0" w:tplc="9B0208C2">
      <w:start w:val="1"/>
      <w:numFmt w:val="bullet"/>
      <w:lvlText w:val=""/>
      <w:lvlJc w:val="left"/>
      <w:pPr>
        <w:tabs>
          <w:tab w:val="num" w:pos="720"/>
        </w:tabs>
        <w:ind w:left="720" w:hanging="360"/>
      </w:pPr>
      <w:rPr>
        <w:rFonts w:ascii="Symbol" w:hAnsi="Symbol" w:hint="default"/>
      </w:rPr>
    </w:lvl>
    <w:lvl w:ilvl="1" w:tplc="4FB66DB2" w:tentative="1">
      <w:start w:val="1"/>
      <w:numFmt w:val="bullet"/>
      <w:lvlText w:val="o"/>
      <w:lvlJc w:val="left"/>
      <w:pPr>
        <w:tabs>
          <w:tab w:val="num" w:pos="1440"/>
        </w:tabs>
        <w:ind w:left="1440" w:hanging="360"/>
      </w:pPr>
      <w:rPr>
        <w:rFonts w:ascii="Courier New" w:hAnsi="Courier New" w:hint="default"/>
      </w:rPr>
    </w:lvl>
    <w:lvl w:ilvl="2" w:tplc="AB067F92" w:tentative="1">
      <w:start w:val="1"/>
      <w:numFmt w:val="bullet"/>
      <w:lvlText w:val=""/>
      <w:lvlJc w:val="left"/>
      <w:pPr>
        <w:tabs>
          <w:tab w:val="num" w:pos="2160"/>
        </w:tabs>
        <w:ind w:left="2160" w:hanging="360"/>
      </w:pPr>
      <w:rPr>
        <w:rFonts w:ascii="Wingdings" w:hAnsi="Wingdings" w:hint="default"/>
      </w:rPr>
    </w:lvl>
    <w:lvl w:ilvl="3" w:tplc="760C3DAE" w:tentative="1">
      <w:start w:val="1"/>
      <w:numFmt w:val="bullet"/>
      <w:lvlText w:val=""/>
      <w:lvlJc w:val="left"/>
      <w:pPr>
        <w:tabs>
          <w:tab w:val="num" w:pos="2880"/>
        </w:tabs>
        <w:ind w:left="2880" w:hanging="360"/>
      </w:pPr>
      <w:rPr>
        <w:rFonts w:ascii="Symbol" w:hAnsi="Symbol" w:hint="default"/>
      </w:rPr>
    </w:lvl>
    <w:lvl w:ilvl="4" w:tplc="9F18C404" w:tentative="1">
      <w:start w:val="1"/>
      <w:numFmt w:val="bullet"/>
      <w:lvlText w:val="o"/>
      <w:lvlJc w:val="left"/>
      <w:pPr>
        <w:tabs>
          <w:tab w:val="num" w:pos="3600"/>
        </w:tabs>
        <w:ind w:left="3600" w:hanging="360"/>
      </w:pPr>
      <w:rPr>
        <w:rFonts w:ascii="Courier New" w:hAnsi="Courier New" w:hint="default"/>
      </w:rPr>
    </w:lvl>
    <w:lvl w:ilvl="5" w:tplc="431C0EEC" w:tentative="1">
      <w:start w:val="1"/>
      <w:numFmt w:val="bullet"/>
      <w:lvlText w:val=""/>
      <w:lvlJc w:val="left"/>
      <w:pPr>
        <w:tabs>
          <w:tab w:val="num" w:pos="4320"/>
        </w:tabs>
        <w:ind w:left="4320" w:hanging="360"/>
      </w:pPr>
      <w:rPr>
        <w:rFonts w:ascii="Wingdings" w:hAnsi="Wingdings" w:hint="default"/>
      </w:rPr>
    </w:lvl>
    <w:lvl w:ilvl="6" w:tplc="C49E933E" w:tentative="1">
      <w:start w:val="1"/>
      <w:numFmt w:val="bullet"/>
      <w:lvlText w:val=""/>
      <w:lvlJc w:val="left"/>
      <w:pPr>
        <w:tabs>
          <w:tab w:val="num" w:pos="5040"/>
        </w:tabs>
        <w:ind w:left="5040" w:hanging="360"/>
      </w:pPr>
      <w:rPr>
        <w:rFonts w:ascii="Symbol" w:hAnsi="Symbol" w:hint="default"/>
      </w:rPr>
    </w:lvl>
    <w:lvl w:ilvl="7" w:tplc="508214D8" w:tentative="1">
      <w:start w:val="1"/>
      <w:numFmt w:val="bullet"/>
      <w:lvlText w:val="o"/>
      <w:lvlJc w:val="left"/>
      <w:pPr>
        <w:tabs>
          <w:tab w:val="num" w:pos="5760"/>
        </w:tabs>
        <w:ind w:left="5760" w:hanging="360"/>
      </w:pPr>
      <w:rPr>
        <w:rFonts w:ascii="Courier New" w:hAnsi="Courier New" w:hint="default"/>
      </w:rPr>
    </w:lvl>
    <w:lvl w:ilvl="8" w:tplc="EB84A3C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92DAC"/>
    <w:multiLevelType w:val="hybridMultilevel"/>
    <w:tmpl w:val="A8264FC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CB1790"/>
    <w:multiLevelType w:val="hybridMultilevel"/>
    <w:tmpl w:val="62305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D3218A"/>
    <w:multiLevelType w:val="hybridMultilevel"/>
    <w:tmpl w:val="41E2CA94"/>
    <w:lvl w:ilvl="0" w:tplc="2DC2EDBC">
      <w:start w:val="4"/>
      <w:numFmt w:val="upperLetter"/>
      <w:lvlText w:val="%1."/>
      <w:lvlJc w:val="left"/>
      <w:pPr>
        <w:ind w:left="720" w:hanging="360"/>
      </w:pPr>
      <w:rPr>
        <w:rFonts w:hint="default"/>
      </w:rPr>
    </w:lvl>
    <w:lvl w:ilvl="1" w:tplc="00D8C340" w:tentative="1">
      <w:start w:val="1"/>
      <w:numFmt w:val="lowerLetter"/>
      <w:lvlText w:val="%2."/>
      <w:lvlJc w:val="left"/>
      <w:pPr>
        <w:ind w:left="1440" w:hanging="360"/>
      </w:pPr>
    </w:lvl>
    <w:lvl w:ilvl="2" w:tplc="1488165E" w:tentative="1">
      <w:start w:val="1"/>
      <w:numFmt w:val="lowerRoman"/>
      <w:lvlText w:val="%3."/>
      <w:lvlJc w:val="right"/>
      <w:pPr>
        <w:ind w:left="2160" w:hanging="180"/>
      </w:pPr>
    </w:lvl>
    <w:lvl w:ilvl="3" w:tplc="8EA8700E" w:tentative="1">
      <w:start w:val="1"/>
      <w:numFmt w:val="decimal"/>
      <w:lvlText w:val="%4."/>
      <w:lvlJc w:val="left"/>
      <w:pPr>
        <w:ind w:left="2880" w:hanging="360"/>
      </w:pPr>
    </w:lvl>
    <w:lvl w:ilvl="4" w:tplc="687CE146" w:tentative="1">
      <w:start w:val="1"/>
      <w:numFmt w:val="lowerLetter"/>
      <w:lvlText w:val="%5."/>
      <w:lvlJc w:val="left"/>
      <w:pPr>
        <w:ind w:left="3600" w:hanging="360"/>
      </w:pPr>
    </w:lvl>
    <w:lvl w:ilvl="5" w:tplc="B4D831F2" w:tentative="1">
      <w:start w:val="1"/>
      <w:numFmt w:val="lowerRoman"/>
      <w:lvlText w:val="%6."/>
      <w:lvlJc w:val="right"/>
      <w:pPr>
        <w:ind w:left="4320" w:hanging="180"/>
      </w:pPr>
    </w:lvl>
    <w:lvl w:ilvl="6" w:tplc="9160B78C" w:tentative="1">
      <w:start w:val="1"/>
      <w:numFmt w:val="decimal"/>
      <w:lvlText w:val="%7."/>
      <w:lvlJc w:val="left"/>
      <w:pPr>
        <w:ind w:left="5040" w:hanging="360"/>
      </w:pPr>
    </w:lvl>
    <w:lvl w:ilvl="7" w:tplc="F1BC4F3C" w:tentative="1">
      <w:start w:val="1"/>
      <w:numFmt w:val="lowerLetter"/>
      <w:lvlText w:val="%8."/>
      <w:lvlJc w:val="left"/>
      <w:pPr>
        <w:ind w:left="5760" w:hanging="360"/>
      </w:pPr>
    </w:lvl>
    <w:lvl w:ilvl="8" w:tplc="4452587C" w:tentative="1">
      <w:start w:val="1"/>
      <w:numFmt w:val="lowerRoman"/>
      <w:lvlText w:val="%9."/>
      <w:lvlJc w:val="right"/>
      <w:pPr>
        <w:ind w:left="6480" w:hanging="180"/>
      </w:p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07107A"/>
    <w:multiLevelType w:val="multilevel"/>
    <w:tmpl w:val="A6E8AAA6"/>
    <w:lvl w:ilvl="0">
      <w:start w:val="4"/>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num w:numId="1" w16cid:durableId="353266038">
    <w:abstractNumId w:val="38"/>
  </w:num>
  <w:num w:numId="2" w16cid:durableId="1862206915">
    <w:abstractNumId w:val="14"/>
  </w:num>
  <w:num w:numId="3" w16cid:durableId="1054618536">
    <w:abstractNumId w:val="30"/>
  </w:num>
  <w:num w:numId="4" w16cid:durableId="318383680">
    <w:abstractNumId w:val="17"/>
  </w:num>
  <w:num w:numId="5" w16cid:durableId="187762516">
    <w:abstractNumId w:val="12"/>
  </w:num>
  <w:num w:numId="6" w16cid:durableId="431440500">
    <w:abstractNumId w:val="31"/>
  </w:num>
  <w:num w:numId="7" w16cid:durableId="818962563">
    <w:abstractNumId w:val="11"/>
  </w:num>
  <w:num w:numId="8" w16cid:durableId="1408528901">
    <w:abstractNumId w:val="22"/>
  </w:num>
  <w:num w:numId="9" w16cid:durableId="1250505421">
    <w:abstractNumId w:val="34"/>
  </w:num>
  <w:num w:numId="10" w16cid:durableId="257835773">
    <w:abstractNumId w:val="33"/>
  </w:num>
  <w:num w:numId="11" w16cid:durableId="161167708">
    <w:abstractNumId w:val="20"/>
  </w:num>
  <w:num w:numId="12" w16cid:durableId="1003633115">
    <w:abstractNumId w:val="10"/>
  </w:num>
  <w:num w:numId="13" w16cid:durableId="1763988820">
    <w:abstractNumId w:val="15"/>
  </w:num>
  <w:num w:numId="14" w16cid:durableId="386535962">
    <w:abstractNumId w:val="36"/>
  </w:num>
  <w:num w:numId="15" w16cid:durableId="1976444085">
    <w:abstractNumId w:val="13"/>
  </w:num>
  <w:num w:numId="16" w16cid:durableId="753210099">
    <w:abstractNumId w:val="37"/>
  </w:num>
  <w:num w:numId="17" w16cid:durableId="1301765458">
    <w:abstractNumId w:val="19"/>
  </w:num>
  <w:num w:numId="18" w16cid:durableId="1476217166">
    <w:abstractNumId w:val="29"/>
  </w:num>
  <w:num w:numId="19" w16cid:durableId="1876886830">
    <w:abstractNumId w:val="23"/>
  </w:num>
  <w:num w:numId="20" w16cid:durableId="2014260357">
    <w:abstractNumId w:val="27"/>
  </w:num>
  <w:num w:numId="21" w16cid:durableId="1633827687">
    <w:abstractNumId w:val="35"/>
  </w:num>
  <w:num w:numId="22" w16cid:durableId="194125096">
    <w:abstractNumId w:val="24"/>
  </w:num>
  <w:num w:numId="23" w16cid:durableId="989990259">
    <w:abstractNumId w:val="21"/>
  </w:num>
  <w:num w:numId="24" w16cid:durableId="1211302366">
    <w:abstractNumId w:val="25"/>
  </w:num>
  <w:num w:numId="25" w16cid:durableId="612977053">
    <w:abstractNumId w:val="32"/>
  </w:num>
  <w:num w:numId="26" w16cid:durableId="2123064969">
    <w:abstractNumId w:val="16"/>
  </w:num>
  <w:num w:numId="27" w16cid:durableId="1944608994">
    <w:abstractNumId w:val="26"/>
  </w:num>
  <w:num w:numId="28" w16cid:durableId="386682053">
    <w:abstractNumId w:val="9"/>
  </w:num>
  <w:num w:numId="29" w16cid:durableId="1198932688">
    <w:abstractNumId w:val="7"/>
  </w:num>
  <w:num w:numId="30" w16cid:durableId="676153199">
    <w:abstractNumId w:val="6"/>
  </w:num>
  <w:num w:numId="31" w16cid:durableId="151217462">
    <w:abstractNumId w:val="5"/>
  </w:num>
  <w:num w:numId="32" w16cid:durableId="338433416">
    <w:abstractNumId w:val="4"/>
  </w:num>
  <w:num w:numId="33" w16cid:durableId="1738280349">
    <w:abstractNumId w:val="8"/>
  </w:num>
  <w:num w:numId="34" w16cid:durableId="1821193319">
    <w:abstractNumId w:val="3"/>
  </w:num>
  <w:num w:numId="35" w16cid:durableId="1524442938">
    <w:abstractNumId w:val="2"/>
  </w:num>
  <w:num w:numId="36" w16cid:durableId="1697609620">
    <w:abstractNumId w:val="1"/>
  </w:num>
  <w:num w:numId="37" w16cid:durableId="1706250329">
    <w:abstractNumId w:val="0"/>
  </w:num>
  <w:num w:numId="38" w16cid:durableId="51974046">
    <w:abstractNumId w:val="18"/>
  </w:num>
  <w:num w:numId="39" w16cid:durableId="1566186342">
    <w:abstractNumId w:val="2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it-IT" w:vendorID="3" w:dllVersion="517" w:checkStyle="1"/>
  <w:activeWritingStyle w:appName="MSWord" w:lang="fr-FR" w:vendorID="9" w:dllVersion="512" w:checkStyle="1"/>
  <w:activeWritingStyle w:appName="MSWord" w:lang="es-ES_tradnl" w:vendorID="9" w:dllVersion="512" w:checkStyle="1"/>
  <w:activeWritingStyle w:appName="MSWord" w:lang="pl-PL" w:vendorID="12" w:dllVersion="512" w:checkStyle="1"/>
  <w:activeWritingStyle w:appName="MSWord" w:lang="nb-NO" w:vendorID="666" w:dllVersion="513" w:checkStyle="1"/>
  <w:activeWritingStyle w:appName="MSWord" w:lang="nl-NL" w:vendorID="1" w:dllVersion="512" w:checkStyle="1"/>
  <w:activeWritingStyle w:appName="MSWord" w:lang="pt-BR" w:vendorID="1" w:dllVersion="513" w:checkStyle="1"/>
  <w:activeWritingStyle w:appName="MSWord" w:lang="sv-SE" w:vendorID="0"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TRUE"/>
    <w:docVar w:name="Opened" w:val="-1"/>
    <w:docVar w:name="Registered" w:val="-1"/>
    <w:docVar w:name="ShowPrintedCheckBox" w:val="TRUE"/>
    <w:docVar w:name="ShowScreenCheckBox" w:val="TRUE"/>
    <w:docVar w:name="vault_nd_0ba59d38-8322-40b1-ab01-cc849c509339" w:val=" "/>
    <w:docVar w:name="vault_nd_11d2efe1-1c29-4110-9e74-14ddbe16b3aa" w:val=" "/>
    <w:docVar w:name="vault_nd_11f8f6ad-8706-42a3-bb3d-c7e5be9ce249" w:val=" "/>
    <w:docVar w:name="vault_nd_175fd1f4-4be3-4bd5-829d-3e1afd23e71e" w:val=" "/>
    <w:docVar w:name="VAULT_ND_182c24bf-8a49-4745-a40e-076e930adf55" w:val=" "/>
    <w:docVar w:name="vault_nd_1f472444-89e3-4e0e-819c-ae772cb13006" w:val=" "/>
    <w:docVar w:name="VAULT_ND_1fa4662b-f0ae-4699-9e2b-597c11481202" w:val=" "/>
    <w:docVar w:name="VAULT_ND_21cfe538-93b9-4e04-bce8-3a68089389e7" w:val=" "/>
    <w:docVar w:name="VAULT_ND_22bb07f2-2f69-4deb-90ac-1666ebfee2f0" w:val=" "/>
    <w:docVar w:name="VAULT_ND_2450f32d-32c8-4db6-9a27-d0ffdfbbf5f9" w:val=" "/>
    <w:docVar w:name="VAULT_ND_247717a8-c9bd-4156-b631-137293081356" w:val=" "/>
    <w:docVar w:name="VAULT_ND_24f7744c-c527-4074-bcf7-d9321e30d6a7" w:val=" "/>
    <w:docVar w:name="vault_nd_26b8d85e-e83c-4d15-b1d0-8204dabf87d3" w:val=" "/>
    <w:docVar w:name="vault_nd_27164ae1-ded4-44de-b87f-46d9131145ef" w:val=" "/>
    <w:docVar w:name="vault_nd_30216a5e-35a1-4726-9ed3-051bd7e1682a" w:val=" "/>
    <w:docVar w:name="vault_nd_3141f4fd-d070-4bf5-a887-ab371a46760b" w:val=" "/>
    <w:docVar w:name="VAULT_ND_33edaecc-7f9c-4bf3-94cc-7b4dda5b33c1" w:val=" "/>
    <w:docVar w:name="vault_nd_343f2579-08fd-4b20-b957-f1677f3d788c" w:val=" "/>
    <w:docVar w:name="vault_nd_34a65321-388b-4405-b2a5-1eb6267b8d17" w:val=" "/>
    <w:docVar w:name="VAULT_ND_371f34c9-e141-4012-847b-e690961e31d8" w:val=" "/>
    <w:docVar w:name="VAULT_ND_384dbbd0-99a3-437d-9598-039bc5145bc4" w:val=" "/>
    <w:docVar w:name="vault_nd_435c04bd-c566-4422-acff-223c6bfa96ea" w:val=" "/>
    <w:docVar w:name="VAULT_ND_4f5ff8b5-09a3-45da-9cf7-60653fc13cff" w:val=" "/>
    <w:docVar w:name="vault_nd_5128e849-de9b-498c-a86e-803d1ee73d3b" w:val=" "/>
    <w:docVar w:name="vault_nd_512b35c9-ceee-408a-9fd6-09ae3fe20aa2" w:val=" "/>
    <w:docVar w:name="vault_nd_53256c6f-0004-41ab-a412-7e57383ce577" w:val=" "/>
    <w:docVar w:name="vault_nd_56631b8f-e727-4010-b8f2-c886868b14ba" w:val=" "/>
    <w:docVar w:name="vault_nd_568a4f26-8882-4163-bbd7-481d9db0143d" w:val=" "/>
    <w:docVar w:name="vault_nd_626475d1-e395-43a8-85aa-98e5d03979ea" w:val=" "/>
    <w:docVar w:name="vault_nd_66d85444-450b-4f8b-b53e-ecca3ccf894c" w:val=" "/>
    <w:docVar w:name="vault_nd_6833ffdd-08b7-47e1-9a97-11a0a3b23b5e" w:val=" "/>
    <w:docVar w:name="VAULT_ND_6bc25347-7105-4bc4-b621-314260b839b7" w:val=" "/>
    <w:docVar w:name="VAULT_ND_6beb9bc3-7367-4737-938e-aa4061b09275" w:val=" "/>
    <w:docVar w:name="vault_nd_6f7ed02d-f256-430e-9437-d7c507c7f449" w:val=" "/>
    <w:docVar w:name="vault_nd_70fef432-b3a4-4389-a3d5-f412b46bb144" w:val=" "/>
    <w:docVar w:name="vault_nd_736e3730-8771-40d8-b449-ff616d4375c3" w:val=" "/>
    <w:docVar w:name="vault_nd_73bb34e7-1dce-4a3b-bc50-9e14fab1a976" w:val=" "/>
    <w:docVar w:name="VAULT_ND_74309e7d-3d1d-4674-8822-44b51f5f5550" w:val=" "/>
    <w:docVar w:name="vault_nd_80f92db7-4819-4828-8971-d4c55365d878" w:val=" "/>
    <w:docVar w:name="vault_nd_82528adb-cd8a-4105-a9db-d13966231469" w:val=" "/>
    <w:docVar w:name="vault_nd_82a7f73e-ee91-4efa-80e2-447f4e45a0cf" w:val=" "/>
    <w:docVar w:name="vault_nd_835c4fe7-615e-403e-a0a2-d2e9683b92ef" w:val=" "/>
    <w:docVar w:name="vault_nd_83cd6142-5905-42a9-8f8c-295191e08076" w:val=" "/>
    <w:docVar w:name="vault_nd_88af6584-d0e8-4b41-8ae1-51b1f47696b8" w:val=" "/>
    <w:docVar w:name="vault_nd_8a7d5794-ddbc-463a-b600-3b6c190a7778" w:val=" "/>
    <w:docVar w:name="VAULT_ND_8d8bea45-736a-44d4-ad46-1549a3bd8e2c" w:val=" "/>
    <w:docVar w:name="vault_nd_8f23195d-ea12-4c7f-898b-9acea306d63a" w:val=" "/>
    <w:docVar w:name="vault_nd_93580d6e-f4e3-4a47-9d4a-f9d5c7134abe" w:val=" "/>
    <w:docVar w:name="vault_nd_94f209a5-27d9-4ac6-984e-02cec318d7d7" w:val=" "/>
    <w:docVar w:name="VAULT_ND_97128f65-baaa-439d-b527-b3119ea559ce" w:val=" "/>
    <w:docVar w:name="vault_nd_9db212b9-d634-4d55-8bf0-25f914b79d86" w:val=" "/>
    <w:docVar w:name="vault_nd_9f76122a-19f1-48df-bb9e-b2664171e2b3" w:val=" "/>
    <w:docVar w:name="VAULT_ND_a12899df-e364-4c46-9ad4-35da0823140d" w:val=" "/>
    <w:docVar w:name="vault_nd_a3321a9f-c36c-4d89-881c-39be17545f70" w:val=" "/>
    <w:docVar w:name="vault_nd_ab27ef9d-f89e-440f-8b4e-e686712f71a5" w:val=" "/>
    <w:docVar w:name="vault_nd_b42c968d-e390-4366-a576-745c23435757" w:val=" "/>
    <w:docVar w:name="vault_nd_ba300d59-be4f-4d60-a71a-3743d53fb247" w:val=" "/>
    <w:docVar w:name="vault_nd_bab6ac4c-9a77-4357-832b-2e2dd2ae730f" w:val=" "/>
    <w:docVar w:name="VAULT_ND_bf5c164a-e97d-4903-a747-a3f42bf666e0" w:val=" "/>
    <w:docVar w:name="vault_nd_c87c7045-eae5-4bb3-8ef2-aef9d3f4b66a" w:val=" "/>
    <w:docVar w:name="VAULT_ND_caff24dd-1e30-4372-ab8e-b32e706bfbe8" w:val=" "/>
    <w:docVar w:name="VAULT_ND_d7e9c676-3229-4812-9d3d-9943e946a50e" w:val=" "/>
    <w:docVar w:name="vault_nd_e292e5b6-9f30-4411-b4a6-47de79d27d45" w:val=" "/>
    <w:docVar w:name="VAULT_ND_e47da33e-ac53-4c16-a98a-f60a04635d2f" w:val=" "/>
    <w:docVar w:name="vault_nd_e681d996-1386-4a88-a97f-44f682ea7dc4" w:val=" "/>
    <w:docVar w:name="vault_nd_e794fa3d-d56d-477e-b2f9-beeccc337281" w:val=" "/>
    <w:docVar w:name="vault_nd_eb870df7-32ab-4f2d-9d47-86e61063a16f" w:val=" "/>
    <w:docVar w:name="vault_nd_edb1f30a-2385-4b72-acea-f8fd4a28069e" w:val=" "/>
    <w:docVar w:name="vault_nd_eec55092-a67a-4883-a2f0-3c5d8791f352" w:val=" "/>
    <w:docVar w:name="VAULT_ND_eed7ef79-ddc9-4a99-a7b2-a9431bb99035" w:val=" "/>
    <w:docVar w:name="VAULT_ND_f1981341-1ef6-4442-b794-be69639ba62f" w:val=" "/>
    <w:docVar w:name="vault_nd_f8a02c62-7a67-4114-baac-909653859226" w:val=" "/>
    <w:docVar w:name="VAULT_ND_fd16730c-f7aa-4007-ad7a-4014a9e49686" w:val=" "/>
    <w:docVar w:name="vault_nd_fe9e60e6-57d4-4f0b-96be-be073d543732" w:val=" "/>
    <w:docVar w:name="VAULT_ND_ff322c80-0f11-4ec0-892c-8c1ff6634e1f" w:val=" "/>
    <w:docVar w:name="Version" w:val="0"/>
  </w:docVars>
  <w:rsids>
    <w:rsidRoot w:val="009013F7"/>
    <w:rsid w:val="0000184F"/>
    <w:rsid w:val="00004C4D"/>
    <w:rsid w:val="00011337"/>
    <w:rsid w:val="00011520"/>
    <w:rsid w:val="000116E6"/>
    <w:rsid w:val="00011818"/>
    <w:rsid w:val="00012CF5"/>
    <w:rsid w:val="0001346B"/>
    <w:rsid w:val="00013F5A"/>
    <w:rsid w:val="00015388"/>
    <w:rsid w:val="00015C03"/>
    <w:rsid w:val="00016B42"/>
    <w:rsid w:val="000203E6"/>
    <w:rsid w:val="00021246"/>
    <w:rsid w:val="00026D67"/>
    <w:rsid w:val="0003045D"/>
    <w:rsid w:val="00030D98"/>
    <w:rsid w:val="00033C15"/>
    <w:rsid w:val="00033E08"/>
    <w:rsid w:val="00033F2F"/>
    <w:rsid w:val="00037A93"/>
    <w:rsid w:val="000400E8"/>
    <w:rsid w:val="00041517"/>
    <w:rsid w:val="0004399F"/>
    <w:rsid w:val="00045580"/>
    <w:rsid w:val="00051276"/>
    <w:rsid w:val="000560D3"/>
    <w:rsid w:val="000567AE"/>
    <w:rsid w:val="0006029A"/>
    <w:rsid w:val="00060663"/>
    <w:rsid w:val="00062879"/>
    <w:rsid w:val="00064462"/>
    <w:rsid w:val="00065450"/>
    <w:rsid w:val="00065513"/>
    <w:rsid w:val="000724ED"/>
    <w:rsid w:val="00073C7D"/>
    <w:rsid w:val="00081DFB"/>
    <w:rsid w:val="00090EBD"/>
    <w:rsid w:val="0009105D"/>
    <w:rsid w:val="000932FE"/>
    <w:rsid w:val="000933DE"/>
    <w:rsid w:val="000950E1"/>
    <w:rsid w:val="000966AE"/>
    <w:rsid w:val="00096A73"/>
    <w:rsid w:val="000A271C"/>
    <w:rsid w:val="000A59C7"/>
    <w:rsid w:val="000B10CF"/>
    <w:rsid w:val="000B12BE"/>
    <w:rsid w:val="000B1873"/>
    <w:rsid w:val="000B219A"/>
    <w:rsid w:val="000B2FF9"/>
    <w:rsid w:val="000B3620"/>
    <w:rsid w:val="000B6E01"/>
    <w:rsid w:val="000C3485"/>
    <w:rsid w:val="000C37BA"/>
    <w:rsid w:val="000C3E14"/>
    <w:rsid w:val="000C404E"/>
    <w:rsid w:val="000C4B45"/>
    <w:rsid w:val="000C6681"/>
    <w:rsid w:val="000D1A80"/>
    <w:rsid w:val="000D2672"/>
    <w:rsid w:val="000D458C"/>
    <w:rsid w:val="000D5DD2"/>
    <w:rsid w:val="000D6F17"/>
    <w:rsid w:val="000E0231"/>
    <w:rsid w:val="000E2310"/>
    <w:rsid w:val="000E57BE"/>
    <w:rsid w:val="000E59D2"/>
    <w:rsid w:val="000F38BD"/>
    <w:rsid w:val="000F4002"/>
    <w:rsid w:val="000F517E"/>
    <w:rsid w:val="000F7BF9"/>
    <w:rsid w:val="00100311"/>
    <w:rsid w:val="001023CC"/>
    <w:rsid w:val="00102BBB"/>
    <w:rsid w:val="001117F3"/>
    <w:rsid w:val="001128D8"/>
    <w:rsid w:val="00113478"/>
    <w:rsid w:val="0011349E"/>
    <w:rsid w:val="00117CA3"/>
    <w:rsid w:val="00123500"/>
    <w:rsid w:val="00125E70"/>
    <w:rsid w:val="00127362"/>
    <w:rsid w:val="00127473"/>
    <w:rsid w:val="00134053"/>
    <w:rsid w:val="001351F8"/>
    <w:rsid w:val="00135D23"/>
    <w:rsid w:val="001365F5"/>
    <w:rsid w:val="001435C4"/>
    <w:rsid w:val="00144BBE"/>
    <w:rsid w:val="00145B26"/>
    <w:rsid w:val="0014646E"/>
    <w:rsid w:val="00153881"/>
    <w:rsid w:val="00153BC3"/>
    <w:rsid w:val="001541B4"/>
    <w:rsid w:val="001548E6"/>
    <w:rsid w:val="00164373"/>
    <w:rsid w:val="001657BE"/>
    <w:rsid w:val="00165879"/>
    <w:rsid w:val="00165893"/>
    <w:rsid w:val="001666F1"/>
    <w:rsid w:val="00166C7B"/>
    <w:rsid w:val="00167071"/>
    <w:rsid w:val="0017227F"/>
    <w:rsid w:val="00173B5D"/>
    <w:rsid w:val="0017554C"/>
    <w:rsid w:val="0017736E"/>
    <w:rsid w:val="00182AD4"/>
    <w:rsid w:val="00182D99"/>
    <w:rsid w:val="00183579"/>
    <w:rsid w:val="00185457"/>
    <w:rsid w:val="00186DDB"/>
    <w:rsid w:val="00195580"/>
    <w:rsid w:val="00197953"/>
    <w:rsid w:val="001979B1"/>
    <w:rsid w:val="001A13B1"/>
    <w:rsid w:val="001A2F6D"/>
    <w:rsid w:val="001A5B73"/>
    <w:rsid w:val="001B38C0"/>
    <w:rsid w:val="001B395E"/>
    <w:rsid w:val="001B4422"/>
    <w:rsid w:val="001B5A94"/>
    <w:rsid w:val="001B657B"/>
    <w:rsid w:val="001B72C9"/>
    <w:rsid w:val="001C059F"/>
    <w:rsid w:val="001C0622"/>
    <w:rsid w:val="001C1357"/>
    <w:rsid w:val="001C1529"/>
    <w:rsid w:val="001C4254"/>
    <w:rsid w:val="001C66E3"/>
    <w:rsid w:val="001D1D7C"/>
    <w:rsid w:val="001D3BAD"/>
    <w:rsid w:val="001D3E94"/>
    <w:rsid w:val="001E2A87"/>
    <w:rsid w:val="001E4210"/>
    <w:rsid w:val="001E440F"/>
    <w:rsid w:val="001E676A"/>
    <w:rsid w:val="001F0CFB"/>
    <w:rsid w:val="001F146E"/>
    <w:rsid w:val="001F17F5"/>
    <w:rsid w:val="001F5C61"/>
    <w:rsid w:val="001F6BE0"/>
    <w:rsid w:val="001F78E8"/>
    <w:rsid w:val="0020172E"/>
    <w:rsid w:val="00203AF8"/>
    <w:rsid w:val="0020617D"/>
    <w:rsid w:val="002127BA"/>
    <w:rsid w:val="0021282F"/>
    <w:rsid w:val="0021594F"/>
    <w:rsid w:val="00216C71"/>
    <w:rsid w:val="002177AC"/>
    <w:rsid w:val="00223A7D"/>
    <w:rsid w:val="0022561D"/>
    <w:rsid w:val="00225A7F"/>
    <w:rsid w:val="00225D05"/>
    <w:rsid w:val="00227F80"/>
    <w:rsid w:val="00230124"/>
    <w:rsid w:val="00230A07"/>
    <w:rsid w:val="00235108"/>
    <w:rsid w:val="00236D8B"/>
    <w:rsid w:val="002373AA"/>
    <w:rsid w:val="002405DF"/>
    <w:rsid w:val="0024365E"/>
    <w:rsid w:val="002455F2"/>
    <w:rsid w:val="00254758"/>
    <w:rsid w:val="00255638"/>
    <w:rsid w:val="00257F73"/>
    <w:rsid w:val="002601FB"/>
    <w:rsid w:val="00262865"/>
    <w:rsid w:val="00262B20"/>
    <w:rsid w:val="002630CC"/>
    <w:rsid w:val="00265997"/>
    <w:rsid w:val="00266700"/>
    <w:rsid w:val="00266FE5"/>
    <w:rsid w:val="002701ED"/>
    <w:rsid w:val="002725E3"/>
    <w:rsid w:val="002742B4"/>
    <w:rsid w:val="00274FCE"/>
    <w:rsid w:val="00284292"/>
    <w:rsid w:val="00287D21"/>
    <w:rsid w:val="00295C4D"/>
    <w:rsid w:val="00295ED9"/>
    <w:rsid w:val="00297AC5"/>
    <w:rsid w:val="002A2CF3"/>
    <w:rsid w:val="002A33E1"/>
    <w:rsid w:val="002A3D7B"/>
    <w:rsid w:val="002A4233"/>
    <w:rsid w:val="002B0711"/>
    <w:rsid w:val="002B2A5C"/>
    <w:rsid w:val="002B3F76"/>
    <w:rsid w:val="002B4104"/>
    <w:rsid w:val="002B5551"/>
    <w:rsid w:val="002B6B67"/>
    <w:rsid w:val="002C03DA"/>
    <w:rsid w:val="002C0C7F"/>
    <w:rsid w:val="002C1EA6"/>
    <w:rsid w:val="002C330E"/>
    <w:rsid w:val="002C52B0"/>
    <w:rsid w:val="002C575E"/>
    <w:rsid w:val="002C5974"/>
    <w:rsid w:val="002C59FC"/>
    <w:rsid w:val="002C61BE"/>
    <w:rsid w:val="002C6546"/>
    <w:rsid w:val="002C7EE7"/>
    <w:rsid w:val="002D06B3"/>
    <w:rsid w:val="002D3D0F"/>
    <w:rsid w:val="002D5F91"/>
    <w:rsid w:val="002E0029"/>
    <w:rsid w:val="002E1E7B"/>
    <w:rsid w:val="002E1FFB"/>
    <w:rsid w:val="002F1985"/>
    <w:rsid w:val="002F1EAD"/>
    <w:rsid w:val="002F5E04"/>
    <w:rsid w:val="002F6372"/>
    <w:rsid w:val="002F6B5C"/>
    <w:rsid w:val="00300FCD"/>
    <w:rsid w:val="0030223C"/>
    <w:rsid w:val="003024A5"/>
    <w:rsid w:val="003028CB"/>
    <w:rsid w:val="003028DA"/>
    <w:rsid w:val="00302F0D"/>
    <w:rsid w:val="003031D8"/>
    <w:rsid w:val="00303722"/>
    <w:rsid w:val="00303AF7"/>
    <w:rsid w:val="00304AEC"/>
    <w:rsid w:val="003054D5"/>
    <w:rsid w:val="003055C4"/>
    <w:rsid w:val="00307EAF"/>
    <w:rsid w:val="00310880"/>
    <w:rsid w:val="00310C8F"/>
    <w:rsid w:val="003111C6"/>
    <w:rsid w:val="003119C5"/>
    <w:rsid w:val="0031674A"/>
    <w:rsid w:val="003273B5"/>
    <w:rsid w:val="00330822"/>
    <w:rsid w:val="00330888"/>
    <w:rsid w:val="00330D7F"/>
    <w:rsid w:val="00332E7B"/>
    <w:rsid w:val="0033449E"/>
    <w:rsid w:val="003356ED"/>
    <w:rsid w:val="003371DE"/>
    <w:rsid w:val="00341228"/>
    <w:rsid w:val="0034129A"/>
    <w:rsid w:val="00341D77"/>
    <w:rsid w:val="00347078"/>
    <w:rsid w:val="00351453"/>
    <w:rsid w:val="00351BB5"/>
    <w:rsid w:val="00351CD7"/>
    <w:rsid w:val="0035412B"/>
    <w:rsid w:val="00354F4C"/>
    <w:rsid w:val="0035574F"/>
    <w:rsid w:val="00355AD7"/>
    <w:rsid w:val="003575F8"/>
    <w:rsid w:val="003607C8"/>
    <w:rsid w:val="003639FA"/>
    <w:rsid w:val="00363AD0"/>
    <w:rsid w:val="00365F78"/>
    <w:rsid w:val="0036798A"/>
    <w:rsid w:val="003719A5"/>
    <w:rsid w:val="00372432"/>
    <w:rsid w:val="00372EAE"/>
    <w:rsid w:val="00376064"/>
    <w:rsid w:val="00376768"/>
    <w:rsid w:val="00376939"/>
    <w:rsid w:val="00382E38"/>
    <w:rsid w:val="00383AA6"/>
    <w:rsid w:val="00383F9F"/>
    <w:rsid w:val="003919F3"/>
    <w:rsid w:val="00392F80"/>
    <w:rsid w:val="00393214"/>
    <w:rsid w:val="00397E47"/>
    <w:rsid w:val="003A16EA"/>
    <w:rsid w:val="003A34BA"/>
    <w:rsid w:val="003A776D"/>
    <w:rsid w:val="003B3563"/>
    <w:rsid w:val="003B3DDC"/>
    <w:rsid w:val="003B54AF"/>
    <w:rsid w:val="003B6CDE"/>
    <w:rsid w:val="003B7A90"/>
    <w:rsid w:val="003C1C53"/>
    <w:rsid w:val="003C65DD"/>
    <w:rsid w:val="003D4FEE"/>
    <w:rsid w:val="003E0A32"/>
    <w:rsid w:val="003E1330"/>
    <w:rsid w:val="003E2151"/>
    <w:rsid w:val="003E33FD"/>
    <w:rsid w:val="003F11C1"/>
    <w:rsid w:val="003F1A29"/>
    <w:rsid w:val="003F1B53"/>
    <w:rsid w:val="003F57AF"/>
    <w:rsid w:val="00400ABC"/>
    <w:rsid w:val="00400F57"/>
    <w:rsid w:val="0041160F"/>
    <w:rsid w:val="00413D08"/>
    <w:rsid w:val="00414897"/>
    <w:rsid w:val="00414CA9"/>
    <w:rsid w:val="00417A6B"/>
    <w:rsid w:val="00420634"/>
    <w:rsid w:val="0042077D"/>
    <w:rsid w:val="004241EB"/>
    <w:rsid w:val="00425744"/>
    <w:rsid w:val="004304E5"/>
    <w:rsid w:val="00432182"/>
    <w:rsid w:val="00432793"/>
    <w:rsid w:val="00435D72"/>
    <w:rsid w:val="004370B5"/>
    <w:rsid w:val="00437244"/>
    <w:rsid w:val="00442333"/>
    <w:rsid w:val="00445476"/>
    <w:rsid w:val="00447EA4"/>
    <w:rsid w:val="00447F27"/>
    <w:rsid w:val="004515D8"/>
    <w:rsid w:val="00457DE7"/>
    <w:rsid w:val="00460397"/>
    <w:rsid w:val="00462A49"/>
    <w:rsid w:val="004651D4"/>
    <w:rsid w:val="00465666"/>
    <w:rsid w:val="00466A6E"/>
    <w:rsid w:val="00466F97"/>
    <w:rsid w:val="0047373B"/>
    <w:rsid w:val="004746EF"/>
    <w:rsid w:val="004755A4"/>
    <w:rsid w:val="00483728"/>
    <w:rsid w:val="00483C24"/>
    <w:rsid w:val="00490E01"/>
    <w:rsid w:val="00491358"/>
    <w:rsid w:val="004943D3"/>
    <w:rsid w:val="0049528A"/>
    <w:rsid w:val="004953DF"/>
    <w:rsid w:val="004955F7"/>
    <w:rsid w:val="004A0FBC"/>
    <w:rsid w:val="004A3638"/>
    <w:rsid w:val="004A4E88"/>
    <w:rsid w:val="004A7D21"/>
    <w:rsid w:val="004B0B9F"/>
    <w:rsid w:val="004B38F9"/>
    <w:rsid w:val="004B62EA"/>
    <w:rsid w:val="004B7D5C"/>
    <w:rsid w:val="004C0B04"/>
    <w:rsid w:val="004C101C"/>
    <w:rsid w:val="004C1F18"/>
    <w:rsid w:val="004C3F00"/>
    <w:rsid w:val="004C5683"/>
    <w:rsid w:val="004D02BA"/>
    <w:rsid w:val="004D03BC"/>
    <w:rsid w:val="004D2B45"/>
    <w:rsid w:val="004D4E6E"/>
    <w:rsid w:val="004D5F54"/>
    <w:rsid w:val="004D6F25"/>
    <w:rsid w:val="004D7BF4"/>
    <w:rsid w:val="004E38B5"/>
    <w:rsid w:val="004E52D8"/>
    <w:rsid w:val="004E6007"/>
    <w:rsid w:val="004F10C1"/>
    <w:rsid w:val="004F4559"/>
    <w:rsid w:val="004F4C0A"/>
    <w:rsid w:val="004F58F4"/>
    <w:rsid w:val="004F65F4"/>
    <w:rsid w:val="00500A5C"/>
    <w:rsid w:val="0050191A"/>
    <w:rsid w:val="00507C54"/>
    <w:rsid w:val="00510CCC"/>
    <w:rsid w:val="00514251"/>
    <w:rsid w:val="00517147"/>
    <w:rsid w:val="005175C2"/>
    <w:rsid w:val="00520945"/>
    <w:rsid w:val="00522ED1"/>
    <w:rsid w:val="005231A1"/>
    <w:rsid w:val="00524C00"/>
    <w:rsid w:val="00524C47"/>
    <w:rsid w:val="00526D69"/>
    <w:rsid w:val="005274F6"/>
    <w:rsid w:val="0053096D"/>
    <w:rsid w:val="00531F83"/>
    <w:rsid w:val="00532361"/>
    <w:rsid w:val="00533872"/>
    <w:rsid w:val="00533BB7"/>
    <w:rsid w:val="00533BC8"/>
    <w:rsid w:val="00534653"/>
    <w:rsid w:val="005348DC"/>
    <w:rsid w:val="00534A7E"/>
    <w:rsid w:val="005410C7"/>
    <w:rsid w:val="005416CA"/>
    <w:rsid w:val="0054237B"/>
    <w:rsid w:val="00542CDA"/>
    <w:rsid w:val="0054321E"/>
    <w:rsid w:val="00544DF7"/>
    <w:rsid w:val="00546551"/>
    <w:rsid w:val="00546B85"/>
    <w:rsid w:val="00551A3E"/>
    <w:rsid w:val="005527C1"/>
    <w:rsid w:val="005528D0"/>
    <w:rsid w:val="00552ABC"/>
    <w:rsid w:val="0055313A"/>
    <w:rsid w:val="00553276"/>
    <w:rsid w:val="005544B4"/>
    <w:rsid w:val="00560B23"/>
    <w:rsid w:val="005614EE"/>
    <w:rsid w:val="00561813"/>
    <w:rsid w:val="005622CC"/>
    <w:rsid w:val="005626ED"/>
    <w:rsid w:val="005656A6"/>
    <w:rsid w:val="00565AD8"/>
    <w:rsid w:val="00566ADA"/>
    <w:rsid w:val="00566E61"/>
    <w:rsid w:val="005670D2"/>
    <w:rsid w:val="0056729F"/>
    <w:rsid w:val="00570643"/>
    <w:rsid w:val="00570A01"/>
    <w:rsid w:val="005711E7"/>
    <w:rsid w:val="005712AF"/>
    <w:rsid w:val="0057512C"/>
    <w:rsid w:val="00577D0D"/>
    <w:rsid w:val="005806A4"/>
    <w:rsid w:val="00583545"/>
    <w:rsid w:val="0058602A"/>
    <w:rsid w:val="00586BB4"/>
    <w:rsid w:val="005873F3"/>
    <w:rsid w:val="00593556"/>
    <w:rsid w:val="005937BB"/>
    <w:rsid w:val="0059676A"/>
    <w:rsid w:val="005A1AB4"/>
    <w:rsid w:val="005A1F42"/>
    <w:rsid w:val="005A774F"/>
    <w:rsid w:val="005B0D6C"/>
    <w:rsid w:val="005B214A"/>
    <w:rsid w:val="005B24CE"/>
    <w:rsid w:val="005B70D4"/>
    <w:rsid w:val="005C1916"/>
    <w:rsid w:val="005C26B3"/>
    <w:rsid w:val="005C51AE"/>
    <w:rsid w:val="005C5C55"/>
    <w:rsid w:val="005C7433"/>
    <w:rsid w:val="005C7BE9"/>
    <w:rsid w:val="005D1624"/>
    <w:rsid w:val="005D3E9F"/>
    <w:rsid w:val="005E1C7A"/>
    <w:rsid w:val="005E3B6A"/>
    <w:rsid w:val="005E4DE5"/>
    <w:rsid w:val="005E542E"/>
    <w:rsid w:val="005F1458"/>
    <w:rsid w:val="005F5FCB"/>
    <w:rsid w:val="005F78A7"/>
    <w:rsid w:val="00601679"/>
    <w:rsid w:val="00603EA0"/>
    <w:rsid w:val="0060737E"/>
    <w:rsid w:val="006074EC"/>
    <w:rsid w:val="00610643"/>
    <w:rsid w:val="006106B5"/>
    <w:rsid w:val="006108FC"/>
    <w:rsid w:val="00610F91"/>
    <w:rsid w:val="00614227"/>
    <w:rsid w:val="00614CD3"/>
    <w:rsid w:val="00622343"/>
    <w:rsid w:val="00623D97"/>
    <w:rsid w:val="00626827"/>
    <w:rsid w:val="006269CE"/>
    <w:rsid w:val="00630C65"/>
    <w:rsid w:val="00631BC4"/>
    <w:rsid w:val="00633B87"/>
    <w:rsid w:val="006365B2"/>
    <w:rsid w:val="00636952"/>
    <w:rsid w:val="0064123E"/>
    <w:rsid w:val="00641D24"/>
    <w:rsid w:val="00642AE0"/>
    <w:rsid w:val="0065197A"/>
    <w:rsid w:val="00651C14"/>
    <w:rsid w:val="00652B83"/>
    <w:rsid w:val="00655589"/>
    <w:rsid w:val="006559A2"/>
    <w:rsid w:val="006572C7"/>
    <w:rsid w:val="006604B3"/>
    <w:rsid w:val="00662509"/>
    <w:rsid w:val="00667EF3"/>
    <w:rsid w:val="00671DB8"/>
    <w:rsid w:val="00671E79"/>
    <w:rsid w:val="0067380E"/>
    <w:rsid w:val="006755C7"/>
    <w:rsid w:val="00675D70"/>
    <w:rsid w:val="00675E21"/>
    <w:rsid w:val="00676210"/>
    <w:rsid w:val="006765E7"/>
    <w:rsid w:val="00680EB7"/>
    <w:rsid w:val="0068525B"/>
    <w:rsid w:val="00686D55"/>
    <w:rsid w:val="006927F1"/>
    <w:rsid w:val="006932B9"/>
    <w:rsid w:val="00696C8C"/>
    <w:rsid w:val="006A0696"/>
    <w:rsid w:val="006A0712"/>
    <w:rsid w:val="006A1F2F"/>
    <w:rsid w:val="006A4A96"/>
    <w:rsid w:val="006A6D6D"/>
    <w:rsid w:val="006B1FBE"/>
    <w:rsid w:val="006B4AAE"/>
    <w:rsid w:val="006B4CC5"/>
    <w:rsid w:val="006B6011"/>
    <w:rsid w:val="006B74FC"/>
    <w:rsid w:val="006C04AA"/>
    <w:rsid w:val="006C0B72"/>
    <w:rsid w:val="006C284C"/>
    <w:rsid w:val="006C2D14"/>
    <w:rsid w:val="006C4C7B"/>
    <w:rsid w:val="006C63D4"/>
    <w:rsid w:val="006D00C3"/>
    <w:rsid w:val="006D43B1"/>
    <w:rsid w:val="006D7875"/>
    <w:rsid w:val="006D7A1C"/>
    <w:rsid w:val="006E0905"/>
    <w:rsid w:val="006E1AD1"/>
    <w:rsid w:val="006E2CDE"/>
    <w:rsid w:val="006E40B1"/>
    <w:rsid w:val="006E443D"/>
    <w:rsid w:val="006E4AA1"/>
    <w:rsid w:val="006F0E47"/>
    <w:rsid w:val="006F10A5"/>
    <w:rsid w:val="006F341F"/>
    <w:rsid w:val="006F379E"/>
    <w:rsid w:val="00704464"/>
    <w:rsid w:val="00705BA4"/>
    <w:rsid w:val="00706D6D"/>
    <w:rsid w:val="007115CF"/>
    <w:rsid w:val="00711D60"/>
    <w:rsid w:val="007137D2"/>
    <w:rsid w:val="00714477"/>
    <w:rsid w:val="00721816"/>
    <w:rsid w:val="00723F02"/>
    <w:rsid w:val="0073552C"/>
    <w:rsid w:val="00735F21"/>
    <w:rsid w:val="00737092"/>
    <w:rsid w:val="00740C89"/>
    <w:rsid w:val="00742480"/>
    <w:rsid w:val="007425F1"/>
    <w:rsid w:val="00745F10"/>
    <w:rsid w:val="00746D53"/>
    <w:rsid w:val="007472F3"/>
    <w:rsid w:val="00747451"/>
    <w:rsid w:val="00747EC8"/>
    <w:rsid w:val="007501FA"/>
    <w:rsid w:val="007533AB"/>
    <w:rsid w:val="00753B6F"/>
    <w:rsid w:val="00766803"/>
    <w:rsid w:val="00766E9F"/>
    <w:rsid w:val="007672A5"/>
    <w:rsid w:val="00770CD2"/>
    <w:rsid w:val="0077199F"/>
    <w:rsid w:val="0078008C"/>
    <w:rsid w:val="00782628"/>
    <w:rsid w:val="0078296B"/>
    <w:rsid w:val="00783CAC"/>
    <w:rsid w:val="00783DCA"/>
    <w:rsid w:val="0079256C"/>
    <w:rsid w:val="00792C44"/>
    <w:rsid w:val="00793874"/>
    <w:rsid w:val="00793BBF"/>
    <w:rsid w:val="007952AF"/>
    <w:rsid w:val="00796BB4"/>
    <w:rsid w:val="007A0C83"/>
    <w:rsid w:val="007A5644"/>
    <w:rsid w:val="007A5E20"/>
    <w:rsid w:val="007A65A6"/>
    <w:rsid w:val="007B162A"/>
    <w:rsid w:val="007B16C4"/>
    <w:rsid w:val="007B24D8"/>
    <w:rsid w:val="007B2B64"/>
    <w:rsid w:val="007B3440"/>
    <w:rsid w:val="007B6FEF"/>
    <w:rsid w:val="007C21C2"/>
    <w:rsid w:val="007C2520"/>
    <w:rsid w:val="007D15F0"/>
    <w:rsid w:val="007D4971"/>
    <w:rsid w:val="007D601C"/>
    <w:rsid w:val="007E3184"/>
    <w:rsid w:val="007E35FB"/>
    <w:rsid w:val="007E4F9A"/>
    <w:rsid w:val="007E6504"/>
    <w:rsid w:val="007E7F1A"/>
    <w:rsid w:val="007F0513"/>
    <w:rsid w:val="007F42CF"/>
    <w:rsid w:val="007F5951"/>
    <w:rsid w:val="007F72C3"/>
    <w:rsid w:val="00801292"/>
    <w:rsid w:val="00801300"/>
    <w:rsid w:val="008015AC"/>
    <w:rsid w:val="00802E2B"/>
    <w:rsid w:val="0080359D"/>
    <w:rsid w:val="00811D51"/>
    <w:rsid w:val="008169AA"/>
    <w:rsid w:val="008244EA"/>
    <w:rsid w:val="008248DD"/>
    <w:rsid w:val="00824D2E"/>
    <w:rsid w:val="00826F46"/>
    <w:rsid w:val="00827746"/>
    <w:rsid w:val="008304B3"/>
    <w:rsid w:val="00834D73"/>
    <w:rsid w:val="00836A93"/>
    <w:rsid w:val="00836DE3"/>
    <w:rsid w:val="008417E3"/>
    <w:rsid w:val="00842EB6"/>
    <w:rsid w:val="0084378B"/>
    <w:rsid w:val="0084478A"/>
    <w:rsid w:val="0084510B"/>
    <w:rsid w:val="008476F6"/>
    <w:rsid w:val="00852A5A"/>
    <w:rsid w:val="008533A7"/>
    <w:rsid w:val="008552A6"/>
    <w:rsid w:val="00856DC2"/>
    <w:rsid w:val="00860834"/>
    <w:rsid w:val="00863774"/>
    <w:rsid w:val="00863F55"/>
    <w:rsid w:val="008671E9"/>
    <w:rsid w:val="00872C19"/>
    <w:rsid w:val="00873D81"/>
    <w:rsid w:val="00875099"/>
    <w:rsid w:val="00875605"/>
    <w:rsid w:val="00875CE5"/>
    <w:rsid w:val="00876811"/>
    <w:rsid w:val="00880D73"/>
    <w:rsid w:val="008816B1"/>
    <w:rsid w:val="008824E1"/>
    <w:rsid w:val="008841B8"/>
    <w:rsid w:val="008848E9"/>
    <w:rsid w:val="00884AA7"/>
    <w:rsid w:val="00885288"/>
    <w:rsid w:val="008947B2"/>
    <w:rsid w:val="00894F7E"/>
    <w:rsid w:val="008971B1"/>
    <w:rsid w:val="008A0227"/>
    <w:rsid w:val="008A02A1"/>
    <w:rsid w:val="008A0534"/>
    <w:rsid w:val="008A2A04"/>
    <w:rsid w:val="008A34AC"/>
    <w:rsid w:val="008A38FA"/>
    <w:rsid w:val="008A3E98"/>
    <w:rsid w:val="008C1745"/>
    <w:rsid w:val="008C1EE3"/>
    <w:rsid w:val="008C1F0E"/>
    <w:rsid w:val="008C335E"/>
    <w:rsid w:val="008C3A7B"/>
    <w:rsid w:val="008C6311"/>
    <w:rsid w:val="008C67AA"/>
    <w:rsid w:val="008E1155"/>
    <w:rsid w:val="008E3EF2"/>
    <w:rsid w:val="008E60CF"/>
    <w:rsid w:val="008E76D7"/>
    <w:rsid w:val="008F0678"/>
    <w:rsid w:val="008F12FF"/>
    <w:rsid w:val="008F1719"/>
    <w:rsid w:val="008F3A1F"/>
    <w:rsid w:val="009013F7"/>
    <w:rsid w:val="009013F8"/>
    <w:rsid w:val="00901FC1"/>
    <w:rsid w:val="00905DF1"/>
    <w:rsid w:val="009067AB"/>
    <w:rsid w:val="00906D6B"/>
    <w:rsid w:val="00913062"/>
    <w:rsid w:val="00913659"/>
    <w:rsid w:val="00913D1F"/>
    <w:rsid w:val="00915521"/>
    <w:rsid w:val="009208B7"/>
    <w:rsid w:val="00920BCD"/>
    <w:rsid w:val="0092155C"/>
    <w:rsid w:val="00921C38"/>
    <w:rsid w:val="00922052"/>
    <w:rsid w:val="00924761"/>
    <w:rsid w:val="009251B1"/>
    <w:rsid w:val="009256A2"/>
    <w:rsid w:val="00925C43"/>
    <w:rsid w:val="009266BC"/>
    <w:rsid w:val="00930507"/>
    <w:rsid w:val="009321FB"/>
    <w:rsid w:val="00933DED"/>
    <w:rsid w:val="00934D49"/>
    <w:rsid w:val="009373EB"/>
    <w:rsid w:val="0094195C"/>
    <w:rsid w:val="00941F14"/>
    <w:rsid w:val="009439A5"/>
    <w:rsid w:val="00944153"/>
    <w:rsid w:val="009448DE"/>
    <w:rsid w:val="00944EB0"/>
    <w:rsid w:val="00952D03"/>
    <w:rsid w:val="0095466B"/>
    <w:rsid w:val="00957C16"/>
    <w:rsid w:val="00957F00"/>
    <w:rsid w:val="00960D0C"/>
    <w:rsid w:val="00961384"/>
    <w:rsid w:val="009615EC"/>
    <w:rsid w:val="009616F7"/>
    <w:rsid w:val="00961D8E"/>
    <w:rsid w:val="009621E3"/>
    <w:rsid w:val="00965F04"/>
    <w:rsid w:val="00966495"/>
    <w:rsid w:val="009668A4"/>
    <w:rsid w:val="009669D2"/>
    <w:rsid w:val="00970A6C"/>
    <w:rsid w:val="00971774"/>
    <w:rsid w:val="009719BF"/>
    <w:rsid w:val="009766E8"/>
    <w:rsid w:val="009779F6"/>
    <w:rsid w:val="00980522"/>
    <w:rsid w:val="009825FD"/>
    <w:rsid w:val="00982930"/>
    <w:rsid w:val="00983304"/>
    <w:rsid w:val="009854A9"/>
    <w:rsid w:val="00986516"/>
    <w:rsid w:val="009900A9"/>
    <w:rsid w:val="00991921"/>
    <w:rsid w:val="00991C03"/>
    <w:rsid w:val="009923BD"/>
    <w:rsid w:val="0099367F"/>
    <w:rsid w:val="009A4460"/>
    <w:rsid w:val="009A6E02"/>
    <w:rsid w:val="009B0CD6"/>
    <w:rsid w:val="009B4066"/>
    <w:rsid w:val="009B4AE8"/>
    <w:rsid w:val="009B5505"/>
    <w:rsid w:val="009B604A"/>
    <w:rsid w:val="009B78F0"/>
    <w:rsid w:val="009C2910"/>
    <w:rsid w:val="009C6028"/>
    <w:rsid w:val="009C6051"/>
    <w:rsid w:val="009D1D7D"/>
    <w:rsid w:val="009D2609"/>
    <w:rsid w:val="009D2687"/>
    <w:rsid w:val="009D7DE2"/>
    <w:rsid w:val="009E0976"/>
    <w:rsid w:val="009E1625"/>
    <w:rsid w:val="009E34A7"/>
    <w:rsid w:val="009E552C"/>
    <w:rsid w:val="009E58DD"/>
    <w:rsid w:val="009E7D99"/>
    <w:rsid w:val="009F222D"/>
    <w:rsid w:val="009F2C3B"/>
    <w:rsid w:val="009F348C"/>
    <w:rsid w:val="009F49F2"/>
    <w:rsid w:val="009F4A88"/>
    <w:rsid w:val="009F5615"/>
    <w:rsid w:val="009F5DB0"/>
    <w:rsid w:val="00A007DD"/>
    <w:rsid w:val="00A02BBD"/>
    <w:rsid w:val="00A02F19"/>
    <w:rsid w:val="00A03A01"/>
    <w:rsid w:val="00A05866"/>
    <w:rsid w:val="00A05E76"/>
    <w:rsid w:val="00A10E9A"/>
    <w:rsid w:val="00A12ED1"/>
    <w:rsid w:val="00A140CF"/>
    <w:rsid w:val="00A14F61"/>
    <w:rsid w:val="00A20F4A"/>
    <w:rsid w:val="00A23D38"/>
    <w:rsid w:val="00A352E0"/>
    <w:rsid w:val="00A40B49"/>
    <w:rsid w:val="00A445A1"/>
    <w:rsid w:val="00A4741E"/>
    <w:rsid w:val="00A56985"/>
    <w:rsid w:val="00A56C25"/>
    <w:rsid w:val="00A619DC"/>
    <w:rsid w:val="00A62684"/>
    <w:rsid w:val="00A63210"/>
    <w:rsid w:val="00A64C18"/>
    <w:rsid w:val="00A65DC7"/>
    <w:rsid w:val="00A66FA1"/>
    <w:rsid w:val="00A704DB"/>
    <w:rsid w:val="00A72549"/>
    <w:rsid w:val="00A73682"/>
    <w:rsid w:val="00A7370F"/>
    <w:rsid w:val="00A73A0C"/>
    <w:rsid w:val="00A829DC"/>
    <w:rsid w:val="00A831D2"/>
    <w:rsid w:val="00A84626"/>
    <w:rsid w:val="00A84783"/>
    <w:rsid w:val="00A84959"/>
    <w:rsid w:val="00A84C37"/>
    <w:rsid w:val="00A86D5B"/>
    <w:rsid w:val="00A87C83"/>
    <w:rsid w:val="00A915CE"/>
    <w:rsid w:val="00A9212E"/>
    <w:rsid w:val="00A93230"/>
    <w:rsid w:val="00A93846"/>
    <w:rsid w:val="00A96221"/>
    <w:rsid w:val="00AA3C76"/>
    <w:rsid w:val="00AB02F3"/>
    <w:rsid w:val="00AB2069"/>
    <w:rsid w:val="00AB38CC"/>
    <w:rsid w:val="00AB50B2"/>
    <w:rsid w:val="00AB67C5"/>
    <w:rsid w:val="00AC107C"/>
    <w:rsid w:val="00AC2B1B"/>
    <w:rsid w:val="00AC435D"/>
    <w:rsid w:val="00AC47D5"/>
    <w:rsid w:val="00AD45D2"/>
    <w:rsid w:val="00AD5483"/>
    <w:rsid w:val="00AD56CF"/>
    <w:rsid w:val="00AD7AE7"/>
    <w:rsid w:val="00AD7C15"/>
    <w:rsid w:val="00AE05A7"/>
    <w:rsid w:val="00AE4800"/>
    <w:rsid w:val="00AE61F9"/>
    <w:rsid w:val="00AF1EEC"/>
    <w:rsid w:val="00AF21DD"/>
    <w:rsid w:val="00AF244F"/>
    <w:rsid w:val="00AF4A11"/>
    <w:rsid w:val="00B01A40"/>
    <w:rsid w:val="00B048FE"/>
    <w:rsid w:val="00B06541"/>
    <w:rsid w:val="00B06AEE"/>
    <w:rsid w:val="00B0725E"/>
    <w:rsid w:val="00B1770D"/>
    <w:rsid w:val="00B20349"/>
    <w:rsid w:val="00B2164E"/>
    <w:rsid w:val="00B22149"/>
    <w:rsid w:val="00B24929"/>
    <w:rsid w:val="00B25201"/>
    <w:rsid w:val="00B266E8"/>
    <w:rsid w:val="00B351F0"/>
    <w:rsid w:val="00B362EC"/>
    <w:rsid w:val="00B40C80"/>
    <w:rsid w:val="00B4315F"/>
    <w:rsid w:val="00B4387E"/>
    <w:rsid w:val="00B447F2"/>
    <w:rsid w:val="00B44A70"/>
    <w:rsid w:val="00B45264"/>
    <w:rsid w:val="00B469A9"/>
    <w:rsid w:val="00B47A28"/>
    <w:rsid w:val="00B5082D"/>
    <w:rsid w:val="00B512B4"/>
    <w:rsid w:val="00B51C0F"/>
    <w:rsid w:val="00B523C5"/>
    <w:rsid w:val="00B56F4A"/>
    <w:rsid w:val="00B613A0"/>
    <w:rsid w:val="00B63B90"/>
    <w:rsid w:val="00B6446F"/>
    <w:rsid w:val="00B65833"/>
    <w:rsid w:val="00B66DEE"/>
    <w:rsid w:val="00B67DA5"/>
    <w:rsid w:val="00B731D2"/>
    <w:rsid w:val="00B776DC"/>
    <w:rsid w:val="00B81104"/>
    <w:rsid w:val="00B8455F"/>
    <w:rsid w:val="00B864A9"/>
    <w:rsid w:val="00B90200"/>
    <w:rsid w:val="00B90305"/>
    <w:rsid w:val="00B925BD"/>
    <w:rsid w:val="00B9275C"/>
    <w:rsid w:val="00B9711D"/>
    <w:rsid w:val="00BA225D"/>
    <w:rsid w:val="00BA406C"/>
    <w:rsid w:val="00BA426D"/>
    <w:rsid w:val="00BA5520"/>
    <w:rsid w:val="00BA5C9C"/>
    <w:rsid w:val="00BA775A"/>
    <w:rsid w:val="00BA7D7D"/>
    <w:rsid w:val="00BB46B0"/>
    <w:rsid w:val="00BB6978"/>
    <w:rsid w:val="00BB7A2E"/>
    <w:rsid w:val="00BC0420"/>
    <w:rsid w:val="00BC1123"/>
    <w:rsid w:val="00BC25C6"/>
    <w:rsid w:val="00BD5675"/>
    <w:rsid w:val="00BD7D2B"/>
    <w:rsid w:val="00BE0455"/>
    <w:rsid w:val="00BE3566"/>
    <w:rsid w:val="00BE5561"/>
    <w:rsid w:val="00BE5D10"/>
    <w:rsid w:val="00BF006D"/>
    <w:rsid w:val="00BF15A4"/>
    <w:rsid w:val="00BF1EA3"/>
    <w:rsid w:val="00BF1FD8"/>
    <w:rsid w:val="00BF3681"/>
    <w:rsid w:val="00BF44C0"/>
    <w:rsid w:val="00BF5AF6"/>
    <w:rsid w:val="00BF5E3A"/>
    <w:rsid w:val="00BF74CF"/>
    <w:rsid w:val="00BF7D4F"/>
    <w:rsid w:val="00C01D55"/>
    <w:rsid w:val="00C03451"/>
    <w:rsid w:val="00C04683"/>
    <w:rsid w:val="00C05956"/>
    <w:rsid w:val="00C070B1"/>
    <w:rsid w:val="00C12AA6"/>
    <w:rsid w:val="00C17744"/>
    <w:rsid w:val="00C21DDB"/>
    <w:rsid w:val="00C241A6"/>
    <w:rsid w:val="00C264E4"/>
    <w:rsid w:val="00C31368"/>
    <w:rsid w:val="00C336B2"/>
    <w:rsid w:val="00C37A7E"/>
    <w:rsid w:val="00C428C9"/>
    <w:rsid w:val="00C4431A"/>
    <w:rsid w:val="00C44561"/>
    <w:rsid w:val="00C47102"/>
    <w:rsid w:val="00C47C2D"/>
    <w:rsid w:val="00C52199"/>
    <w:rsid w:val="00C53ECE"/>
    <w:rsid w:val="00C5404F"/>
    <w:rsid w:val="00C628FC"/>
    <w:rsid w:val="00C63BEE"/>
    <w:rsid w:val="00C66B93"/>
    <w:rsid w:val="00C67EEB"/>
    <w:rsid w:val="00C70764"/>
    <w:rsid w:val="00C72010"/>
    <w:rsid w:val="00C75207"/>
    <w:rsid w:val="00C75A7D"/>
    <w:rsid w:val="00C76D1B"/>
    <w:rsid w:val="00C8230E"/>
    <w:rsid w:val="00C8241B"/>
    <w:rsid w:val="00C845B5"/>
    <w:rsid w:val="00C8658B"/>
    <w:rsid w:val="00C9073A"/>
    <w:rsid w:val="00C952C0"/>
    <w:rsid w:val="00C9575C"/>
    <w:rsid w:val="00C96C6C"/>
    <w:rsid w:val="00C97AFC"/>
    <w:rsid w:val="00CA1A0B"/>
    <w:rsid w:val="00CA1B46"/>
    <w:rsid w:val="00CA2114"/>
    <w:rsid w:val="00CA2133"/>
    <w:rsid w:val="00CA21DB"/>
    <w:rsid w:val="00CA3B03"/>
    <w:rsid w:val="00CA3CDE"/>
    <w:rsid w:val="00CA7C72"/>
    <w:rsid w:val="00CA7E2C"/>
    <w:rsid w:val="00CB272B"/>
    <w:rsid w:val="00CB300A"/>
    <w:rsid w:val="00CB3182"/>
    <w:rsid w:val="00CB3388"/>
    <w:rsid w:val="00CC0BC2"/>
    <w:rsid w:val="00CC2B3F"/>
    <w:rsid w:val="00CC456E"/>
    <w:rsid w:val="00CC57C3"/>
    <w:rsid w:val="00CD1A6F"/>
    <w:rsid w:val="00CD3BD4"/>
    <w:rsid w:val="00CD471E"/>
    <w:rsid w:val="00CD4BB6"/>
    <w:rsid w:val="00CD5BB5"/>
    <w:rsid w:val="00CD5DFC"/>
    <w:rsid w:val="00CD793A"/>
    <w:rsid w:val="00CE1114"/>
    <w:rsid w:val="00CE3A3C"/>
    <w:rsid w:val="00CE4FF6"/>
    <w:rsid w:val="00CE57F0"/>
    <w:rsid w:val="00CF1B34"/>
    <w:rsid w:val="00CF3FC7"/>
    <w:rsid w:val="00CF45CD"/>
    <w:rsid w:val="00CF56E2"/>
    <w:rsid w:val="00CF5BF1"/>
    <w:rsid w:val="00CF67C1"/>
    <w:rsid w:val="00D03828"/>
    <w:rsid w:val="00D0436B"/>
    <w:rsid w:val="00D0461B"/>
    <w:rsid w:val="00D05F85"/>
    <w:rsid w:val="00D05FE0"/>
    <w:rsid w:val="00D15363"/>
    <w:rsid w:val="00D16F59"/>
    <w:rsid w:val="00D17FFC"/>
    <w:rsid w:val="00D201E0"/>
    <w:rsid w:val="00D23322"/>
    <w:rsid w:val="00D23EB5"/>
    <w:rsid w:val="00D24853"/>
    <w:rsid w:val="00D254BC"/>
    <w:rsid w:val="00D30272"/>
    <w:rsid w:val="00D33BA6"/>
    <w:rsid w:val="00D34B14"/>
    <w:rsid w:val="00D3622B"/>
    <w:rsid w:val="00D3714C"/>
    <w:rsid w:val="00D37B47"/>
    <w:rsid w:val="00D42D5B"/>
    <w:rsid w:val="00D43052"/>
    <w:rsid w:val="00D45656"/>
    <w:rsid w:val="00D45E93"/>
    <w:rsid w:val="00D501F6"/>
    <w:rsid w:val="00D50A93"/>
    <w:rsid w:val="00D516F2"/>
    <w:rsid w:val="00D524A1"/>
    <w:rsid w:val="00D535A6"/>
    <w:rsid w:val="00D601A1"/>
    <w:rsid w:val="00D60749"/>
    <w:rsid w:val="00D60E03"/>
    <w:rsid w:val="00D63334"/>
    <w:rsid w:val="00D64112"/>
    <w:rsid w:val="00D64B7C"/>
    <w:rsid w:val="00D65D03"/>
    <w:rsid w:val="00D73A4F"/>
    <w:rsid w:val="00D7420E"/>
    <w:rsid w:val="00D74FE7"/>
    <w:rsid w:val="00D75058"/>
    <w:rsid w:val="00D7541A"/>
    <w:rsid w:val="00D823B2"/>
    <w:rsid w:val="00D84D90"/>
    <w:rsid w:val="00D8730E"/>
    <w:rsid w:val="00D91179"/>
    <w:rsid w:val="00D929ED"/>
    <w:rsid w:val="00D92B6E"/>
    <w:rsid w:val="00D93236"/>
    <w:rsid w:val="00D93E7F"/>
    <w:rsid w:val="00D94F3B"/>
    <w:rsid w:val="00D95FE9"/>
    <w:rsid w:val="00D96C72"/>
    <w:rsid w:val="00DA248F"/>
    <w:rsid w:val="00DA2719"/>
    <w:rsid w:val="00DA2AD2"/>
    <w:rsid w:val="00DA3C04"/>
    <w:rsid w:val="00DA4D86"/>
    <w:rsid w:val="00DA5E67"/>
    <w:rsid w:val="00DA66A7"/>
    <w:rsid w:val="00DB621B"/>
    <w:rsid w:val="00DB73B0"/>
    <w:rsid w:val="00DC38D1"/>
    <w:rsid w:val="00DC3B9C"/>
    <w:rsid w:val="00DC5CC6"/>
    <w:rsid w:val="00DC5CFC"/>
    <w:rsid w:val="00DD0AA0"/>
    <w:rsid w:val="00DD3985"/>
    <w:rsid w:val="00DD5A6B"/>
    <w:rsid w:val="00DD5ADB"/>
    <w:rsid w:val="00DD7320"/>
    <w:rsid w:val="00DE0371"/>
    <w:rsid w:val="00DE0452"/>
    <w:rsid w:val="00DE25F2"/>
    <w:rsid w:val="00DE3D5D"/>
    <w:rsid w:val="00DE4078"/>
    <w:rsid w:val="00DE55C1"/>
    <w:rsid w:val="00DE69B8"/>
    <w:rsid w:val="00DF415B"/>
    <w:rsid w:val="00DF4AC4"/>
    <w:rsid w:val="00DF6175"/>
    <w:rsid w:val="00E034DA"/>
    <w:rsid w:val="00E1044B"/>
    <w:rsid w:val="00E116DE"/>
    <w:rsid w:val="00E145C0"/>
    <w:rsid w:val="00E159E8"/>
    <w:rsid w:val="00E1725C"/>
    <w:rsid w:val="00E21EA7"/>
    <w:rsid w:val="00E23434"/>
    <w:rsid w:val="00E24882"/>
    <w:rsid w:val="00E25C92"/>
    <w:rsid w:val="00E32482"/>
    <w:rsid w:val="00E34322"/>
    <w:rsid w:val="00E35D9A"/>
    <w:rsid w:val="00E40303"/>
    <w:rsid w:val="00E42C88"/>
    <w:rsid w:val="00E436AE"/>
    <w:rsid w:val="00E44DB0"/>
    <w:rsid w:val="00E459E8"/>
    <w:rsid w:val="00E45F8F"/>
    <w:rsid w:val="00E47972"/>
    <w:rsid w:val="00E50142"/>
    <w:rsid w:val="00E51CE1"/>
    <w:rsid w:val="00E545EE"/>
    <w:rsid w:val="00E54AAA"/>
    <w:rsid w:val="00E54E03"/>
    <w:rsid w:val="00E54F22"/>
    <w:rsid w:val="00E56D1F"/>
    <w:rsid w:val="00E57402"/>
    <w:rsid w:val="00E6040F"/>
    <w:rsid w:val="00E60D93"/>
    <w:rsid w:val="00E629C1"/>
    <w:rsid w:val="00E74C8A"/>
    <w:rsid w:val="00E75129"/>
    <w:rsid w:val="00E76B0D"/>
    <w:rsid w:val="00E80868"/>
    <w:rsid w:val="00E81632"/>
    <w:rsid w:val="00E81E60"/>
    <w:rsid w:val="00E90FF8"/>
    <w:rsid w:val="00E95057"/>
    <w:rsid w:val="00E9624C"/>
    <w:rsid w:val="00EA0F67"/>
    <w:rsid w:val="00EA248C"/>
    <w:rsid w:val="00EA3668"/>
    <w:rsid w:val="00EA447A"/>
    <w:rsid w:val="00EA52A6"/>
    <w:rsid w:val="00EA572A"/>
    <w:rsid w:val="00EA5EAE"/>
    <w:rsid w:val="00EA74D8"/>
    <w:rsid w:val="00EB1EF1"/>
    <w:rsid w:val="00EC1076"/>
    <w:rsid w:val="00EC1B0D"/>
    <w:rsid w:val="00ED3443"/>
    <w:rsid w:val="00EE0A45"/>
    <w:rsid w:val="00EE6A42"/>
    <w:rsid w:val="00EE6BE3"/>
    <w:rsid w:val="00EF0762"/>
    <w:rsid w:val="00EF3606"/>
    <w:rsid w:val="00EF3A6A"/>
    <w:rsid w:val="00EF611B"/>
    <w:rsid w:val="00F00BDA"/>
    <w:rsid w:val="00F03299"/>
    <w:rsid w:val="00F05108"/>
    <w:rsid w:val="00F06DC0"/>
    <w:rsid w:val="00F07090"/>
    <w:rsid w:val="00F20991"/>
    <w:rsid w:val="00F22073"/>
    <w:rsid w:val="00F25164"/>
    <w:rsid w:val="00F270E2"/>
    <w:rsid w:val="00F2715D"/>
    <w:rsid w:val="00F3057A"/>
    <w:rsid w:val="00F316C3"/>
    <w:rsid w:val="00F36EBE"/>
    <w:rsid w:val="00F36EF6"/>
    <w:rsid w:val="00F40076"/>
    <w:rsid w:val="00F40520"/>
    <w:rsid w:val="00F41AE8"/>
    <w:rsid w:val="00F42CE2"/>
    <w:rsid w:val="00F4473F"/>
    <w:rsid w:val="00F44AC2"/>
    <w:rsid w:val="00F47025"/>
    <w:rsid w:val="00F47774"/>
    <w:rsid w:val="00F52328"/>
    <w:rsid w:val="00F54586"/>
    <w:rsid w:val="00F575E2"/>
    <w:rsid w:val="00F57DD4"/>
    <w:rsid w:val="00F57F58"/>
    <w:rsid w:val="00F716BC"/>
    <w:rsid w:val="00F736B0"/>
    <w:rsid w:val="00F73FDE"/>
    <w:rsid w:val="00F75FE8"/>
    <w:rsid w:val="00F87672"/>
    <w:rsid w:val="00F91158"/>
    <w:rsid w:val="00F962D5"/>
    <w:rsid w:val="00F962DD"/>
    <w:rsid w:val="00F97F72"/>
    <w:rsid w:val="00FA3DDD"/>
    <w:rsid w:val="00FA4637"/>
    <w:rsid w:val="00FA54E8"/>
    <w:rsid w:val="00FA5F67"/>
    <w:rsid w:val="00FA7CA1"/>
    <w:rsid w:val="00FB04EA"/>
    <w:rsid w:val="00FB072C"/>
    <w:rsid w:val="00FB0FEA"/>
    <w:rsid w:val="00FB2B45"/>
    <w:rsid w:val="00FB4675"/>
    <w:rsid w:val="00FB70AE"/>
    <w:rsid w:val="00FB745A"/>
    <w:rsid w:val="00FC30A8"/>
    <w:rsid w:val="00FC45FC"/>
    <w:rsid w:val="00FC5A54"/>
    <w:rsid w:val="00FD0A0A"/>
    <w:rsid w:val="00FD1980"/>
    <w:rsid w:val="00FD23A4"/>
    <w:rsid w:val="00FD6D58"/>
    <w:rsid w:val="00FD7C50"/>
    <w:rsid w:val="00FE022A"/>
    <w:rsid w:val="00FE1A18"/>
    <w:rsid w:val="00FE22CB"/>
    <w:rsid w:val="00FE3002"/>
    <w:rsid w:val="00FE68DD"/>
    <w:rsid w:val="00FE6D6F"/>
    <w:rsid w:val="00FE7231"/>
    <w:rsid w:val="00FF3FD9"/>
    <w:rsid w:val="00FF768C"/>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0EC2438A"/>
  <w15:chartTrackingRefBased/>
  <w15:docId w15:val="{901BD492-3948-4B17-96E7-535A94D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5E"/>
    <w:rPr>
      <w:sz w:val="22"/>
      <w:lang w:val="en-GB" w:eastAsia="it-IT"/>
    </w:rPr>
  </w:style>
  <w:style w:type="paragraph" w:styleId="Heading1">
    <w:name w:val="heading 1"/>
    <w:basedOn w:val="Normal"/>
    <w:qFormat/>
    <w:rsid w:val="008C335E"/>
    <w:pPr>
      <w:widowControl w:val="0"/>
      <w:spacing w:before="240"/>
      <w:outlineLvl w:val="0"/>
    </w:pPr>
    <w:rPr>
      <w:rFonts w:ascii="Univers (W1)" w:hAnsi="Univers (W1)"/>
      <w:b/>
      <w:u w:val="single"/>
      <w:lang w:val="en-US"/>
    </w:rPr>
  </w:style>
  <w:style w:type="paragraph" w:styleId="Heading2">
    <w:name w:val="heading 2"/>
    <w:basedOn w:val="Normal"/>
    <w:qFormat/>
    <w:rsid w:val="008C335E"/>
    <w:pPr>
      <w:widowControl w:val="0"/>
      <w:spacing w:before="120"/>
      <w:outlineLvl w:val="1"/>
    </w:pPr>
    <w:rPr>
      <w:rFonts w:ascii="Univers (W1)" w:hAnsi="Univers (W1)"/>
      <w:b/>
      <w:lang w:val="en-US"/>
    </w:rPr>
  </w:style>
  <w:style w:type="paragraph" w:styleId="Heading3">
    <w:name w:val="heading 3"/>
    <w:basedOn w:val="Normal"/>
    <w:next w:val="Normal"/>
    <w:qFormat/>
    <w:rsid w:val="008C335E"/>
    <w:pPr>
      <w:keepNext/>
      <w:tabs>
        <w:tab w:val="left" w:pos="567"/>
      </w:tabs>
      <w:outlineLvl w:val="2"/>
    </w:pPr>
    <w:rPr>
      <w:i/>
      <w:lang w:val="it-IT"/>
    </w:rPr>
  </w:style>
  <w:style w:type="paragraph" w:styleId="Heading4">
    <w:name w:val="heading 4"/>
    <w:basedOn w:val="Normal"/>
    <w:next w:val="NormalIndent"/>
    <w:qFormat/>
    <w:rsid w:val="008C335E"/>
    <w:pPr>
      <w:widowControl w:val="0"/>
      <w:ind w:left="360"/>
      <w:outlineLvl w:val="3"/>
    </w:pPr>
    <w:rPr>
      <w:rFonts w:ascii="CG Times (W1)" w:hAnsi="CG Times (W1)"/>
      <w:u w:val="single"/>
      <w:lang w:val="en-US"/>
    </w:rPr>
  </w:style>
  <w:style w:type="paragraph" w:styleId="Heading5">
    <w:name w:val="heading 5"/>
    <w:basedOn w:val="Normal"/>
    <w:next w:val="Normal"/>
    <w:qFormat/>
    <w:rsid w:val="008C335E"/>
    <w:pPr>
      <w:keepNext/>
      <w:tabs>
        <w:tab w:val="left" w:pos="567"/>
      </w:tabs>
      <w:outlineLvl w:val="4"/>
    </w:pPr>
    <w:rPr>
      <w:b/>
      <w:lang w:val="it-IT"/>
    </w:rPr>
  </w:style>
  <w:style w:type="paragraph" w:styleId="Heading6">
    <w:name w:val="heading 6"/>
    <w:basedOn w:val="Normal"/>
    <w:next w:val="Normal"/>
    <w:qFormat/>
    <w:rsid w:val="008C335E"/>
    <w:pPr>
      <w:keepNext/>
      <w:tabs>
        <w:tab w:val="left" w:pos="567"/>
      </w:tabs>
      <w:ind w:left="567" w:hanging="567"/>
      <w:outlineLvl w:val="5"/>
    </w:pPr>
    <w:rPr>
      <w:lang w:val="it-IT"/>
    </w:rPr>
  </w:style>
  <w:style w:type="paragraph" w:styleId="Heading7">
    <w:name w:val="heading 7"/>
    <w:basedOn w:val="Normal"/>
    <w:next w:val="Normal"/>
    <w:qFormat/>
    <w:rsid w:val="008C335E"/>
    <w:pPr>
      <w:keepNext/>
      <w:widowControl w:val="0"/>
      <w:tabs>
        <w:tab w:val="left" w:pos="567"/>
      </w:tabs>
      <w:spacing w:line="260" w:lineRule="atLeast"/>
      <w:ind w:left="357" w:hanging="357"/>
      <w:outlineLvl w:val="6"/>
    </w:pPr>
    <w:rPr>
      <w:b/>
      <w:snapToGrid w:val="0"/>
      <w:lang w:val="pt-PT"/>
    </w:rPr>
  </w:style>
  <w:style w:type="paragraph" w:styleId="Heading8">
    <w:name w:val="heading 8"/>
    <w:basedOn w:val="Normal"/>
    <w:next w:val="Normal"/>
    <w:qFormat/>
    <w:rsid w:val="008C335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right="-153"/>
      <w:jc w:val="both"/>
      <w:outlineLvl w:val="7"/>
    </w:pPr>
    <w:rPr>
      <w:u w:val="single"/>
      <w:lang w:val="it-IT"/>
    </w:rPr>
  </w:style>
  <w:style w:type="paragraph" w:styleId="Heading9">
    <w:name w:val="heading 9"/>
    <w:basedOn w:val="Normal"/>
    <w:next w:val="Normal"/>
    <w:qFormat/>
    <w:rsid w:val="008C335E"/>
    <w:pPr>
      <w:keepNext/>
      <w:shd w:val="clear" w:color="auto" w:fill="FFFFFF"/>
      <w:suppressAutoHyphens/>
      <w:outlineLvl w:val="8"/>
    </w:pPr>
    <w:rPr>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8C335E"/>
    <w:rPr>
      <w:vertAlign w:val="superscript"/>
    </w:rPr>
  </w:style>
  <w:style w:type="character" w:styleId="FootnoteReference">
    <w:name w:val="footnote reference"/>
    <w:semiHidden/>
    <w:rsid w:val="008C335E"/>
    <w:rPr>
      <w:vertAlign w:val="superscript"/>
    </w:rPr>
  </w:style>
  <w:style w:type="paragraph" w:styleId="Footer">
    <w:name w:val="footer"/>
    <w:basedOn w:val="Normal"/>
    <w:rsid w:val="008C335E"/>
    <w:pPr>
      <w:tabs>
        <w:tab w:val="center" w:pos="4819"/>
        <w:tab w:val="right" w:pos="9071"/>
      </w:tabs>
    </w:pPr>
  </w:style>
  <w:style w:type="paragraph" w:styleId="FootnoteText">
    <w:name w:val="footnote text"/>
    <w:basedOn w:val="Normal"/>
    <w:semiHidden/>
    <w:rsid w:val="008C335E"/>
    <w:rPr>
      <w:rFonts w:ascii="CG Times 12pt" w:hAnsi="CG Times 12pt"/>
    </w:rPr>
  </w:style>
  <w:style w:type="paragraph" w:styleId="Header">
    <w:name w:val="header"/>
    <w:basedOn w:val="Normal"/>
    <w:rsid w:val="008C335E"/>
    <w:pPr>
      <w:tabs>
        <w:tab w:val="center" w:pos="4153"/>
        <w:tab w:val="right" w:pos="8306"/>
      </w:tabs>
    </w:pPr>
  </w:style>
  <w:style w:type="character" w:styleId="PageNumber">
    <w:name w:val="page number"/>
    <w:basedOn w:val="DefaultParagraphFont"/>
    <w:rsid w:val="008C335E"/>
  </w:style>
  <w:style w:type="paragraph" w:customStyle="1" w:styleId="ZCom">
    <w:name w:val="Z_Com"/>
    <w:basedOn w:val="Normal"/>
    <w:next w:val="ZDGName"/>
    <w:rsid w:val="008C335E"/>
    <w:pPr>
      <w:ind w:right="85"/>
      <w:jc w:val="both"/>
    </w:pPr>
    <w:rPr>
      <w:rFonts w:ascii="Arial" w:hAnsi="Arial"/>
      <w:lang w:val="da-DK"/>
    </w:rPr>
  </w:style>
  <w:style w:type="paragraph" w:customStyle="1" w:styleId="ZDGName">
    <w:name w:val="Z_DGName"/>
    <w:basedOn w:val="Normal"/>
    <w:rsid w:val="008C335E"/>
    <w:pPr>
      <w:ind w:right="85"/>
      <w:jc w:val="both"/>
    </w:pPr>
    <w:rPr>
      <w:rFonts w:ascii="Arial" w:hAnsi="Arial"/>
      <w:sz w:val="16"/>
      <w:lang w:val="da-DK"/>
    </w:rPr>
  </w:style>
  <w:style w:type="paragraph" w:styleId="PlainText">
    <w:name w:val="Plain Text"/>
    <w:basedOn w:val="Normal"/>
    <w:rsid w:val="008C335E"/>
    <w:rPr>
      <w:rFonts w:ascii="Courier New" w:hAnsi="Courier New"/>
      <w:sz w:val="20"/>
      <w:lang w:val="fr-FR"/>
    </w:rPr>
  </w:style>
  <w:style w:type="paragraph" w:styleId="BodyText">
    <w:name w:val="Body Text"/>
    <w:basedOn w:val="Normal"/>
    <w:link w:val="BodyTextChar"/>
    <w:uiPriority w:val="99"/>
    <w:rsid w:val="008C335E"/>
    <w:rPr>
      <w:lang w:val="it-IT"/>
    </w:rPr>
  </w:style>
  <w:style w:type="paragraph" w:styleId="NormalIndent">
    <w:name w:val="Normal Indent"/>
    <w:basedOn w:val="Normal"/>
    <w:rsid w:val="008C335E"/>
    <w:pPr>
      <w:widowControl w:val="0"/>
      <w:ind w:left="720"/>
    </w:pPr>
    <w:rPr>
      <w:rFonts w:ascii="CG Times (W1)" w:hAnsi="CG Times (W1)"/>
      <w:sz w:val="20"/>
      <w:lang w:val="en-US"/>
    </w:rPr>
  </w:style>
  <w:style w:type="paragraph" w:styleId="BodyText2">
    <w:name w:val="Body Text 2"/>
    <w:basedOn w:val="Normal"/>
    <w:rsid w:val="008C335E"/>
    <w:pPr>
      <w:tabs>
        <w:tab w:val="left" w:pos="284"/>
        <w:tab w:val="left" w:pos="567"/>
      </w:tabs>
      <w:ind w:left="284" w:hanging="284"/>
    </w:pPr>
    <w:rPr>
      <w:lang w:val="it-IT"/>
    </w:rPr>
  </w:style>
  <w:style w:type="paragraph" w:styleId="BodyText3">
    <w:name w:val="Body Text 3"/>
    <w:basedOn w:val="Normal"/>
    <w:link w:val="BodyText3Char"/>
    <w:uiPriority w:val="99"/>
    <w:rsid w:val="008C33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22"/>
      </w:tabs>
      <w:ind w:right="-153"/>
      <w:jc w:val="both"/>
    </w:pPr>
  </w:style>
  <w:style w:type="paragraph" w:styleId="BlockText">
    <w:name w:val="Block Text"/>
    <w:basedOn w:val="Normal"/>
    <w:rsid w:val="008C3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720" w:right="-153"/>
      <w:jc w:val="both"/>
    </w:pPr>
    <w:rPr>
      <w:rFonts w:ascii="Agfa Rotis Serif" w:hAnsi="Agfa Rotis Serif"/>
      <w:lang w:val="it-IT" w:eastAsia="en-US"/>
    </w:rPr>
  </w:style>
  <w:style w:type="paragraph" w:customStyle="1" w:styleId="EMEABodyText">
    <w:name w:val="EMEA Body Text"/>
    <w:basedOn w:val="Normal"/>
    <w:rsid w:val="008C335E"/>
    <w:rPr>
      <w:lang w:eastAsia="en-US"/>
    </w:rPr>
  </w:style>
  <w:style w:type="paragraph" w:customStyle="1" w:styleId="Applicationdirecte">
    <w:name w:val="Application directe"/>
    <w:basedOn w:val="Normal"/>
    <w:next w:val="Normal"/>
    <w:rsid w:val="008C335E"/>
    <w:pPr>
      <w:spacing w:before="480"/>
    </w:pPr>
    <w:rPr>
      <w:lang w:val="it-IT"/>
    </w:rPr>
  </w:style>
  <w:style w:type="paragraph" w:styleId="EndnoteText">
    <w:name w:val="endnote text"/>
    <w:basedOn w:val="Normal"/>
    <w:semiHidden/>
    <w:rsid w:val="008C335E"/>
    <w:pPr>
      <w:tabs>
        <w:tab w:val="left" w:pos="567"/>
      </w:tabs>
    </w:pPr>
  </w:style>
  <w:style w:type="paragraph" w:styleId="DocumentMap">
    <w:name w:val="Document Map"/>
    <w:basedOn w:val="Normal"/>
    <w:semiHidden/>
    <w:rsid w:val="008C335E"/>
    <w:pPr>
      <w:shd w:val="clear" w:color="auto" w:fill="000080"/>
    </w:pPr>
    <w:rPr>
      <w:rFonts w:ascii="Tahoma" w:hAnsi="Tahoma"/>
    </w:rPr>
  </w:style>
  <w:style w:type="paragraph" w:customStyle="1" w:styleId="bullethead">
    <w:name w:val="bullet head"/>
    <w:basedOn w:val="Normal"/>
    <w:rsid w:val="008C335E"/>
    <w:pPr>
      <w:spacing w:before="240" w:line="240" w:lineRule="exact"/>
    </w:pPr>
    <w:rPr>
      <w:b/>
      <w:kern w:val="28"/>
    </w:rPr>
  </w:style>
  <w:style w:type="character" w:customStyle="1" w:styleId="DeltaViewInsertion">
    <w:name w:val="DeltaView Insertion"/>
    <w:rsid w:val="008C335E"/>
    <w:rPr>
      <w:color w:val="FF0000"/>
      <w:spacing w:val="0"/>
    </w:rPr>
  </w:style>
  <w:style w:type="character" w:customStyle="1" w:styleId="DeltaViewDeletion">
    <w:name w:val="DeltaView Deletion"/>
    <w:rsid w:val="008C335E"/>
    <w:rPr>
      <w:strike/>
      <w:color w:val="0000FF"/>
      <w:spacing w:val="0"/>
    </w:rPr>
  </w:style>
  <w:style w:type="character" w:styleId="Hyperlink">
    <w:name w:val="Hyperlink"/>
    <w:rsid w:val="008C335E"/>
    <w:rPr>
      <w:color w:val="0000FF"/>
      <w:u w:val="single"/>
    </w:rPr>
  </w:style>
  <w:style w:type="paragraph" w:styleId="BalloonText">
    <w:name w:val="Balloon Text"/>
    <w:basedOn w:val="Normal"/>
    <w:semiHidden/>
    <w:rsid w:val="008C335E"/>
    <w:rPr>
      <w:rFonts w:ascii="Tahoma" w:hAnsi="Tahoma" w:cs="Tahoma"/>
      <w:sz w:val="16"/>
      <w:szCs w:val="16"/>
    </w:rPr>
  </w:style>
  <w:style w:type="character" w:styleId="CommentReference">
    <w:name w:val="annotation reference"/>
    <w:semiHidden/>
    <w:rsid w:val="008C335E"/>
    <w:rPr>
      <w:sz w:val="16"/>
      <w:szCs w:val="16"/>
    </w:rPr>
  </w:style>
  <w:style w:type="paragraph" w:styleId="CommentText">
    <w:name w:val="annotation text"/>
    <w:basedOn w:val="Normal"/>
    <w:semiHidden/>
    <w:rsid w:val="008C335E"/>
    <w:rPr>
      <w:sz w:val="20"/>
    </w:rPr>
  </w:style>
  <w:style w:type="paragraph" w:styleId="CommentSubject">
    <w:name w:val="annotation subject"/>
    <w:basedOn w:val="CommentText"/>
    <w:next w:val="CommentText"/>
    <w:semiHidden/>
    <w:rsid w:val="008C335E"/>
    <w:rPr>
      <w:b/>
      <w:bCs/>
    </w:rPr>
  </w:style>
  <w:style w:type="paragraph" w:customStyle="1" w:styleId="tabletextNS">
    <w:name w:val="table:textNS"/>
    <w:basedOn w:val="Normal"/>
    <w:link w:val="tabletextNSChar"/>
    <w:rsid w:val="008C335E"/>
    <w:rPr>
      <w:rFonts w:ascii="Arial Narrow" w:hAnsi="Arial Narrow" w:cs="Arial Narrow"/>
      <w:sz w:val="24"/>
      <w:szCs w:val="24"/>
      <w:lang w:eastAsia="en-US"/>
    </w:rPr>
  </w:style>
  <w:style w:type="character" w:styleId="FollowedHyperlink">
    <w:name w:val="FollowedHyperlink"/>
    <w:rsid w:val="008C335E"/>
    <w:rPr>
      <w:color w:val="606420"/>
      <w:u w:val="single"/>
    </w:rPr>
  </w:style>
  <w:style w:type="paragraph" w:customStyle="1" w:styleId="TitleA">
    <w:name w:val="Title A"/>
    <w:basedOn w:val="Normal"/>
    <w:rsid w:val="005544B4"/>
    <w:pPr>
      <w:widowControl w:val="0"/>
      <w:tabs>
        <w:tab w:val="left" w:pos="567"/>
      </w:tabs>
      <w:jc w:val="center"/>
      <w:outlineLvl w:val="0"/>
    </w:pPr>
    <w:rPr>
      <w:b/>
      <w:szCs w:val="22"/>
      <w:lang w:val="it-IT"/>
    </w:rPr>
  </w:style>
  <w:style w:type="paragraph" w:customStyle="1" w:styleId="TitleB">
    <w:name w:val="Title B"/>
    <w:basedOn w:val="Normal"/>
    <w:rsid w:val="007D4971"/>
    <w:pPr>
      <w:widowControl w:val="0"/>
      <w:suppressAutoHyphens/>
      <w:ind w:left="567" w:hanging="567"/>
    </w:pPr>
    <w:rPr>
      <w:b/>
      <w:szCs w:val="22"/>
      <w:lang w:val="it-IT"/>
    </w:rPr>
  </w:style>
  <w:style w:type="paragraph" w:customStyle="1" w:styleId="captiontable">
    <w:name w:val="caption:table"/>
    <w:basedOn w:val="Normal"/>
    <w:next w:val="Normal"/>
    <w:rsid w:val="00E40303"/>
    <w:pPr>
      <w:keepNext/>
      <w:spacing w:after="240"/>
      <w:ind w:left="1440" w:hanging="1440"/>
    </w:pPr>
    <w:rPr>
      <w:rFonts w:ascii="Arial" w:hAnsi="Arial"/>
      <w:b/>
      <w:lang w:eastAsia="en-US"/>
    </w:rPr>
  </w:style>
  <w:style w:type="paragraph" w:styleId="ListParagraph">
    <w:name w:val="List Paragraph"/>
    <w:basedOn w:val="Normal"/>
    <w:uiPriority w:val="99"/>
    <w:qFormat/>
    <w:rsid w:val="00E40303"/>
    <w:pPr>
      <w:spacing w:after="200" w:line="276" w:lineRule="auto"/>
      <w:ind w:left="720"/>
      <w:contextualSpacing/>
    </w:pPr>
    <w:rPr>
      <w:rFonts w:ascii="Calibri" w:eastAsia="Calibri" w:hAnsi="Calibri"/>
      <w:szCs w:val="22"/>
      <w:lang w:val="en-US" w:eastAsia="en-US"/>
    </w:rPr>
  </w:style>
  <w:style w:type="paragraph" w:customStyle="1" w:styleId="Default">
    <w:name w:val="Default"/>
    <w:rsid w:val="000C37BA"/>
    <w:pPr>
      <w:autoSpaceDE w:val="0"/>
      <w:autoSpaceDN w:val="0"/>
      <w:adjustRightInd w:val="0"/>
    </w:pPr>
    <w:rPr>
      <w:rFonts w:ascii="TimesNewRoman" w:hAnsi="TimesNewRoman" w:cs="TimesNewRoman"/>
      <w:lang w:val="en-GB" w:eastAsia="en-GB"/>
    </w:rPr>
  </w:style>
  <w:style w:type="character" w:customStyle="1" w:styleId="BodyTextChar">
    <w:name w:val="Body Text Char"/>
    <w:link w:val="BodyText"/>
    <w:uiPriority w:val="99"/>
    <w:rsid w:val="00561813"/>
    <w:rPr>
      <w:sz w:val="22"/>
    </w:rPr>
  </w:style>
  <w:style w:type="character" w:customStyle="1" w:styleId="BodyText3Char">
    <w:name w:val="Body Text 3 Char"/>
    <w:link w:val="BodyText3"/>
    <w:uiPriority w:val="99"/>
    <w:rsid w:val="00561813"/>
    <w:rPr>
      <w:sz w:val="22"/>
      <w:lang w:val="en-GB"/>
    </w:rPr>
  </w:style>
  <w:style w:type="paragraph" w:customStyle="1" w:styleId="Warning">
    <w:name w:val="Warning"/>
    <w:basedOn w:val="Normal"/>
    <w:qFormat/>
    <w:rsid w:val="00561813"/>
    <w:pPr>
      <w:numPr>
        <w:ilvl w:val="2"/>
        <w:numId w:val="5"/>
      </w:numPr>
    </w:pPr>
    <w:rPr>
      <w:lang w:val="it-IT" w:eastAsia="en-US"/>
    </w:rPr>
  </w:style>
  <w:style w:type="paragraph" w:customStyle="1" w:styleId="Action">
    <w:name w:val="Action"/>
    <w:basedOn w:val="Normal"/>
    <w:uiPriority w:val="99"/>
    <w:qFormat/>
    <w:rsid w:val="00561813"/>
    <w:pPr>
      <w:tabs>
        <w:tab w:val="left" w:pos="284"/>
        <w:tab w:val="left" w:pos="567"/>
      </w:tabs>
      <w:spacing w:before="120" w:line="260" w:lineRule="exact"/>
    </w:pPr>
    <w:rPr>
      <w:szCs w:val="24"/>
      <w:lang w:val="it-IT" w:eastAsia="en-GB"/>
    </w:rPr>
  </w:style>
  <w:style w:type="paragraph" w:styleId="BodyTextIndent">
    <w:name w:val="Body Text Indent"/>
    <w:basedOn w:val="Normal"/>
    <w:link w:val="BodyTextIndentChar"/>
    <w:rsid w:val="00561813"/>
    <w:pPr>
      <w:spacing w:after="120"/>
      <w:ind w:left="283"/>
    </w:pPr>
    <w:rPr>
      <w:lang w:val="it-IT" w:eastAsia="en-US"/>
    </w:rPr>
  </w:style>
  <w:style w:type="character" w:customStyle="1" w:styleId="BodyTextIndentChar">
    <w:name w:val="Body Text Indent Char"/>
    <w:link w:val="BodyTextIndent"/>
    <w:rsid w:val="00561813"/>
    <w:rPr>
      <w:sz w:val="22"/>
      <w:lang w:eastAsia="en-US"/>
    </w:rPr>
  </w:style>
  <w:style w:type="table" w:styleId="TableGrid">
    <w:name w:val="Table Grid"/>
    <w:basedOn w:val="TableNormal"/>
    <w:rsid w:val="00C53E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NSChar">
    <w:name w:val="table:textNS Char"/>
    <w:link w:val="tabletextNS"/>
    <w:rsid w:val="00CD5DFC"/>
    <w:rPr>
      <w:rFonts w:ascii="Arial Narrow" w:hAnsi="Arial Narrow" w:cs="Arial Narrow"/>
      <w:sz w:val="24"/>
      <w:szCs w:val="24"/>
      <w:lang w:val="en-GB" w:eastAsia="en-US"/>
    </w:rPr>
  </w:style>
  <w:style w:type="paragraph" w:customStyle="1" w:styleId="Titreobjet">
    <w:name w:val="Titre objet"/>
    <w:basedOn w:val="Normal"/>
    <w:next w:val="Normal"/>
    <w:rsid w:val="00A66FA1"/>
    <w:pPr>
      <w:spacing w:before="360" w:after="360"/>
      <w:jc w:val="center"/>
    </w:pPr>
    <w:rPr>
      <w:b/>
      <w:lang w:val="it-IT" w:eastAsia="en-US"/>
    </w:rPr>
  </w:style>
  <w:style w:type="paragraph" w:customStyle="1" w:styleId="tabletext">
    <w:name w:val="table:text"/>
    <w:basedOn w:val="Normal"/>
    <w:link w:val="tabletextChar"/>
    <w:rsid w:val="00BE0455"/>
    <w:pPr>
      <w:spacing w:before="120" w:after="120"/>
    </w:pPr>
    <w:rPr>
      <w:rFonts w:ascii="Arial Narrow" w:hAnsi="Arial Narrow" w:cs="Arial Narrow"/>
      <w:sz w:val="24"/>
      <w:szCs w:val="24"/>
      <w:lang w:eastAsia="en-GB"/>
    </w:rPr>
  </w:style>
  <w:style w:type="character" w:customStyle="1" w:styleId="tabletextChar">
    <w:name w:val="table:text Char"/>
    <w:link w:val="tabletext"/>
    <w:rsid w:val="00BE0455"/>
    <w:rPr>
      <w:rFonts w:ascii="Arial Narrow" w:hAnsi="Arial Narrow" w:cs="Arial Narrow"/>
      <w:sz w:val="24"/>
      <w:szCs w:val="24"/>
      <w:lang w:val="en-GB" w:eastAsia="en-GB"/>
    </w:rPr>
  </w:style>
  <w:style w:type="paragraph" w:styleId="Date">
    <w:name w:val="Date"/>
    <w:basedOn w:val="Normal"/>
    <w:next w:val="Normal"/>
    <w:link w:val="DateChar"/>
    <w:uiPriority w:val="99"/>
    <w:semiHidden/>
    <w:unhideWhenUsed/>
    <w:rsid w:val="00011520"/>
  </w:style>
  <w:style w:type="character" w:customStyle="1" w:styleId="DateChar">
    <w:name w:val="Date Char"/>
    <w:link w:val="Date"/>
    <w:uiPriority w:val="99"/>
    <w:semiHidden/>
    <w:rsid w:val="00011520"/>
    <w:rPr>
      <w:sz w:val="22"/>
      <w:lang w:val="en-GB" w:eastAsia="it-IT"/>
    </w:rPr>
  </w:style>
  <w:style w:type="paragraph" w:customStyle="1" w:styleId="NoNumHead3">
    <w:name w:val="NoNum:Head3"/>
    <w:basedOn w:val="Normal"/>
    <w:next w:val="Normal"/>
    <w:autoRedefine/>
    <w:rsid w:val="0084478A"/>
    <w:pPr>
      <w:keepNext/>
      <w:outlineLvl w:val="0"/>
    </w:pPr>
    <w:rPr>
      <w:szCs w:val="22"/>
      <w:lang w:val="it-IT" w:eastAsia="en-US"/>
    </w:rPr>
  </w:style>
  <w:style w:type="paragraph" w:styleId="Title">
    <w:name w:val="Title"/>
    <w:basedOn w:val="Normal"/>
    <w:link w:val="TitleChar"/>
    <w:qFormat/>
    <w:rsid w:val="0020172E"/>
    <w:pPr>
      <w:jc w:val="center"/>
    </w:pPr>
    <w:rPr>
      <w:b/>
      <w:lang w:eastAsia="en-US"/>
    </w:rPr>
  </w:style>
  <w:style w:type="character" w:customStyle="1" w:styleId="TitleChar">
    <w:name w:val="Title Char"/>
    <w:link w:val="Title"/>
    <w:rsid w:val="0020172E"/>
    <w:rPr>
      <w:b/>
      <w:sz w:val="22"/>
      <w:lang w:val="en-GB" w:eastAsia="en-US"/>
    </w:rPr>
  </w:style>
  <w:style w:type="character" w:styleId="UnresolvedMention">
    <w:name w:val="Unresolved Mention"/>
    <w:uiPriority w:val="99"/>
    <w:semiHidden/>
    <w:unhideWhenUsed/>
    <w:rsid w:val="009373EB"/>
    <w:rPr>
      <w:color w:val="605E5C"/>
      <w:shd w:val="clear" w:color="auto" w:fill="E1DFDD"/>
    </w:rPr>
  </w:style>
  <w:style w:type="paragraph" w:customStyle="1" w:styleId="Elencoacolori-Colore11">
    <w:name w:val="Elenco a colori - Colore 11"/>
    <w:basedOn w:val="Normal"/>
    <w:uiPriority w:val="99"/>
    <w:qFormat/>
    <w:rsid w:val="009F5DB0"/>
    <w:pPr>
      <w:ind w:left="720"/>
      <w:contextualSpacing/>
    </w:pPr>
    <w:rPr>
      <w:lang w:val="it-IT"/>
    </w:rPr>
  </w:style>
  <w:style w:type="paragraph" w:styleId="Bibliography">
    <w:name w:val="Bibliography"/>
    <w:basedOn w:val="Normal"/>
    <w:next w:val="Normal"/>
    <w:uiPriority w:val="37"/>
    <w:semiHidden/>
    <w:unhideWhenUsed/>
    <w:rsid w:val="00AC107C"/>
  </w:style>
  <w:style w:type="paragraph" w:styleId="BodyTextFirstIndent">
    <w:name w:val="Body Text First Indent"/>
    <w:basedOn w:val="BodyText"/>
    <w:link w:val="BodyTextFirstIndentChar"/>
    <w:uiPriority w:val="99"/>
    <w:semiHidden/>
    <w:unhideWhenUsed/>
    <w:rsid w:val="00AC107C"/>
    <w:pPr>
      <w:spacing w:after="120"/>
      <w:ind w:firstLine="210"/>
    </w:pPr>
    <w:rPr>
      <w:lang w:val="en-GB"/>
    </w:rPr>
  </w:style>
  <w:style w:type="character" w:customStyle="1" w:styleId="BodyTextFirstIndentChar">
    <w:name w:val="Body Text First Indent Char"/>
    <w:basedOn w:val="BodyTextChar"/>
    <w:link w:val="BodyTextFirstIndent"/>
    <w:uiPriority w:val="99"/>
    <w:semiHidden/>
    <w:rsid w:val="00AC107C"/>
    <w:rPr>
      <w:sz w:val="22"/>
      <w:lang w:val="en-GB" w:eastAsia="it-IT"/>
    </w:rPr>
  </w:style>
  <w:style w:type="paragraph" w:styleId="BodyTextFirstIndent2">
    <w:name w:val="Body Text First Indent 2"/>
    <w:basedOn w:val="BodyTextIndent"/>
    <w:link w:val="BodyTextFirstIndent2Char"/>
    <w:uiPriority w:val="99"/>
    <w:semiHidden/>
    <w:unhideWhenUsed/>
    <w:rsid w:val="00AC107C"/>
    <w:pPr>
      <w:ind w:firstLine="210"/>
    </w:pPr>
    <w:rPr>
      <w:lang w:val="en-GB" w:eastAsia="it-IT"/>
    </w:rPr>
  </w:style>
  <w:style w:type="character" w:customStyle="1" w:styleId="BodyTextFirstIndent2Char">
    <w:name w:val="Body Text First Indent 2 Char"/>
    <w:basedOn w:val="BodyTextIndentChar"/>
    <w:link w:val="BodyTextFirstIndent2"/>
    <w:uiPriority w:val="99"/>
    <w:semiHidden/>
    <w:rsid w:val="00AC107C"/>
    <w:rPr>
      <w:sz w:val="22"/>
      <w:lang w:val="en-GB" w:eastAsia="it-IT"/>
    </w:rPr>
  </w:style>
  <w:style w:type="paragraph" w:styleId="BodyTextIndent2">
    <w:name w:val="Body Text Indent 2"/>
    <w:basedOn w:val="Normal"/>
    <w:link w:val="BodyTextIndent2Char"/>
    <w:uiPriority w:val="99"/>
    <w:semiHidden/>
    <w:unhideWhenUsed/>
    <w:rsid w:val="00AC107C"/>
    <w:pPr>
      <w:spacing w:after="120" w:line="480" w:lineRule="auto"/>
      <w:ind w:left="283"/>
    </w:pPr>
  </w:style>
  <w:style w:type="character" w:customStyle="1" w:styleId="BodyTextIndent2Char">
    <w:name w:val="Body Text Indent 2 Char"/>
    <w:basedOn w:val="DefaultParagraphFont"/>
    <w:link w:val="BodyTextIndent2"/>
    <w:uiPriority w:val="99"/>
    <w:semiHidden/>
    <w:rsid w:val="00AC107C"/>
    <w:rPr>
      <w:sz w:val="22"/>
      <w:lang w:val="en-GB" w:eastAsia="it-IT"/>
    </w:rPr>
  </w:style>
  <w:style w:type="paragraph" w:styleId="BodyTextIndent3">
    <w:name w:val="Body Text Indent 3"/>
    <w:basedOn w:val="Normal"/>
    <w:link w:val="BodyTextIndent3Char"/>
    <w:uiPriority w:val="99"/>
    <w:semiHidden/>
    <w:unhideWhenUsed/>
    <w:rsid w:val="00AC10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107C"/>
    <w:rPr>
      <w:sz w:val="16"/>
      <w:szCs w:val="16"/>
      <w:lang w:val="en-GB" w:eastAsia="it-IT"/>
    </w:rPr>
  </w:style>
  <w:style w:type="paragraph" w:styleId="Caption">
    <w:name w:val="caption"/>
    <w:basedOn w:val="Normal"/>
    <w:next w:val="Normal"/>
    <w:uiPriority w:val="35"/>
    <w:semiHidden/>
    <w:unhideWhenUsed/>
    <w:qFormat/>
    <w:rsid w:val="00AC107C"/>
    <w:rPr>
      <w:b/>
      <w:bCs/>
      <w:sz w:val="20"/>
    </w:rPr>
  </w:style>
  <w:style w:type="paragraph" w:styleId="Closing">
    <w:name w:val="Closing"/>
    <w:basedOn w:val="Normal"/>
    <w:link w:val="ClosingChar"/>
    <w:uiPriority w:val="99"/>
    <w:semiHidden/>
    <w:unhideWhenUsed/>
    <w:rsid w:val="00AC107C"/>
    <w:pPr>
      <w:ind w:left="4252"/>
    </w:pPr>
  </w:style>
  <w:style w:type="character" w:customStyle="1" w:styleId="ClosingChar">
    <w:name w:val="Closing Char"/>
    <w:basedOn w:val="DefaultParagraphFont"/>
    <w:link w:val="Closing"/>
    <w:uiPriority w:val="99"/>
    <w:semiHidden/>
    <w:rsid w:val="00AC107C"/>
    <w:rPr>
      <w:sz w:val="22"/>
      <w:lang w:val="en-GB" w:eastAsia="it-IT"/>
    </w:rPr>
  </w:style>
  <w:style w:type="paragraph" w:styleId="E-mailSignature">
    <w:name w:val="E-mail Signature"/>
    <w:basedOn w:val="Normal"/>
    <w:link w:val="E-mailSignatureChar"/>
    <w:uiPriority w:val="99"/>
    <w:semiHidden/>
    <w:unhideWhenUsed/>
    <w:rsid w:val="00AC107C"/>
  </w:style>
  <w:style w:type="character" w:customStyle="1" w:styleId="E-mailSignatureChar">
    <w:name w:val="E-mail Signature Char"/>
    <w:basedOn w:val="DefaultParagraphFont"/>
    <w:link w:val="E-mailSignature"/>
    <w:uiPriority w:val="99"/>
    <w:semiHidden/>
    <w:rsid w:val="00AC107C"/>
    <w:rPr>
      <w:sz w:val="22"/>
      <w:lang w:val="en-GB" w:eastAsia="it-IT"/>
    </w:rPr>
  </w:style>
  <w:style w:type="paragraph" w:styleId="EnvelopeAddress">
    <w:name w:val="envelope address"/>
    <w:basedOn w:val="Normal"/>
    <w:uiPriority w:val="99"/>
    <w:semiHidden/>
    <w:unhideWhenUsed/>
    <w:rsid w:val="00AC107C"/>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107C"/>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AC107C"/>
    <w:rPr>
      <w:i/>
      <w:iCs/>
    </w:rPr>
  </w:style>
  <w:style w:type="character" w:customStyle="1" w:styleId="HTMLAddressChar">
    <w:name w:val="HTML Address Char"/>
    <w:basedOn w:val="DefaultParagraphFont"/>
    <w:link w:val="HTMLAddress"/>
    <w:uiPriority w:val="99"/>
    <w:semiHidden/>
    <w:rsid w:val="00AC107C"/>
    <w:rPr>
      <w:i/>
      <w:iCs/>
      <w:sz w:val="22"/>
      <w:lang w:val="en-GB" w:eastAsia="it-IT"/>
    </w:rPr>
  </w:style>
  <w:style w:type="paragraph" w:styleId="HTMLPreformatted">
    <w:name w:val="HTML Preformatted"/>
    <w:basedOn w:val="Normal"/>
    <w:link w:val="HTMLPreformattedChar"/>
    <w:uiPriority w:val="99"/>
    <w:semiHidden/>
    <w:unhideWhenUsed/>
    <w:rsid w:val="00AC107C"/>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C107C"/>
    <w:rPr>
      <w:rFonts w:ascii="Courier New" w:hAnsi="Courier New" w:cs="Courier New"/>
      <w:lang w:val="en-GB" w:eastAsia="it-IT"/>
    </w:rPr>
  </w:style>
  <w:style w:type="paragraph" w:styleId="Index1">
    <w:name w:val="index 1"/>
    <w:basedOn w:val="Normal"/>
    <w:next w:val="Normal"/>
    <w:autoRedefine/>
    <w:uiPriority w:val="99"/>
    <w:semiHidden/>
    <w:unhideWhenUsed/>
    <w:rsid w:val="00AC107C"/>
    <w:pPr>
      <w:ind w:left="220" w:hanging="220"/>
    </w:pPr>
  </w:style>
  <w:style w:type="paragraph" w:styleId="Index2">
    <w:name w:val="index 2"/>
    <w:basedOn w:val="Normal"/>
    <w:next w:val="Normal"/>
    <w:autoRedefine/>
    <w:uiPriority w:val="99"/>
    <w:semiHidden/>
    <w:unhideWhenUsed/>
    <w:rsid w:val="00AC107C"/>
    <w:pPr>
      <w:ind w:left="440" w:hanging="220"/>
    </w:pPr>
  </w:style>
  <w:style w:type="paragraph" w:styleId="Index3">
    <w:name w:val="index 3"/>
    <w:basedOn w:val="Normal"/>
    <w:next w:val="Normal"/>
    <w:autoRedefine/>
    <w:uiPriority w:val="99"/>
    <w:semiHidden/>
    <w:unhideWhenUsed/>
    <w:rsid w:val="00AC107C"/>
    <w:pPr>
      <w:ind w:left="660" w:hanging="220"/>
    </w:pPr>
  </w:style>
  <w:style w:type="paragraph" w:styleId="Index4">
    <w:name w:val="index 4"/>
    <w:basedOn w:val="Normal"/>
    <w:next w:val="Normal"/>
    <w:autoRedefine/>
    <w:uiPriority w:val="99"/>
    <w:semiHidden/>
    <w:unhideWhenUsed/>
    <w:rsid w:val="00AC107C"/>
    <w:pPr>
      <w:ind w:left="880" w:hanging="220"/>
    </w:pPr>
  </w:style>
  <w:style w:type="paragraph" w:styleId="Index5">
    <w:name w:val="index 5"/>
    <w:basedOn w:val="Normal"/>
    <w:next w:val="Normal"/>
    <w:autoRedefine/>
    <w:uiPriority w:val="99"/>
    <w:semiHidden/>
    <w:unhideWhenUsed/>
    <w:rsid w:val="00AC107C"/>
    <w:pPr>
      <w:ind w:left="1100" w:hanging="220"/>
    </w:pPr>
  </w:style>
  <w:style w:type="paragraph" w:styleId="Index6">
    <w:name w:val="index 6"/>
    <w:basedOn w:val="Normal"/>
    <w:next w:val="Normal"/>
    <w:autoRedefine/>
    <w:uiPriority w:val="99"/>
    <w:semiHidden/>
    <w:unhideWhenUsed/>
    <w:rsid w:val="00AC107C"/>
    <w:pPr>
      <w:ind w:left="1320" w:hanging="220"/>
    </w:pPr>
  </w:style>
  <w:style w:type="paragraph" w:styleId="Index7">
    <w:name w:val="index 7"/>
    <w:basedOn w:val="Normal"/>
    <w:next w:val="Normal"/>
    <w:autoRedefine/>
    <w:uiPriority w:val="99"/>
    <w:semiHidden/>
    <w:unhideWhenUsed/>
    <w:rsid w:val="00AC107C"/>
    <w:pPr>
      <w:ind w:left="1540" w:hanging="220"/>
    </w:pPr>
  </w:style>
  <w:style w:type="paragraph" w:styleId="Index8">
    <w:name w:val="index 8"/>
    <w:basedOn w:val="Normal"/>
    <w:next w:val="Normal"/>
    <w:autoRedefine/>
    <w:uiPriority w:val="99"/>
    <w:semiHidden/>
    <w:unhideWhenUsed/>
    <w:rsid w:val="00AC107C"/>
    <w:pPr>
      <w:ind w:left="1760" w:hanging="220"/>
    </w:pPr>
  </w:style>
  <w:style w:type="paragraph" w:styleId="Index9">
    <w:name w:val="index 9"/>
    <w:basedOn w:val="Normal"/>
    <w:next w:val="Normal"/>
    <w:autoRedefine/>
    <w:uiPriority w:val="99"/>
    <w:semiHidden/>
    <w:unhideWhenUsed/>
    <w:rsid w:val="00AC107C"/>
    <w:pPr>
      <w:ind w:left="1980" w:hanging="220"/>
    </w:pPr>
  </w:style>
  <w:style w:type="paragraph" w:styleId="IndexHeading">
    <w:name w:val="index heading"/>
    <w:basedOn w:val="Normal"/>
    <w:next w:val="Index1"/>
    <w:uiPriority w:val="99"/>
    <w:semiHidden/>
    <w:unhideWhenUsed/>
    <w:rsid w:val="00AC10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C10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107C"/>
    <w:rPr>
      <w:i/>
      <w:iCs/>
      <w:color w:val="4472C4" w:themeColor="accent1"/>
      <w:sz w:val="22"/>
      <w:lang w:val="en-GB" w:eastAsia="it-IT"/>
    </w:rPr>
  </w:style>
  <w:style w:type="paragraph" w:styleId="List">
    <w:name w:val="List"/>
    <w:basedOn w:val="Normal"/>
    <w:uiPriority w:val="99"/>
    <w:semiHidden/>
    <w:unhideWhenUsed/>
    <w:rsid w:val="00AC107C"/>
    <w:pPr>
      <w:ind w:left="283" w:hanging="283"/>
      <w:contextualSpacing/>
    </w:pPr>
  </w:style>
  <w:style w:type="paragraph" w:styleId="List2">
    <w:name w:val="List 2"/>
    <w:basedOn w:val="Normal"/>
    <w:uiPriority w:val="99"/>
    <w:semiHidden/>
    <w:unhideWhenUsed/>
    <w:rsid w:val="00AC107C"/>
    <w:pPr>
      <w:ind w:left="566" w:hanging="283"/>
      <w:contextualSpacing/>
    </w:pPr>
  </w:style>
  <w:style w:type="paragraph" w:styleId="List3">
    <w:name w:val="List 3"/>
    <w:basedOn w:val="Normal"/>
    <w:uiPriority w:val="99"/>
    <w:semiHidden/>
    <w:unhideWhenUsed/>
    <w:rsid w:val="00AC107C"/>
    <w:pPr>
      <w:ind w:left="849" w:hanging="283"/>
      <w:contextualSpacing/>
    </w:pPr>
  </w:style>
  <w:style w:type="paragraph" w:styleId="List4">
    <w:name w:val="List 4"/>
    <w:basedOn w:val="Normal"/>
    <w:uiPriority w:val="99"/>
    <w:semiHidden/>
    <w:unhideWhenUsed/>
    <w:rsid w:val="00AC107C"/>
    <w:pPr>
      <w:ind w:left="1132" w:hanging="283"/>
      <w:contextualSpacing/>
    </w:pPr>
  </w:style>
  <w:style w:type="paragraph" w:styleId="List5">
    <w:name w:val="List 5"/>
    <w:basedOn w:val="Normal"/>
    <w:uiPriority w:val="99"/>
    <w:semiHidden/>
    <w:unhideWhenUsed/>
    <w:rsid w:val="00AC107C"/>
    <w:pPr>
      <w:ind w:left="1415" w:hanging="283"/>
      <w:contextualSpacing/>
    </w:pPr>
  </w:style>
  <w:style w:type="paragraph" w:styleId="ListBullet">
    <w:name w:val="List Bullet"/>
    <w:basedOn w:val="Normal"/>
    <w:uiPriority w:val="99"/>
    <w:semiHidden/>
    <w:unhideWhenUsed/>
    <w:rsid w:val="00AC107C"/>
    <w:pPr>
      <w:numPr>
        <w:numId w:val="28"/>
      </w:numPr>
      <w:contextualSpacing/>
    </w:pPr>
  </w:style>
  <w:style w:type="paragraph" w:styleId="ListBullet2">
    <w:name w:val="List Bullet 2"/>
    <w:basedOn w:val="Normal"/>
    <w:uiPriority w:val="99"/>
    <w:semiHidden/>
    <w:unhideWhenUsed/>
    <w:rsid w:val="00AC107C"/>
    <w:pPr>
      <w:numPr>
        <w:numId w:val="29"/>
      </w:numPr>
      <w:contextualSpacing/>
    </w:pPr>
  </w:style>
  <w:style w:type="paragraph" w:styleId="ListBullet3">
    <w:name w:val="List Bullet 3"/>
    <w:basedOn w:val="Normal"/>
    <w:uiPriority w:val="99"/>
    <w:semiHidden/>
    <w:unhideWhenUsed/>
    <w:rsid w:val="00AC107C"/>
    <w:pPr>
      <w:numPr>
        <w:numId w:val="30"/>
      </w:numPr>
      <w:contextualSpacing/>
    </w:pPr>
  </w:style>
  <w:style w:type="paragraph" w:styleId="ListBullet4">
    <w:name w:val="List Bullet 4"/>
    <w:basedOn w:val="Normal"/>
    <w:uiPriority w:val="99"/>
    <w:semiHidden/>
    <w:unhideWhenUsed/>
    <w:rsid w:val="00AC107C"/>
    <w:pPr>
      <w:numPr>
        <w:numId w:val="31"/>
      </w:numPr>
      <w:contextualSpacing/>
    </w:pPr>
  </w:style>
  <w:style w:type="paragraph" w:styleId="ListBullet5">
    <w:name w:val="List Bullet 5"/>
    <w:basedOn w:val="Normal"/>
    <w:uiPriority w:val="99"/>
    <w:semiHidden/>
    <w:unhideWhenUsed/>
    <w:rsid w:val="00AC107C"/>
    <w:pPr>
      <w:numPr>
        <w:numId w:val="32"/>
      </w:numPr>
      <w:contextualSpacing/>
    </w:pPr>
  </w:style>
  <w:style w:type="paragraph" w:styleId="ListContinue">
    <w:name w:val="List Continue"/>
    <w:basedOn w:val="Normal"/>
    <w:uiPriority w:val="99"/>
    <w:semiHidden/>
    <w:unhideWhenUsed/>
    <w:rsid w:val="00AC107C"/>
    <w:pPr>
      <w:spacing w:after="120"/>
      <w:ind w:left="283"/>
      <w:contextualSpacing/>
    </w:pPr>
  </w:style>
  <w:style w:type="paragraph" w:styleId="ListContinue2">
    <w:name w:val="List Continue 2"/>
    <w:basedOn w:val="Normal"/>
    <w:uiPriority w:val="99"/>
    <w:semiHidden/>
    <w:unhideWhenUsed/>
    <w:rsid w:val="00AC107C"/>
    <w:pPr>
      <w:spacing w:after="120"/>
      <w:ind w:left="566"/>
      <w:contextualSpacing/>
    </w:pPr>
  </w:style>
  <w:style w:type="paragraph" w:styleId="ListContinue3">
    <w:name w:val="List Continue 3"/>
    <w:basedOn w:val="Normal"/>
    <w:uiPriority w:val="99"/>
    <w:semiHidden/>
    <w:unhideWhenUsed/>
    <w:rsid w:val="00AC107C"/>
    <w:pPr>
      <w:spacing w:after="120"/>
      <w:ind w:left="849"/>
      <w:contextualSpacing/>
    </w:pPr>
  </w:style>
  <w:style w:type="paragraph" w:styleId="ListContinue4">
    <w:name w:val="List Continue 4"/>
    <w:basedOn w:val="Normal"/>
    <w:uiPriority w:val="99"/>
    <w:semiHidden/>
    <w:unhideWhenUsed/>
    <w:rsid w:val="00AC107C"/>
    <w:pPr>
      <w:spacing w:after="120"/>
      <w:ind w:left="1132"/>
      <w:contextualSpacing/>
    </w:pPr>
  </w:style>
  <w:style w:type="paragraph" w:styleId="ListContinue5">
    <w:name w:val="List Continue 5"/>
    <w:basedOn w:val="Normal"/>
    <w:uiPriority w:val="99"/>
    <w:semiHidden/>
    <w:unhideWhenUsed/>
    <w:rsid w:val="00AC107C"/>
    <w:pPr>
      <w:spacing w:after="120"/>
      <w:ind w:left="1415"/>
      <w:contextualSpacing/>
    </w:pPr>
  </w:style>
  <w:style w:type="paragraph" w:styleId="ListNumber">
    <w:name w:val="List Number"/>
    <w:basedOn w:val="Normal"/>
    <w:uiPriority w:val="99"/>
    <w:semiHidden/>
    <w:unhideWhenUsed/>
    <w:rsid w:val="00AC107C"/>
    <w:pPr>
      <w:numPr>
        <w:numId w:val="33"/>
      </w:numPr>
      <w:contextualSpacing/>
    </w:pPr>
  </w:style>
  <w:style w:type="paragraph" w:styleId="ListNumber2">
    <w:name w:val="List Number 2"/>
    <w:basedOn w:val="Normal"/>
    <w:uiPriority w:val="99"/>
    <w:semiHidden/>
    <w:unhideWhenUsed/>
    <w:rsid w:val="00AC107C"/>
    <w:pPr>
      <w:numPr>
        <w:numId w:val="34"/>
      </w:numPr>
      <w:contextualSpacing/>
    </w:pPr>
  </w:style>
  <w:style w:type="paragraph" w:styleId="ListNumber3">
    <w:name w:val="List Number 3"/>
    <w:basedOn w:val="Normal"/>
    <w:uiPriority w:val="99"/>
    <w:semiHidden/>
    <w:unhideWhenUsed/>
    <w:rsid w:val="00AC107C"/>
    <w:pPr>
      <w:numPr>
        <w:numId w:val="35"/>
      </w:numPr>
      <w:contextualSpacing/>
    </w:pPr>
  </w:style>
  <w:style w:type="paragraph" w:styleId="ListNumber4">
    <w:name w:val="List Number 4"/>
    <w:basedOn w:val="Normal"/>
    <w:uiPriority w:val="99"/>
    <w:semiHidden/>
    <w:unhideWhenUsed/>
    <w:rsid w:val="00AC107C"/>
    <w:pPr>
      <w:numPr>
        <w:numId w:val="36"/>
      </w:numPr>
      <w:contextualSpacing/>
    </w:pPr>
  </w:style>
  <w:style w:type="paragraph" w:styleId="ListNumber5">
    <w:name w:val="List Number 5"/>
    <w:basedOn w:val="Normal"/>
    <w:uiPriority w:val="99"/>
    <w:semiHidden/>
    <w:unhideWhenUsed/>
    <w:rsid w:val="00AC107C"/>
    <w:pPr>
      <w:numPr>
        <w:numId w:val="37"/>
      </w:numPr>
      <w:contextualSpacing/>
    </w:pPr>
  </w:style>
  <w:style w:type="paragraph" w:styleId="MacroText">
    <w:name w:val="macro"/>
    <w:link w:val="MacroTextChar"/>
    <w:uiPriority w:val="99"/>
    <w:semiHidden/>
    <w:unhideWhenUsed/>
    <w:rsid w:val="00AC107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it-IT"/>
    </w:rPr>
  </w:style>
  <w:style w:type="character" w:customStyle="1" w:styleId="MacroTextChar">
    <w:name w:val="Macro Text Char"/>
    <w:basedOn w:val="DefaultParagraphFont"/>
    <w:link w:val="MacroText"/>
    <w:uiPriority w:val="99"/>
    <w:semiHidden/>
    <w:rsid w:val="00AC107C"/>
    <w:rPr>
      <w:rFonts w:ascii="Courier New" w:hAnsi="Courier New" w:cs="Courier New"/>
      <w:lang w:val="en-GB" w:eastAsia="it-IT"/>
    </w:rPr>
  </w:style>
  <w:style w:type="paragraph" w:styleId="MessageHeader">
    <w:name w:val="Message Header"/>
    <w:basedOn w:val="Normal"/>
    <w:link w:val="MessageHeaderChar"/>
    <w:uiPriority w:val="99"/>
    <w:semiHidden/>
    <w:unhideWhenUsed/>
    <w:rsid w:val="00AC107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107C"/>
    <w:rPr>
      <w:rFonts w:asciiTheme="majorHAnsi" w:eastAsiaTheme="majorEastAsia" w:hAnsiTheme="majorHAnsi" w:cstheme="majorBidi"/>
      <w:sz w:val="24"/>
      <w:szCs w:val="24"/>
      <w:shd w:val="pct20" w:color="auto" w:fill="auto"/>
      <w:lang w:val="en-GB" w:eastAsia="it-IT"/>
    </w:rPr>
  </w:style>
  <w:style w:type="paragraph" w:styleId="NoSpacing">
    <w:name w:val="No Spacing"/>
    <w:uiPriority w:val="1"/>
    <w:qFormat/>
    <w:rsid w:val="00AC107C"/>
    <w:rPr>
      <w:sz w:val="22"/>
      <w:lang w:val="en-GB" w:eastAsia="it-IT"/>
    </w:rPr>
  </w:style>
  <w:style w:type="paragraph" w:styleId="NormalWeb">
    <w:name w:val="Normal (Web)"/>
    <w:basedOn w:val="Normal"/>
    <w:uiPriority w:val="99"/>
    <w:semiHidden/>
    <w:unhideWhenUsed/>
    <w:rsid w:val="00AC107C"/>
    <w:rPr>
      <w:sz w:val="24"/>
      <w:szCs w:val="24"/>
    </w:rPr>
  </w:style>
  <w:style w:type="paragraph" w:styleId="NoteHeading">
    <w:name w:val="Note Heading"/>
    <w:basedOn w:val="Normal"/>
    <w:next w:val="Normal"/>
    <w:link w:val="NoteHeadingChar"/>
    <w:uiPriority w:val="99"/>
    <w:semiHidden/>
    <w:unhideWhenUsed/>
    <w:rsid w:val="00AC107C"/>
  </w:style>
  <w:style w:type="character" w:customStyle="1" w:styleId="NoteHeadingChar">
    <w:name w:val="Note Heading Char"/>
    <w:basedOn w:val="DefaultParagraphFont"/>
    <w:link w:val="NoteHeading"/>
    <w:uiPriority w:val="99"/>
    <w:semiHidden/>
    <w:rsid w:val="00AC107C"/>
    <w:rPr>
      <w:sz w:val="22"/>
      <w:lang w:val="en-GB" w:eastAsia="it-IT"/>
    </w:rPr>
  </w:style>
  <w:style w:type="paragraph" w:styleId="Quote">
    <w:name w:val="Quote"/>
    <w:basedOn w:val="Normal"/>
    <w:next w:val="Normal"/>
    <w:link w:val="QuoteChar"/>
    <w:uiPriority w:val="29"/>
    <w:qFormat/>
    <w:rsid w:val="00AC10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107C"/>
    <w:rPr>
      <w:i/>
      <w:iCs/>
      <w:color w:val="404040" w:themeColor="text1" w:themeTint="BF"/>
      <w:sz w:val="22"/>
      <w:lang w:val="en-GB" w:eastAsia="it-IT"/>
    </w:rPr>
  </w:style>
  <w:style w:type="paragraph" w:styleId="Salutation">
    <w:name w:val="Salutation"/>
    <w:basedOn w:val="Normal"/>
    <w:next w:val="Normal"/>
    <w:link w:val="SalutationChar"/>
    <w:uiPriority w:val="99"/>
    <w:semiHidden/>
    <w:unhideWhenUsed/>
    <w:rsid w:val="00AC107C"/>
  </w:style>
  <w:style w:type="character" w:customStyle="1" w:styleId="SalutationChar">
    <w:name w:val="Salutation Char"/>
    <w:basedOn w:val="DefaultParagraphFont"/>
    <w:link w:val="Salutation"/>
    <w:uiPriority w:val="99"/>
    <w:semiHidden/>
    <w:rsid w:val="00AC107C"/>
    <w:rPr>
      <w:sz w:val="22"/>
      <w:lang w:val="en-GB" w:eastAsia="it-IT"/>
    </w:rPr>
  </w:style>
  <w:style w:type="paragraph" w:styleId="Signature">
    <w:name w:val="Signature"/>
    <w:basedOn w:val="Normal"/>
    <w:link w:val="SignatureChar"/>
    <w:uiPriority w:val="99"/>
    <w:semiHidden/>
    <w:unhideWhenUsed/>
    <w:rsid w:val="00AC107C"/>
    <w:pPr>
      <w:ind w:left="4252"/>
    </w:pPr>
  </w:style>
  <w:style w:type="character" w:customStyle="1" w:styleId="SignatureChar">
    <w:name w:val="Signature Char"/>
    <w:basedOn w:val="DefaultParagraphFont"/>
    <w:link w:val="Signature"/>
    <w:uiPriority w:val="99"/>
    <w:semiHidden/>
    <w:rsid w:val="00AC107C"/>
    <w:rPr>
      <w:sz w:val="22"/>
      <w:lang w:val="en-GB" w:eastAsia="it-IT"/>
    </w:rPr>
  </w:style>
  <w:style w:type="paragraph" w:styleId="Subtitle">
    <w:name w:val="Subtitle"/>
    <w:basedOn w:val="Normal"/>
    <w:next w:val="Normal"/>
    <w:link w:val="SubtitleChar"/>
    <w:uiPriority w:val="11"/>
    <w:qFormat/>
    <w:rsid w:val="00AC107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C107C"/>
    <w:rPr>
      <w:rFonts w:asciiTheme="majorHAnsi" w:eastAsiaTheme="majorEastAsia" w:hAnsiTheme="majorHAnsi" w:cstheme="majorBidi"/>
      <w:sz w:val="24"/>
      <w:szCs w:val="24"/>
      <w:lang w:val="en-GB" w:eastAsia="it-IT"/>
    </w:rPr>
  </w:style>
  <w:style w:type="paragraph" w:styleId="TableofAuthorities">
    <w:name w:val="table of authorities"/>
    <w:basedOn w:val="Normal"/>
    <w:next w:val="Normal"/>
    <w:uiPriority w:val="99"/>
    <w:semiHidden/>
    <w:unhideWhenUsed/>
    <w:rsid w:val="00AC107C"/>
    <w:pPr>
      <w:ind w:left="220" w:hanging="220"/>
    </w:pPr>
  </w:style>
  <w:style w:type="paragraph" w:styleId="TableofFigures">
    <w:name w:val="table of figures"/>
    <w:basedOn w:val="Normal"/>
    <w:next w:val="Normal"/>
    <w:uiPriority w:val="99"/>
    <w:semiHidden/>
    <w:unhideWhenUsed/>
    <w:rsid w:val="00AC107C"/>
  </w:style>
  <w:style w:type="paragraph" w:styleId="TOAHeading">
    <w:name w:val="toa heading"/>
    <w:basedOn w:val="Normal"/>
    <w:next w:val="Normal"/>
    <w:uiPriority w:val="99"/>
    <w:semiHidden/>
    <w:unhideWhenUsed/>
    <w:rsid w:val="00AC10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C107C"/>
  </w:style>
  <w:style w:type="paragraph" w:styleId="TOC2">
    <w:name w:val="toc 2"/>
    <w:basedOn w:val="Normal"/>
    <w:next w:val="Normal"/>
    <w:autoRedefine/>
    <w:uiPriority w:val="39"/>
    <w:semiHidden/>
    <w:unhideWhenUsed/>
    <w:rsid w:val="00AC107C"/>
    <w:pPr>
      <w:ind w:left="220"/>
    </w:pPr>
  </w:style>
  <w:style w:type="paragraph" w:styleId="TOC3">
    <w:name w:val="toc 3"/>
    <w:basedOn w:val="Normal"/>
    <w:next w:val="Normal"/>
    <w:autoRedefine/>
    <w:uiPriority w:val="39"/>
    <w:semiHidden/>
    <w:unhideWhenUsed/>
    <w:rsid w:val="00AC107C"/>
    <w:pPr>
      <w:ind w:left="440"/>
    </w:pPr>
  </w:style>
  <w:style w:type="paragraph" w:styleId="TOC4">
    <w:name w:val="toc 4"/>
    <w:basedOn w:val="Normal"/>
    <w:next w:val="Normal"/>
    <w:autoRedefine/>
    <w:uiPriority w:val="39"/>
    <w:semiHidden/>
    <w:unhideWhenUsed/>
    <w:rsid w:val="00AC107C"/>
    <w:pPr>
      <w:ind w:left="660"/>
    </w:pPr>
  </w:style>
  <w:style w:type="paragraph" w:styleId="TOC5">
    <w:name w:val="toc 5"/>
    <w:basedOn w:val="Normal"/>
    <w:next w:val="Normal"/>
    <w:autoRedefine/>
    <w:uiPriority w:val="39"/>
    <w:semiHidden/>
    <w:unhideWhenUsed/>
    <w:rsid w:val="00AC107C"/>
    <w:pPr>
      <w:ind w:left="880"/>
    </w:pPr>
  </w:style>
  <w:style w:type="paragraph" w:styleId="TOC6">
    <w:name w:val="toc 6"/>
    <w:basedOn w:val="Normal"/>
    <w:next w:val="Normal"/>
    <w:autoRedefine/>
    <w:uiPriority w:val="39"/>
    <w:semiHidden/>
    <w:unhideWhenUsed/>
    <w:rsid w:val="00AC107C"/>
    <w:pPr>
      <w:ind w:left="1100"/>
    </w:pPr>
  </w:style>
  <w:style w:type="paragraph" w:styleId="TOC7">
    <w:name w:val="toc 7"/>
    <w:basedOn w:val="Normal"/>
    <w:next w:val="Normal"/>
    <w:autoRedefine/>
    <w:uiPriority w:val="39"/>
    <w:semiHidden/>
    <w:unhideWhenUsed/>
    <w:rsid w:val="00AC107C"/>
    <w:pPr>
      <w:ind w:left="1320"/>
    </w:pPr>
  </w:style>
  <w:style w:type="paragraph" w:styleId="TOC8">
    <w:name w:val="toc 8"/>
    <w:basedOn w:val="Normal"/>
    <w:next w:val="Normal"/>
    <w:autoRedefine/>
    <w:uiPriority w:val="39"/>
    <w:semiHidden/>
    <w:unhideWhenUsed/>
    <w:rsid w:val="00AC107C"/>
    <w:pPr>
      <w:ind w:left="1540"/>
    </w:pPr>
  </w:style>
  <w:style w:type="paragraph" w:styleId="TOC9">
    <w:name w:val="toc 9"/>
    <w:basedOn w:val="Normal"/>
    <w:next w:val="Normal"/>
    <w:autoRedefine/>
    <w:uiPriority w:val="39"/>
    <w:semiHidden/>
    <w:unhideWhenUsed/>
    <w:rsid w:val="00AC107C"/>
    <w:pPr>
      <w:ind w:left="1760"/>
    </w:pPr>
  </w:style>
  <w:style w:type="paragraph" w:styleId="TOCHeading">
    <w:name w:val="TOC Heading"/>
    <w:basedOn w:val="Heading1"/>
    <w:next w:val="Normal"/>
    <w:uiPriority w:val="39"/>
    <w:semiHidden/>
    <w:unhideWhenUsed/>
    <w:qFormat/>
    <w:rsid w:val="00AC107C"/>
    <w:pPr>
      <w:keepNext/>
      <w:widowControl/>
      <w:spacing w:after="60"/>
      <w:outlineLvl w:val="9"/>
    </w:pPr>
    <w:rPr>
      <w:rFonts w:asciiTheme="majorHAnsi" w:eastAsiaTheme="majorEastAsia" w:hAnsiTheme="majorHAnsi" w:cstheme="majorBidi"/>
      <w:bCs/>
      <w:kern w:val="32"/>
      <w:sz w:val="32"/>
      <w:szCs w:val="32"/>
      <w:u w:val="none"/>
      <w:lang w:val="en-GB"/>
    </w:rPr>
  </w:style>
  <w:style w:type="paragraph" w:styleId="Revision">
    <w:name w:val="Revision"/>
    <w:hidden/>
    <w:uiPriority w:val="99"/>
    <w:semiHidden/>
    <w:rsid w:val="00514251"/>
    <w:rPr>
      <w:sz w:val="22"/>
      <w:lang w:val="en-GB" w:eastAsia="it-IT"/>
    </w:rPr>
  </w:style>
  <w:style w:type="character" w:customStyle="1" w:styleId="BodytextAgencyChar">
    <w:name w:val="Body text (Agency) Char"/>
    <w:link w:val="BodytextAgency"/>
    <w:locked/>
    <w:rsid w:val="002D06B3"/>
    <w:rPr>
      <w:rFonts w:ascii="Verdana" w:hAnsi="Verdana"/>
      <w:sz w:val="18"/>
      <w:lang w:val="en-GB" w:eastAsia="en-GB"/>
    </w:rPr>
  </w:style>
  <w:style w:type="paragraph" w:customStyle="1" w:styleId="BodytextAgency">
    <w:name w:val="Body text (Agency)"/>
    <w:basedOn w:val="Normal"/>
    <w:link w:val="BodytextAgencyChar"/>
    <w:rsid w:val="002D06B3"/>
    <w:pPr>
      <w:spacing w:after="140" w:line="280" w:lineRule="atLeast"/>
    </w:pPr>
    <w:rPr>
      <w:rFonts w:ascii="Verdana" w:hAnsi="Verdana"/>
      <w:sz w:val="18"/>
      <w:lang w:eastAsia="en-GB"/>
    </w:rPr>
  </w:style>
  <w:style w:type="character" w:customStyle="1" w:styleId="No-numheading3AgencyChar">
    <w:name w:val="No-num heading 3 (Agency) Char"/>
    <w:link w:val="No-numheading3Agency"/>
    <w:locked/>
    <w:rsid w:val="002D06B3"/>
    <w:rPr>
      <w:rFonts w:ascii="Verdana" w:eastAsia="Verdana" w:hAnsi="Verdana"/>
      <w:b/>
      <w:bCs/>
      <w:kern w:val="32"/>
      <w:sz w:val="22"/>
      <w:szCs w:val="22"/>
      <w:lang w:val="x-none" w:eastAsia="x-none"/>
    </w:rPr>
  </w:style>
  <w:style w:type="paragraph" w:customStyle="1" w:styleId="No-numheading3Agency">
    <w:name w:val="No-num heading 3 (Agency)"/>
    <w:basedOn w:val="Normal"/>
    <w:next w:val="BodytextAgency"/>
    <w:link w:val="No-numheading3AgencyChar"/>
    <w:rsid w:val="002D06B3"/>
    <w:pPr>
      <w:keepNext/>
      <w:spacing w:before="280" w:after="220"/>
      <w:outlineLvl w:val="2"/>
    </w:pPr>
    <w:rPr>
      <w:rFonts w:ascii="Verdana" w:eastAsia="Verdana" w:hAnsi="Verdana"/>
      <w:b/>
      <w:bCs/>
      <w:kern w:val="32"/>
      <w:szCs w:val="22"/>
      <w:lang w:val="x-none" w:eastAsia="x-none"/>
    </w:rPr>
  </w:style>
  <w:style w:type="paragraph" w:customStyle="1" w:styleId="Dnex1">
    <w:name w:val="Dnex1"/>
    <w:basedOn w:val="Normal"/>
    <w:qFormat/>
    <w:rsid w:val="00E56D1F"/>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962">
      <w:bodyDiv w:val="1"/>
      <w:marLeft w:val="0"/>
      <w:marRight w:val="0"/>
      <w:marTop w:val="0"/>
      <w:marBottom w:val="0"/>
      <w:divBdr>
        <w:top w:val="none" w:sz="0" w:space="0" w:color="auto"/>
        <w:left w:val="none" w:sz="0" w:space="0" w:color="auto"/>
        <w:bottom w:val="none" w:sz="0" w:space="0" w:color="auto"/>
        <w:right w:val="none" w:sz="0" w:space="0" w:color="auto"/>
      </w:divBdr>
    </w:div>
    <w:div w:id="1450396116">
      <w:bodyDiv w:val="1"/>
      <w:marLeft w:val="0"/>
      <w:marRight w:val="0"/>
      <w:marTop w:val="0"/>
      <w:marBottom w:val="0"/>
      <w:divBdr>
        <w:top w:val="none" w:sz="0" w:space="0" w:color="auto"/>
        <w:left w:val="none" w:sz="0" w:space="0" w:color="auto"/>
        <w:bottom w:val="none" w:sz="0" w:space="0" w:color="auto"/>
        <w:right w:val="none" w:sz="0" w:space="0" w:color="auto"/>
      </w:divBdr>
    </w:div>
    <w:div w:id="1603415362">
      <w:bodyDiv w:val="1"/>
      <w:marLeft w:val="0"/>
      <w:marRight w:val="0"/>
      <w:marTop w:val="0"/>
      <w:marBottom w:val="0"/>
      <w:divBdr>
        <w:top w:val="none" w:sz="0" w:space="0" w:color="auto"/>
        <w:left w:val="none" w:sz="0" w:space="0" w:color="auto"/>
        <w:bottom w:val="none" w:sz="0" w:space="0" w:color="auto"/>
        <w:right w:val="none" w:sz="0" w:space="0" w:color="auto"/>
      </w:divBdr>
    </w:div>
    <w:div w:id="1766850967">
      <w:bodyDiv w:val="1"/>
      <w:marLeft w:val="0"/>
      <w:marRight w:val="0"/>
      <w:marTop w:val="0"/>
      <w:marBottom w:val="0"/>
      <w:divBdr>
        <w:top w:val="none" w:sz="0" w:space="0" w:color="auto"/>
        <w:left w:val="none" w:sz="0" w:space="0" w:color="auto"/>
        <w:bottom w:val="none" w:sz="0" w:space="0" w:color="auto"/>
        <w:right w:val="none" w:sz="0" w:space="0" w:color="auto"/>
      </w:divBdr>
      <w:divsChild>
        <w:div w:id="1144002631">
          <w:marLeft w:val="0"/>
          <w:marRight w:val="0"/>
          <w:marTop w:val="0"/>
          <w:marBottom w:val="0"/>
          <w:divBdr>
            <w:top w:val="none" w:sz="0" w:space="0" w:color="auto"/>
            <w:left w:val="none" w:sz="0" w:space="0" w:color="auto"/>
            <w:bottom w:val="none" w:sz="0" w:space="0" w:color="auto"/>
            <w:right w:val="none" w:sz="0" w:space="0" w:color="auto"/>
          </w:divBdr>
          <w:divsChild>
            <w:div w:id="1705322067">
              <w:marLeft w:val="0"/>
              <w:marRight w:val="0"/>
              <w:marTop w:val="0"/>
              <w:marBottom w:val="0"/>
              <w:divBdr>
                <w:top w:val="none" w:sz="0" w:space="0" w:color="auto"/>
                <w:left w:val="none" w:sz="0" w:space="0" w:color="auto"/>
                <w:bottom w:val="none" w:sz="0" w:space="0" w:color="auto"/>
                <w:right w:val="none" w:sz="0" w:space="0" w:color="auto"/>
              </w:divBdr>
              <w:divsChild>
                <w:div w:id="1652250479">
                  <w:marLeft w:val="0"/>
                  <w:marRight w:val="0"/>
                  <w:marTop w:val="0"/>
                  <w:marBottom w:val="0"/>
                  <w:divBdr>
                    <w:top w:val="none" w:sz="0" w:space="0" w:color="auto"/>
                    <w:left w:val="none" w:sz="0" w:space="0" w:color="auto"/>
                    <w:bottom w:val="none" w:sz="0" w:space="0" w:color="auto"/>
                    <w:right w:val="none" w:sz="0" w:space="0" w:color="auto"/>
                  </w:divBdr>
                  <w:divsChild>
                    <w:div w:id="463349665">
                      <w:marLeft w:val="0"/>
                      <w:marRight w:val="0"/>
                      <w:marTop w:val="0"/>
                      <w:marBottom w:val="0"/>
                      <w:divBdr>
                        <w:top w:val="none" w:sz="0" w:space="0" w:color="auto"/>
                        <w:left w:val="none" w:sz="0" w:space="0" w:color="auto"/>
                        <w:bottom w:val="none" w:sz="0" w:space="0" w:color="auto"/>
                        <w:right w:val="none" w:sz="0" w:space="0" w:color="auto"/>
                      </w:divBdr>
                      <w:divsChild>
                        <w:div w:id="1028261569">
                          <w:marLeft w:val="0"/>
                          <w:marRight w:val="0"/>
                          <w:marTop w:val="0"/>
                          <w:marBottom w:val="0"/>
                          <w:divBdr>
                            <w:top w:val="none" w:sz="0" w:space="0" w:color="auto"/>
                            <w:left w:val="none" w:sz="0" w:space="0" w:color="auto"/>
                            <w:bottom w:val="none" w:sz="0" w:space="0" w:color="auto"/>
                            <w:right w:val="none" w:sz="0" w:space="0" w:color="auto"/>
                          </w:divBdr>
                          <w:divsChild>
                            <w:div w:id="6160986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4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es-ci@viivhealthcare.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ivex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mailto:at.info@gsk.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EMADOC-1700519818-2821252</_dlc_DocId>
    <_dlc_DocIdUrl xmlns="a034c160-bfb7-45f5-8632-2eb7e0508071">
      <Url>https://euema.sharepoint.com/sites/CRM/_layouts/15/DocIdRedir.aspx?ID=EMADOC-1700519818-2821252</Url>
      <Description>EMADOC-1700519818-2821252</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F0BD4D-6E00-43F5-A1B6-13944E8BE574}">
  <ds:schemaRefs>
    <ds:schemaRef ds:uri="http://schemas.microsoft.com/office/2006/metadata/properties"/>
    <ds:schemaRef ds:uri="http://schemas.microsoft.com/office/infopath/2007/PartnerControls"/>
    <ds:schemaRef ds:uri="53bfddcd-ed87-4e2f-848a-2186ccceec32"/>
  </ds:schemaRefs>
</ds:datastoreItem>
</file>

<file path=customXml/itemProps2.xml><?xml version="1.0" encoding="utf-8"?>
<ds:datastoreItem xmlns:ds="http://schemas.openxmlformats.org/officeDocument/2006/customXml" ds:itemID="{6842EC78-B6D5-4130-9009-5CA557634D7B}">
  <ds:schemaRefs>
    <ds:schemaRef ds:uri="http://schemas.microsoft.com/sharepoint/v3/contenttype/forms"/>
  </ds:schemaRefs>
</ds:datastoreItem>
</file>

<file path=customXml/itemProps3.xml><?xml version="1.0" encoding="utf-8"?>
<ds:datastoreItem xmlns:ds="http://schemas.openxmlformats.org/officeDocument/2006/customXml" ds:itemID="{CB98CF88-F0FE-4127-98F0-A8E6A9F293C1}"/>
</file>

<file path=customXml/itemProps4.xml><?xml version="1.0" encoding="utf-8"?>
<ds:datastoreItem xmlns:ds="http://schemas.openxmlformats.org/officeDocument/2006/customXml" ds:itemID="{D9816A4B-6CE7-4881-A9F2-535F1D53690F}">
  <ds:schemaRefs>
    <ds:schemaRef ds:uri="http://schemas.openxmlformats.org/officeDocument/2006/bibliography"/>
  </ds:schemaRefs>
</ds:datastoreItem>
</file>

<file path=customXml/itemProps5.xml><?xml version="1.0" encoding="utf-8"?>
<ds:datastoreItem xmlns:ds="http://schemas.openxmlformats.org/officeDocument/2006/customXml" ds:itemID="{078C78A3-42A3-436F-8C96-74A52A17741A}"/>
</file>

<file path=docProps/app.xml><?xml version="1.0" encoding="utf-8"?>
<Properties xmlns="http://schemas.openxmlformats.org/officeDocument/2006/extended-properties" xmlns:vt="http://schemas.openxmlformats.org/officeDocument/2006/docPropsVTypes">
  <Template>Normal</Template>
  <TotalTime>61</TotalTime>
  <Pages>50</Pages>
  <Words>16442</Words>
  <Characters>106551</Characters>
  <Application>Microsoft Office Word</Application>
  <DocSecurity>0</DocSecurity>
  <Lines>3329</Lines>
  <Paragraphs>1537</Paragraphs>
  <ScaleCrop>false</ScaleCrop>
  <HeadingPairs>
    <vt:vector size="2" baseType="variant">
      <vt:variant>
        <vt:lpstr>Title</vt:lpstr>
      </vt:variant>
      <vt:variant>
        <vt:i4>1</vt:i4>
      </vt:variant>
    </vt:vector>
  </HeadingPairs>
  <TitlesOfParts>
    <vt:vector size="1" baseType="lpstr">
      <vt:lpstr>Kivexa: EPAR – Product information – tracked changes</vt:lpstr>
    </vt:vector>
  </TitlesOfParts>
  <Company/>
  <LinksUpToDate>false</LinksUpToDate>
  <CharactersWithSpaces>121456</CharactersWithSpaces>
  <SharedDoc>false</SharedDoc>
  <HLinks>
    <vt:vector size="72" baseType="variant">
      <vt:variant>
        <vt:i4>1245197</vt:i4>
      </vt:variant>
      <vt:variant>
        <vt:i4>51</vt:i4>
      </vt:variant>
      <vt:variant>
        <vt:i4>0</vt:i4>
      </vt:variant>
      <vt:variant>
        <vt:i4>5</vt:i4>
      </vt:variant>
      <vt:variant>
        <vt:lpwstr>http://www.ema.europa.eu/</vt:lpwstr>
      </vt:variant>
      <vt:variant>
        <vt:lpwstr/>
      </vt:variant>
      <vt:variant>
        <vt:i4>589867</vt:i4>
      </vt:variant>
      <vt:variant>
        <vt:i4>48</vt:i4>
      </vt:variant>
      <vt:variant>
        <vt:i4>0</vt:i4>
      </vt:variant>
      <vt:variant>
        <vt:i4>5</vt:i4>
      </vt:variant>
      <vt:variant>
        <vt:lpwstr>mailto:customercontactuk@gsk.com</vt:lpwstr>
      </vt:variant>
      <vt:variant>
        <vt:lpwstr/>
      </vt:variant>
      <vt:variant>
        <vt:i4>4980794</vt:i4>
      </vt:variant>
      <vt:variant>
        <vt:i4>42</vt:i4>
      </vt:variant>
      <vt:variant>
        <vt:i4>0</vt:i4>
      </vt:variant>
      <vt:variant>
        <vt:i4>5</vt:i4>
      </vt:variant>
      <vt:variant>
        <vt:lpwstr>mailto:info.produkt@gsk.com</vt:lpwstr>
      </vt:variant>
      <vt:variant>
        <vt:lpwstr/>
      </vt:variant>
      <vt:variant>
        <vt:i4>8257627</vt:i4>
      </vt:variant>
      <vt:variant>
        <vt:i4>30</vt:i4>
      </vt:variant>
      <vt:variant>
        <vt:i4>0</vt:i4>
      </vt:variant>
      <vt:variant>
        <vt:i4>5</vt:i4>
      </vt:variant>
      <vt:variant>
        <vt:lpwstr>mailto:viiv.fi.pt@viivhealthcare.com</vt:lpwstr>
      </vt:variant>
      <vt:variant>
        <vt:lpwstr/>
      </vt:variant>
      <vt:variant>
        <vt:i4>5636215</vt:i4>
      </vt:variant>
      <vt:variant>
        <vt:i4>27</vt:i4>
      </vt:variant>
      <vt:variant>
        <vt:i4>0</vt:i4>
      </vt:variant>
      <vt:variant>
        <vt:i4>5</vt:i4>
      </vt:variant>
      <vt:variant>
        <vt:lpwstr>mailto:Infomed@viivhealthcare.com</vt:lpwstr>
      </vt:variant>
      <vt:variant>
        <vt:lpwstr/>
      </vt:variant>
      <vt:variant>
        <vt:i4>7405571</vt:i4>
      </vt:variant>
      <vt:variant>
        <vt:i4>24</vt:i4>
      </vt:variant>
      <vt:variant>
        <vt:i4>0</vt:i4>
      </vt:variant>
      <vt:variant>
        <vt:i4>5</vt:i4>
      </vt:variant>
      <vt:variant>
        <vt:lpwstr>mailto:es-ci@viivhealthcare.com</vt:lpwstr>
      </vt:variant>
      <vt:variant>
        <vt:lpwstr/>
      </vt:variant>
      <vt:variant>
        <vt:i4>3014723</vt:i4>
      </vt:variant>
      <vt:variant>
        <vt:i4>21</vt:i4>
      </vt:variant>
      <vt:variant>
        <vt:i4>0</vt:i4>
      </vt:variant>
      <vt:variant>
        <vt:i4>5</vt:i4>
      </vt:variant>
      <vt:variant>
        <vt:lpwstr>mailto:at.info@gsk.com</vt:lpwstr>
      </vt:variant>
      <vt:variant>
        <vt:lpwstr/>
      </vt:variant>
      <vt:variant>
        <vt:i4>6422640</vt:i4>
      </vt:variant>
      <vt:variant>
        <vt:i4>15</vt:i4>
      </vt:variant>
      <vt:variant>
        <vt:i4>0</vt:i4>
      </vt:variant>
      <vt:variant>
        <vt:i4>5</vt:i4>
      </vt:variant>
      <vt:variant>
        <vt:lpwstr>mailto:</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9</cp:revision>
  <dcterms:created xsi:type="dcterms:W3CDTF">2025-10-16T18:29:00Z</dcterms:created>
  <dcterms:modified xsi:type="dcterms:W3CDTF">2025-10-17T18:47:00Z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177e7329-67a8-49a0-a112-d43d3ed37f99</vt:lpwstr>
  </property>
</Properties>
</file>